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02" w:rsidRPr="00E90D02" w:rsidRDefault="00E90D02" w:rsidP="005562BD">
      <w:pPr>
        <w:spacing w:before="100" w:beforeAutospacing="1" w:after="100" w:afterAutospacing="1" w:line="240" w:lineRule="auto"/>
        <w:outlineLvl w:val="0"/>
        <w:rPr>
          <w:rFonts w:ascii="Times New Roman" w:eastAsia="Times New Roman" w:hAnsi="Times New Roman" w:cs="Times New Roman"/>
          <w:b/>
          <w:bCs/>
          <w:kern w:val="36"/>
          <w:sz w:val="32"/>
          <w:szCs w:val="48"/>
          <w:u w:val="single"/>
          <w:lang w:eastAsia="de-DE"/>
        </w:rPr>
      </w:pPr>
      <w:r w:rsidRPr="00E90D02">
        <w:rPr>
          <w:rFonts w:ascii="Times New Roman" w:eastAsia="Times New Roman" w:hAnsi="Times New Roman" w:cs="Times New Roman"/>
          <w:b/>
          <w:bCs/>
          <w:kern w:val="36"/>
          <w:sz w:val="32"/>
          <w:szCs w:val="48"/>
          <w:u w:val="single"/>
          <w:lang w:eastAsia="de-DE"/>
        </w:rPr>
        <w:t>Arbeitsauftrag:</w:t>
      </w:r>
    </w:p>
    <w:p w:rsidR="00E90D02" w:rsidRPr="00E90D02" w:rsidRDefault="00E90D02"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sidRPr="00E90D02">
        <w:rPr>
          <w:rFonts w:ascii="Times New Roman" w:eastAsia="Times New Roman" w:hAnsi="Times New Roman" w:cs="Times New Roman"/>
          <w:b/>
          <w:bCs/>
          <w:kern w:val="36"/>
          <w:sz w:val="32"/>
          <w:szCs w:val="48"/>
          <w:lang w:eastAsia="de-DE"/>
        </w:rPr>
        <w:t>Definiere kurz in eigenen Worten die „Lohnabtretung“.</w:t>
      </w:r>
    </w:p>
    <w:p w:rsidR="00E90D02" w:rsidRDefault="00E90D02"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sidRPr="00E90D02">
        <w:rPr>
          <w:rFonts w:ascii="Times New Roman" w:eastAsia="Times New Roman" w:hAnsi="Times New Roman" w:cs="Times New Roman"/>
          <w:b/>
          <w:bCs/>
          <w:kern w:val="36"/>
          <w:sz w:val="32"/>
          <w:szCs w:val="48"/>
          <w:lang w:eastAsia="de-DE"/>
        </w:rPr>
        <w:t>Vergleich die Lohnabtretung mit der Lohnpfändung anhand von drei Merkmalen</w:t>
      </w:r>
      <w:r>
        <w:rPr>
          <w:rFonts w:ascii="Times New Roman" w:eastAsia="Times New Roman" w:hAnsi="Times New Roman" w:cs="Times New Roman"/>
          <w:b/>
          <w:bCs/>
          <w:kern w:val="36"/>
          <w:sz w:val="32"/>
          <w:szCs w:val="48"/>
          <w:lang w:eastAsia="de-DE"/>
        </w:rPr>
        <w:t xml:space="preserve"> in einer Tabelle.</w:t>
      </w:r>
    </w:p>
    <w:p w:rsidR="001A1EE9" w:rsidRPr="00E90D02" w:rsidRDefault="001A1EE9"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Pr>
          <w:rFonts w:ascii="Times New Roman" w:eastAsia="Times New Roman" w:hAnsi="Times New Roman" w:cs="Times New Roman"/>
          <w:b/>
          <w:bCs/>
          <w:kern w:val="36"/>
          <w:sz w:val="32"/>
          <w:szCs w:val="48"/>
          <w:lang w:eastAsia="de-DE"/>
        </w:rPr>
        <w:t>Stelle den Weg einer Lohnabtretung in einem Strukturbild dar.</w:t>
      </w:r>
    </w:p>
    <w:p w:rsidR="005562BD" w:rsidRPr="00AF4FEF" w:rsidRDefault="005562BD" w:rsidP="005562BD">
      <w:pPr>
        <w:spacing w:before="100" w:beforeAutospacing="1" w:after="100" w:afterAutospacing="1" w:line="240" w:lineRule="auto"/>
        <w:outlineLvl w:val="0"/>
        <w:rPr>
          <w:rFonts w:ascii="Times New Roman" w:eastAsia="Times New Roman" w:hAnsi="Times New Roman" w:cs="Times New Roman"/>
          <w:b/>
          <w:bCs/>
          <w:kern w:val="36"/>
          <w:sz w:val="36"/>
          <w:szCs w:val="48"/>
          <w:lang w:eastAsia="de-DE"/>
        </w:rPr>
      </w:pPr>
      <w:r w:rsidRPr="00AF4FEF">
        <w:rPr>
          <w:rFonts w:ascii="Times New Roman" w:eastAsia="Times New Roman" w:hAnsi="Times New Roman" w:cs="Times New Roman"/>
          <w:b/>
          <w:bCs/>
          <w:kern w:val="36"/>
          <w:sz w:val="36"/>
          <w:szCs w:val="48"/>
          <w:lang w:eastAsia="de-DE"/>
        </w:rPr>
        <w:t>Die Lohnabtretung als Sicherungsinstrument für Darlehensgeber</w:t>
      </w:r>
    </w:p>
    <w:p w:rsidR="005562BD" w:rsidRPr="005562BD" w:rsidRDefault="005562BD" w:rsidP="005562BD">
      <w:pPr>
        <w:spacing w:before="100" w:beforeAutospacing="1" w:after="100" w:afterAutospacing="1" w:line="240" w:lineRule="auto"/>
        <w:rPr>
          <w:rFonts w:ascii="Times New Roman" w:eastAsia="Times New Roman" w:hAnsi="Times New Roman" w:cs="Times New Roman"/>
          <w:sz w:val="24"/>
          <w:szCs w:val="24"/>
          <w:lang w:eastAsia="de-DE"/>
        </w:rPr>
      </w:pPr>
      <w:r w:rsidRPr="005562BD">
        <w:rPr>
          <w:rFonts w:ascii="Times New Roman" w:eastAsia="Times New Roman" w:hAnsi="Times New Roman" w:cs="Times New Roman"/>
          <w:sz w:val="24"/>
          <w:szCs w:val="24"/>
          <w:lang w:eastAsia="de-DE"/>
        </w:rPr>
        <w:t xml:space="preserve">Durch die Lohnabtretung werden die </w:t>
      </w:r>
      <w:hyperlink r:id="rId5" w:history="1">
        <w:r w:rsidRPr="005562BD">
          <w:rPr>
            <w:rFonts w:ascii="Times New Roman" w:eastAsia="Times New Roman" w:hAnsi="Times New Roman" w:cs="Times New Roman"/>
            <w:color w:val="0000FF"/>
            <w:sz w:val="24"/>
            <w:szCs w:val="24"/>
            <w:u w:val="single"/>
            <w:lang w:eastAsia="de-DE"/>
          </w:rPr>
          <w:t>pfändbaren Anteile</w:t>
        </w:r>
      </w:hyperlink>
      <w:r w:rsidRPr="005562BD">
        <w:rPr>
          <w:rFonts w:ascii="Times New Roman" w:eastAsia="Times New Roman" w:hAnsi="Times New Roman" w:cs="Times New Roman"/>
          <w:sz w:val="24"/>
          <w:szCs w:val="24"/>
          <w:lang w:eastAsia="de-DE"/>
        </w:rPr>
        <w:t xml:space="preserve"> vom Arbeitseinkommen des </w:t>
      </w:r>
      <w:hyperlink r:id="rId6" w:tooltip="Schuldner" w:history="1">
        <w:r w:rsidRPr="005562BD">
          <w:rPr>
            <w:rFonts w:ascii="Times New Roman" w:eastAsia="Times New Roman" w:hAnsi="Times New Roman" w:cs="Times New Roman"/>
            <w:color w:val="0000FF"/>
            <w:sz w:val="24"/>
            <w:szCs w:val="24"/>
            <w:u w:val="single"/>
            <w:lang w:eastAsia="de-DE"/>
          </w:rPr>
          <w:t>Schuldners</w:t>
        </w:r>
      </w:hyperlink>
      <w:r w:rsidRPr="005562BD">
        <w:rPr>
          <w:rFonts w:ascii="Times New Roman" w:eastAsia="Times New Roman" w:hAnsi="Times New Roman" w:cs="Times New Roman"/>
          <w:sz w:val="24"/>
          <w:szCs w:val="24"/>
          <w:lang w:eastAsia="de-DE"/>
        </w:rPr>
        <w:t xml:space="preserve"> an den </w:t>
      </w:r>
      <w:hyperlink r:id="rId7" w:tooltip="Gläubiger" w:history="1">
        <w:r w:rsidRPr="005562BD">
          <w:rPr>
            <w:rFonts w:ascii="Times New Roman" w:eastAsia="Times New Roman" w:hAnsi="Times New Roman" w:cs="Times New Roman"/>
            <w:color w:val="0000FF"/>
            <w:sz w:val="24"/>
            <w:szCs w:val="24"/>
            <w:u w:val="single"/>
            <w:lang w:eastAsia="de-DE"/>
          </w:rPr>
          <w:t>Gläubiger</w:t>
        </w:r>
      </w:hyperlink>
      <w:r w:rsidRPr="005562BD">
        <w:rPr>
          <w:rFonts w:ascii="Times New Roman" w:eastAsia="Times New Roman" w:hAnsi="Times New Roman" w:cs="Times New Roman"/>
          <w:sz w:val="24"/>
          <w:szCs w:val="24"/>
          <w:lang w:eastAsia="de-DE"/>
        </w:rPr>
        <w:t xml:space="preserve"> freiwillig abgetreten, so dass dieser bei Zahlungsunfähigkeit des Schuldners über den Lohn verfügen kann – jedoch genau wie bei einer Konto- oder Lohnpfändung nicht unbeschränkt, da dem Schuldner auch bei Zahlungsunfähigkeit ein Mindestmaß zur Sicherung der Lebenserhaltungskosten zusteht. Der </w:t>
      </w:r>
      <w:hyperlink r:id="rId8" w:tooltip="Pfändungsfreibetrag" w:history="1">
        <w:r w:rsidRPr="005562BD">
          <w:rPr>
            <w:rFonts w:ascii="Times New Roman" w:eastAsia="Times New Roman" w:hAnsi="Times New Roman" w:cs="Times New Roman"/>
            <w:color w:val="0000FF"/>
            <w:sz w:val="24"/>
            <w:szCs w:val="24"/>
            <w:u w:val="single"/>
            <w:lang w:eastAsia="de-DE"/>
          </w:rPr>
          <w:t>Pfändungsfreibetrag</w:t>
        </w:r>
      </w:hyperlink>
      <w:r w:rsidRPr="005562BD">
        <w:rPr>
          <w:rFonts w:ascii="Times New Roman" w:eastAsia="Times New Roman" w:hAnsi="Times New Roman" w:cs="Times New Roman"/>
          <w:sz w:val="24"/>
          <w:szCs w:val="24"/>
          <w:lang w:eastAsia="de-DE"/>
        </w:rPr>
        <w:t xml:space="preserve">, also der Betrag, der nicht abgetreten werden kann, ist der </w:t>
      </w:r>
      <w:hyperlink r:id="rId9" w:tooltip="Pfändungstabelle 2013/2014" w:history="1">
        <w:r w:rsidRPr="005562BD">
          <w:rPr>
            <w:rFonts w:ascii="Times New Roman" w:eastAsia="Times New Roman" w:hAnsi="Times New Roman" w:cs="Times New Roman"/>
            <w:color w:val="0000FF"/>
            <w:sz w:val="24"/>
            <w:szCs w:val="24"/>
            <w:u w:val="single"/>
            <w:lang w:eastAsia="de-DE"/>
          </w:rPr>
          <w:t>Pfändungstabelle</w:t>
        </w:r>
      </w:hyperlink>
      <w:r w:rsidRPr="005562BD">
        <w:rPr>
          <w:rFonts w:ascii="Times New Roman" w:eastAsia="Times New Roman" w:hAnsi="Times New Roman" w:cs="Times New Roman"/>
          <w:sz w:val="24"/>
          <w:szCs w:val="24"/>
          <w:lang w:eastAsia="de-DE"/>
        </w:rPr>
        <w:t xml:space="preserve"> aus </w:t>
      </w:r>
      <w:hyperlink r:id="rId10" w:tgtFrame="_blank" w:tooltip="§ 850c ZPO" w:history="1">
        <w:r w:rsidRPr="005562BD">
          <w:rPr>
            <w:rFonts w:ascii="Times New Roman" w:eastAsia="Times New Roman" w:hAnsi="Times New Roman" w:cs="Times New Roman"/>
            <w:color w:val="0000FF"/>
            <w:sz w:val="24"/>
            <w:szCs w:val="24"/>
            <w:u w:val="single"/>
            <w:lang w:eastAsia="de-DE"/>
          </w:rPr>
          <w:t>§ 850c ZPO</w:t>
        </w:r>
      </w:hyperlink>
      <w:r w:rsidRPr="005562BD">
        <w:rPr>
          <w:rFonts w:ascii="Times New Roman" w:eastAsia="Times New Roman" w:hAnsi="Times New Roman" w:cs="Times New Roman"/>
          <w:sz w:val="24"/>
          <w:szCs w:val="24"/>
          <w:lang w:eastAsia="de-DE"/>
        </w:rPr>
        <w:t xml:space="preserve"> zu entnehmen.</w:t>
      </w:r>
    </w:p>
    <w:p w:rsidR="005562BD" w:rsidRPr="005562BD" w:rsidRDefault="005562BD" w:rsidP="005562BD">
      <w:pPr>
        <w:spacing w:before="100" w:beforeAutospacing="1" w:after="100" w:afterAutospacing="1" w:line="240" w:lineRule="auto"/>
        <w:rPr>
          <w:rFonts w:ascii="Times New Roman" w:eastAsia="Times New Roman" w:hAnsi="Times New Roman" w:cs="Times New Roman"/>
          <w:sz w:val="24"/>
          <w:szCs w:val="24"/>
          <w:lang w:eastAsia="de-DE"/>
        </w:rPr>
      </w:pPr>
      <w:r w:rsidRPr="005562BD">
        <w:rPr>
          <w:rFonts w:ascii="Times New Roman" w:eastAsia="Times New Roman" w:hAnsi="Times New Roman" w:cs="Times New Roman"/>
          <w:sz w:val="24"/>
          <w:szCs w:val="24"/>
          <w:lang w:eastAsia="de-DE"/>
        </w:rPr>
        <w:t xml:space="preserve">Die Lohnabtretung ergibt sich aus einem Abtretungsvertrag oder einer bloßen Abtretungsklausel in einem Vertrag, in dem bestimmt wird, dass der Gläubiger berechtigt ist, unter bestimmten Umständen über den Lohnanspruch des Schuldners zu verfügen, </w:t>
      </w:r>
      <w:hyperlink r:id="rId11" w:tgtFrame="_blank" w:tooltip="§ 398 BGB" w:history="1">
        <w:r w:rsidRPr="005562BD">
          <w:rPr>
            <w:rFonts w:ascii="Times New Roman" w:eastAsia="Times New Roman" w:hAnsi="Times New Roman" w:cs="Times New Roman"/>
            <w:color w:val="0000FF"/>
            <w:sz w:val="24"/>
            <w:szCs w:val="24"/>
            <w:u w:val="single"/>
            <w:lang w:eastAsia="de-DE"/>
          </w:rPr>
          <w:t>§ 398 BGB</w:t>
        </w:r>
      </w:hyperlink>
      <w:r w:rsidRPr="005562BD">
        <w:rPr>
          <w:rFonts w:ascii="Times New Roman" w:eastAsia="Times New Roman" w:hAnsi="Times New Roman" w:cs="Times New Roman"/>
          <w:sz w:val="24"/>
          <w:szCs w:val="24"/>
          <w:lang w:eastAsia="de-DE"/>
        </w:rPr>
        <w:t xml:space="preserve">. Lohnabtretungen finden sich daher als Kreditsicherheit oft in Darlehensverträgen. </w:t>
      </w:r>
    </w:p>
    <w:p w:rsidR="005562BD" w:rsidRPr="005562BD" w:rsidRDefault="005562BD" w:rsidP="005562BD">
      <w:pPr>
        <w:spacing w:before="100" w:beforeAutospacing="1" w:after="100" w:afterAutospacing="1" w:line="240" w:lineRule="auto"/>
        <w:rPr>
          <w:rFonts w:ascii="Times New Roman" w:eastAsia="Times New Roman" w:hAnsi="Times New Roman" w:cs="Times New Roman"/>
          <w:sz w:val="24"/>
          <w:szCs w:val="24"/>
          <w:lang w:eastAsia="de-DE"/>
        </w:rPr>
      </w:pPr>
      <w:r w:rsidRPr="005562BD">
        <w:rPr>
          <w:rFonts w:ascii="Times New Roman" w:eastAsia="Times New Roman" w:hAnsi="Times New Roman" w:cs="Times New Roman"/>
          <w:sz w:val="24"/>
          <w:szCs w:val="24"/>
          <w:lang w:eastAsia="de-DE"/>
        </w:rPr>
        <w:t>Es gibt auch Inkassounternehmen, die sich für bereits seit langer Zeit geltend gemachte Forderungen in vorgedruckten Schreiben, die der Schuldner unterzeichnen soll, Lohnabtretungen einräumen lassen, obwohl diese Abtretung ursprünglich nicht der Forderung anhaftete. Insofern ist die Lohnabtretung auch ein Forderungssicherungsinstrument und dient nicht nur der Kreditsicherheit.</w:t>
      </w:r>
    </w:p>
    <w:p w:rsidR="005562BD" w:rsidRPr="005562BD" w:rsidRDefault="005562BD" w:rsidP="005562B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562BD">
        <w:rPr>
          <w:rFonts w:ascii="Times New Roman" w:eastAsia="Times New Roman" w:hAnsi="Times New Roman" w:cs="Times New Roman"/>
          <w:b/>
          <w:bCs/>
          <w:sz w:val="27"/>
          <w:szCs w:val="27"/>
          <w:lang w:eastAsia="de-DE"/>
        </w:rPr>
        <w:t>Lohnabtretung geht Pfändung vor</w:t>
      </w:r>
    </w:p>
    <w:p w:rsidR="005562BD" w:rsidRDefault="005562BD" w:rsidP="005562BD">
      <w:pPr>
        <w:spacing w:before="100" w:beforeAutospacing="1" w:after="100" w:afterAutospacing="1" w:line="240" w:lineRule="auto"/>
        <w:rPr>
          <w:rFonts w:ascii="Times New Roman" w:eastAsia="Times New Roman" w:hAnsi="Times New Roman" w:cs="Times New Roman"/>
          <w:sz w:val="24"/>
          <w:szCs w:val="24"/>
          <w:lang w:eastAsia="de-DE"/>
        </w:rPr>
      </w:pPr>
      <w:r w:rsidRPr="005562BD">
        <w:rPr>
          <w:rFonts w:ascii="Times New Roman" w:eastAsia="Times New Roman" w:hAnsi="Times New Roman" w:cs="Times New Roman"/>
          <w:sz w:val="24"/>
          <w:szCs w:val="24"/>
          <w:lang w:eastAsia="de-DE"/>
        </w:rPr>
        <w:t xml:space="preserve">Eine Lohnabtretung geht einer </w:t>
      </w:r>
      <w:hyperlink r:id="rId12" w:tooltip="Pfändung" w:history="1">
        <w:r w:rsidRPr="005562BD">
          <w:rPr>
            <w:rFonts w:ascii="Times New Roman" w:eastAsia="Times New Roman" w:hAnsi="Times New Roman" w:cs="Times New Roman"/>
            <w:color w:val="0000FF"/>
            <w:sz w:val="24"/>
            <w:szCs w:val="24"/>
            <w:u w:val="single"/>
            <w:lang w:eastAsia="de-DE"/>
          </w:rPr>
          <w:t>Pfändung</w:t>
        </w:r>
      </w:hyperlink>
      <w:r w:rsidRPr="005562BD">
        <w:rPr>
          <w:rFonts w:ascii="Times New Roman" w:eastAsia="Times New Roman" w:hAnsi="Times New Roman" w:cs="Times New Roman"/>
          <w:sz w:val="24"/>
          <w:szCs w:val="24"/>
          <w:lang w:eastAsia="de-DE"/>
        </w:rPr>
        <w:t xml:space="preserve"> vor, so dass eine abgetretene Forderung – sofern dem Arbeitgeber die Abtretung offen gelegt wurde – nicht mehr gepfändet werden kann, </w:t>
      </w:r>
      <w:hyperlink r:id="rId13" w:tgtFrame="_blank" w:tooltip="§ 400 BGB" w:history="1">
        <w:r w:rsidRPr="005562BD">
          <w:rPr>
            <w:rFonts w:ascii="Times New Roman" w:eastAsia="Times New Roman" w:hAnsi="Times New Roman" w:cs="Times New Roman"/>
            <w:color w:val="0000FF"/>
            <w:sz w:val="24"/>
            <w:szCs w:val="24"/>
            <w:u w:val="single"/>
            <w:lang w:eastAsia="de-DE"/>
          </w:rPr>
          <w:t>§ 400 BGB</w:t>
        </w:r>
      </w:hyperlink>
      <w:r w:rsidRPr="005562BD">
        <w:rPr>
          <w:rFonts w:ascii="Times New Roman" w:eastAsia="Times New Roman" w:hAnsi="Times New Roman" w:cs="Times New Roman"/>
          <w:sz w:val="24"/>
          <w:szCs w:val="24"/>
          <w:lang w:eastAsia="de-DE"/>
        </w:rPr>
        <w:t xml:space="preserve">. Mit der Abtretung wurde über den </w:t>
      </w:r>
      <w:hyperlink r:id="rId14" w:history="1">
        <w:r w:rsidRPr="005562BD">
          <w:rPr>
            <w:rFonts w:ascii="Times New Roman" w:eastAsia="Times New Roman" w:hAnsi="Times New Roman" w:cs="Times New Roman"/>
            <w:color w:val="0000FF"/>
            <w:sz w:val="24"/>
            <w:szCs w:val="24"/>
            <w:u w:val="single"/>
            <w:lang w:eastAsia="de-DE"/>
          </w:rPr>
          <w:t>pfändbaren Teil des Lohns</w:t>
        </w:r>
      </w:hyperlink>
      <w:r w:rsidRPr="005562BD">
        <w:rPr>
          <w:rFonts w:ascii="Times New Roman" w:eastAsia="Times New Roman" w:hAnsi="Times New Roman" w:cs="Times New Roman"/>
          <w:sz w:val="24"/>
          <w:szCs w:val="24"/>
          <w:lang w:eastAsia="de-DE"/>
        </w:rPr>
        <w:t xml:space="preserve"> nämlich bereits verfügt, so dass kein verfügbarer </w:t>
      </w:r>
      <w:hyperlink r:id="rId15" w:history="1">
        <w:r w:rsidRPr="005562BD">
          <w:rPr>
            <w:rFonts w:ascii="Times New Roman" w:eastAsia="Times New Roman" w:hAnsi="Times New Roman" w:cs="Times New Roman"/>
            <w:color w:val="0000FF"/>
            <w:sz w:val="24"/>
            <w:szCs w:val="24"/>
            <w:u w:val="single"/>
            <w:lang w:eastAsia="de-DE"/>
          </w:rPr>
          <w:t xml:space="preserve">Lohnanteil </w:t>
        </w:r>
      </w:hyperlink>
      <w:r w:rsidRPr="005562BD">
        <w:rPr>
          <w:rFonts w:ascii="Times New Roman" w:eastAsia="Times New Roman" w:hAnsi="Times New Roman" w:cs="Times New Roman"/>
          <w:sz w:val="24"/>
          <w:szCs w:val="24"/>
          <w:lang w:eastAsia="de-DE"/>
        </w:rPr>
        <w:t xml:space="preserve">mehr vorhanden ist, der gepfändet werden kann. Lohnabtretungen unterliegen bei Angestellten keinen besonderen Formerfordernissen – es ist allerdings wichtig, dass die Forderung hinreichend bestimmt worden ist. In der Regel findet sich in jedem </w:t>
      </w:r>
      <w:hyperlink r:id="rId16" w:tgtFrame="_blank" w:history="1">
        <w:r w:rsidRPr="005562BD">
          <w:rPr>
            <w:rFonts w:ascii="Times New Roman" w:eastAsia="Times New Roman" w:hAnsi="Times New Roman" w:cs="Times New Roman"/>
            <w:color w:val="0000FF"/>
            <w:sz w:val="24"/>
            <w:szCs w:val="24"/>
            <w:u w:val="single"/>
            <w:lang w:eastAsia="de-DE"/>
          </w:rPr>
          <w:t xml:space="preserve">Darlehensvertrag </w:t>
        </w:r>
      </w:hyperlink>
      <w:r w:rsidRPr="005562BD">
        <w:rPr>
          <w:rFonts w:ascii="Times New Roman" w:eastAsia="Times New Roman" w:hAnsi="Times New Roman" w:cs="Times New Roman"/>
          <w:sz w:val="24"/>
          <w:szCs w:val="24"/>
          <w:lang w:eastAsia="de-DE"/>
        </w:rPr>
        <w:t>eine Abtretung der Bezüge (Lohnabtretung), das bedeutet: bei praktisch jedem Darlehen ist der Lohn „pro forma“ abgetreten.</w:t>
      </w:r>
    </w:p>
    <w:p w:rsidR="005562BD" w:rsidRPr="005562BD" w:rsidRDefault="005562BD" w:rsidP="005562BD">
      <w:pPr>
        <w:spacing w:before="100" w:beforeAutospacing="1" w:after="100" w:afterAutospacing="1" w:line="240" w:lineRule="auto"/>
        <w:rPr>
          <w:rFonts w:ascii="Times New Roman" w:eastAsia="Times New Roman" w:hAnsi="Times New Roman" w:cs="Times New Roman"/>
          <w:sz w:val="24"/>
          <w:szCs w:val="24"/>
          <w:lang w:eastAsia="de-DE"/>
        </w:rPr>
      </w:pPr>
      <w:r w:rsidRPr="005562BD">
        <w:rPr>
          <w:rFonts w:ascii="Times New Roman" w:eastAsia="Times New Roman" w:hAnsi="Times New Roman" w:cs="Times New Roman"/>
          <w:sz w:val="24"/>
          <w:szCs w:val="24"/>
          <w:lang w:eastAsia="de-DE"/>
        </w:rPr>
        <w:t xml:space="preserve">Es ist zu beachten, dass faktisch indes nur die chronologisch älteste Abtretung werthaltig ist. Alle zeitlich späteren Lohnabtretungen sind solange wertlos, wie die Forderung mit der ältesten Abtretungserklärung noch besteht. Trotzdem sind spätere Lohnabtretungen nicht sinnlos, erstens könnte die älteste Abtretung irgendwann bedient sein, so dass der Rang als nächste Abtretung erhalten bleibt – zweitens kommt es ist in der Praxis oft vor, dass die älteste Abtretung nicht </w:t>
      </w:r>
      <w:proofErr w:type="gramStart"/>
      <w:r w:rsidRPr="005562BD">
        <w:rPr>
          <w:rFonts w:ascii="Times New Roman" w:eastAsia="Times New Roman" w:hAnsi="Times New Roman" w:cs="Times New Roman"/>
          <w:sz w:val="24"/>
          <w:szCs w:val="24"/>
          <w:lang w:eastAsia="de-DE"/>
        </w:rPr>
        <w:t>offen gelegt</w:t>
      </w:r>
      <w:proofErr w:type="gramEnd"/>
      <w:r w:rsidRPr="005562BD">
        <w:rPr>
          <w:rFonts w:ascii="Times New Roman" w:eastAsia="Times New Roman" w:hAnsi="Times New Roman" w:cs="Times New Roman"/>
          <w:sz w:val="24"/>
          <w:szCs w:val="24"/>
          <w:lang w:eastAsia="de-DE"/>
        </w:rPr>
        <w:t xml:space="preserve"> wird. Der Arbeitgeber muss schließlich nur die Abtretungen berücksichtigen, von denen er Kenntnis hat.</w:t>
      </w:r>
    </w:p>
    <w:p w:rsidR="005562BD" w:rsidRDefault="004023E5">
      <w:pPr>
        <w:rPr>
          <w:rStyle w:val="Hyperlink"/>
        </w:rPr>
      </w:pPr>
      <w:hyperlink r:id="rId17" w:history="1">
        <w:r w:rsidR="005562BD" w:rsidRPr="00171F94">
          <w:rPr>
            <w:rStyle w:val="Hyperlink"/>
          </w:rPr>
          <w:t>https://www.heckmann.net/lohnabtretung/</w:t>
        </w:r>
      </w:hyperlink>
    </w:p>
    <w:p w:rsidR="00CB045D" w:rsidRDefault="00CB045D"/>
    <w:tbl>
      <w:tblPr>
        <w:tblStyle w:val="Tabellenraster"/>
        <w:tblW w:w="0" w:type="auto"/>
        <w:tblLook w:val="04A0" w:firstRow="1" w:lastRow="0" w:firstColumn="1" w:lastColumn="0" w:noHBand="0" w:noVBand="1"/>
      </w:tblPr>
      <w:tblGrid>
        <w:gridCol w:w="1617"/>
        <w:gridCol w:w="4420"/>
        <w:gridCol w:w="4441"/>
      </w:tblGrid>
      <w:tr w:rsidR="00853888" w:rsidTr="00853888">
        <w:tc>
          <w:tcPr>
            <w:tcW w:w="1617" w:type="dxa"/>
          </w:tcPr>
          <w:p w:rsidR="00853888" w:rsidRPr="00853888" w:rsidRDefault="00853888" w:rsidP="00853888">
            <w:pPr>
              <w:jc w:val="center"/>
              <w:rPr>
                <w:b/>
                <w:sz w:val="24"/>
              </w:rPr>
            </w:pPr>
            <w:r w:rsidRPr="00853888">
              <w:rPr>
                <w:b/>
                <w:sz w:val="24"/>
              </w:rPr>
              <w:t>Merkmale</w:t>
            </w:r>
          </w:p>
        </w:tc>
        <w:tc>
          <w:tcPr>
            <w:tcW w:w="4420" w:type="dxa"/>
          </w:tcPr>
          <w:p w:rsidR="00853888" w:rsidRPr="00853888" w:rsidRDefault="00853888" w:rsidP="00853888">
            <w:pPr>
              <w:jc w:val="center"/>
              <w:rPr>
                <w:b/>
                <w:sz w:val="24"/>
              </w:rPr>
            </w:pPr>
            <w:r w:rsidRPr="00853888">
              <w:rPr>
                <w:b/>
                <w:sz w:val="24"/>
              </w:rPr>
              <w:t>Lohnabtretung</w:t>
            </w:r>
          </w:p>
        </w:tc>
        <w:tc>
          <w:tcPr>
            <w:tcW w:w="4441" w:type="dxa"/>
          </w:tcPr>
          <w:p w:rsidR="00853888" w:rsidRPr="00853888" w:rsidRDefault="00853888" w:rsidP="00853888">
            <w:pPr>
              <w:jc w:val="center"/>
              <w:rPr>
                <w:b/>
                <w:sz w:val="24"/>
              </w:rPr>
            </w:pPr>
            <w:r w:rsidRPr="00853888">
              <w:rPr>
                <w:b/>
                <w:sz w:val="24"/>
              </w:rPr>
              <w:t>Lohnpfändung</w:t>
            </w:r>
          </w:p>
        </w:tc>
      </w:tr>
      <w:tr w:rsidR="00853888" w:rsidTr="00853888">
        <w:tc>
          <w:tcPr>
            <w:tcW w:w="1617" w:type="dxa"/>
          </w:tcPr>
          <w:p w:rsidR="00853888" w:rsidRDefault="00853888">
            <w:r>
              <w:t>Grund</w:t>
            </w:r>
          </w:p>
        </w:tc>
        <w:tc>
          <w:tcPr>
            <w:tcW w:w="4420" w:type="dxa"/>
          </w:tcPr>
          <w:p w:rsidR="00853888" w:rsidRDefault="00853888">
            <w:r>
              <w:t xml:space="preserve">Abtretungsvertrag, um Kredit zu bekommen </w:t>
            </w:r>
            <w:r w:rsidRPr="001E6E77">
              <w:rPr>
                <w:b/>
              </w:rPr>
              <w:t>(Kreditsicherheit)</w:t>
            </w:r>
          </w:p>
        </w:tc>
        <w:tc>
          <w:tcPr>
            <w:tcW w:w="4441" w:type="dxa"/>
          </w:tcPr>
          <w:p w:rsidR="00853888" w:rsidRDefault="00853888">
            <w:r>
              <w:t xml:space="preserve">Zwangsvollstreckungsmaßnahme               </w:t>
            </w:r>
            <w:proofErr w:type="gramStart"/>
            <w:r>
              <w:t xml:space="preserve">   (</w:t>
            </w:r>
            <w:proofErr w:type="gramEnd"/>
            <w:r>
              <w:t xml:space="preserve">aus der Not heraus = </w:t>
            </w:r>
            <w:r w:rsidRPr="001E6E77">
              <w:rPr>
                <w:b/>
              </w:rPr>
              <w:t>Überschuldung)</w:t>
            </w:r>
          </w:p>
        </w:tc>
      </w:tr>
      <w:tr w:rsidR="00853888" w:rsidTr="00853888">
        <w:tc>
          <w:tcPr>
            <w:tcW w:w="1617" w:type="dxa"/>
          </w:tcPr>
          <w:p w:rsidR="00853888" w:rsidRDefault="004023E5">
            <w:r>
              <w:t>Arbeitgeber</w:t>
            </w:r>
          </w:p>
        </w:tc>
        <w:tc>
          <w:tcPr>
            <w:tcW w:w="4420" w:type="dxa"/>
          </w:tcPr>
          <w:p w:rsidR="00853888" w:rsidRDefault="00853888">
            <w:r>
              <w:t>AG kann diese im A</w:t>
            </w:r>
            <w:r w:rsidR="004023E5">
              <w:t>rbeitsvertrag</w:t>
            </w:r>
            <w:r>
              <w:t xml:space="preserve"> verweigern</w:t>
            </w:r>
            <w:r w:rsidR="00312960">
              <w:t xml:space="preserve"> </w:t>
            </w:r>
          </w:p>
        </w:tc>
        <w:tc>
          <w:tcPr>
            <w:tcW w:w="4441" w:type="dxa"/>
          </w:tcPr>
          <w:p w:rsidR="00853888" w:rsidRDefault="00853888">
            <w:r>
              <w:t>AG muss Gerichtsbeschluss folgen</w:t>
            </w:r>
            <w:r w:rsidR="00312960">
              <w:t xml:space="preserve"> </w:t>
            </w:r>
          </w:p>
        </w:tc>
      </w:tr>
      <w:tr w:rsidR="004023E5" w:rsidTr="00853888">
        <w:tc>
          <w:tcPr>
            <w:tcW w:w="1617" w:type="dxa"/>
          </w:tcPr>
          <w:p w:rsidR="004023E5" w:rsidRDefault="004023E5">
            <w:r>
              <w:t>Notwendigkeit</w:t>
            </w:r>
          </w:p>
        </w:tc>
        <w:tc>
          <w:tcPr>
            <w:tcW w:w="4420" w:type="dxa"/>
          </w:tcPr>
          <w:p w:rsidR="004023E5" w:rsidRDefault="004023E5">
            <w:r>
              <w:rPr>
                <w:b/>
              </w:rPr>
              <w:t>F</w:t>
            </w:r>
            <w:bookmarkStart w:id="0" w:name="_GoBack"/>
            <w:bookmarkEnd w:id="0"/>
            <w:r w:rsidRPr="001E6E77">
              <w:rPr>
                <w:b/>
              </w:rPr>
              <w:t>reiwillig</w:t>
            </w:r>
          </w:p>
        </w:tc>
        <w:tc>
          <w:tcPr>
            <w:tcW w:w="4441" w:type="dxa"/>
          </w:tcPr>
          <w:p w:rsidR="004023E5" w:rsidRDefault="004023E5">
            <w:r w:rsidRPr="001E6E77">
              <w:rPr>
                <w:b/>
              </w:rPr>
              <w:t>Pflicht</w:t>
            </w:r>
          </w:p>
        </w:tc>
      </w:tr>
      <w:tr w:rsidR="00853888" w:rsidTr="00853888">
        <w:tc>
          <w:tcPr>
            <w:tcW w:w="1617" w:type="dxa"/>
          </w:tcPr>
          <w:p w:rsidR="00853888" w:rsidRDefault="00853888">
            <w:r>
              <w:t>Reihenfolge</w:t>
            </w:r>
          </w:p>
        </w:tc>
        <w:tc>
          <w:tcPr>
            <w:tcW w:w="4420" w:type="dxa"/>
          </w:tcPr>
          <w:p w:rsidR="00853888" w:rsidRDefault="00853888">
            <w:r>
              <w:t xml:space="preserve">Wird zuerst bedient, </w:t>
            </w:r>
            <w:r w:rsidRPr="001E6E77">
              <w:rPr>
                <w:b/>
              </w:rPr>
              <w:t>älteste Abtretung kommt zuerst</w:t>
            </w:r>
          </w:p>
        </w:tc>
        <w:tc>
          <w:tcPr>
            <w:tcW w:w="4441" w:type="dxa"/>
          </w:tcPr>
          <w:p w:rsidR="00853888" w:rsidRDefault="00853888">
            <w:r>
              <w:t xml:space="preserve">Kommt erst </w:t>
            </w:r>
            <w:r w:rsidRPr="001E6E77">
              <w:rPr>
                <w:b/>
              </w:rPr>
              <w:t>nach der Abtretung</w:t>
            </w:r>
            <w:r>
              <w:t xml:space="preserve"> zum Zuge</w:t>
            </w:r>
          </w:p>
        </w:tc>
      </w:tr>
      <w:tr w:rsidR="00853888" w:rsidTr="00853888">
        <w:tc>
          <w:tcPr>
            <w:tcW w:w="1617" w:type="dxa"/>
          </w:tcPr>
          <w:p w:rsidR="00853888" w:rsidRDefault="00853888">
            <w:r>
              <w:t>Gemeinsamkeit</w:t>
            </w:r>
          </w:p>
        </w:tc>
        <w:tc>
          <w:tcPr>
            <w:tcW w:w="8861" w:type="dxa"/>
            <w:gridSpan w:val="2"/>
          </w:tcPr>
          <w:p w:rsidR="00853888" w:rsidRDefault="00853888" w:rsidP="00853888">
            <w:pPr>
              <w:jc w:val="center"/>
            </w:pPr>
            <w:r>
              <w:t>AG führt den Lohnanteil an Gläubiger ab</w:t>
            </w:r>
          </w:p>
        </w:tc>
      </w:tr>
    </w:tbl>
    <w:p w:rsidR="00CB045D" w:rsidRDefault="00CB045D"/>
    <w:p w:rsidR="00CB045D" w:rsidRDefault="00CB045D"/>
    <w:p w:rsidR="00CB045D" w:rsidRDefault="00CB045D">
      <w:r w:rsidRPr="00CB045D">
        <w:rPr>
          <w:noProof/>
        </w:rPr>
        <w:drawing>
          <wp:inline distT="0" distB="0" distL="0" distR="0" wp14:anchorId="2EF03A73" wp14:editId="680FC506">
            <wp:extent cx="5473981" cy="465478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3981" cy="4654789"/>
                    </a:xfrm>
                    <a:prstGeom prst="rect">
                      <a:avLst/>
                    </a:prstGeom>
                  </pic:spPr>
                </pic:pic>
              </a:graphicData>
            </a:graphic>
          </wp:inline>
        </w:drawing>
      </w:r>
    </w:p>
    <w:p w:rsidR="00853888" w:rsidRDefault="00853888"/>
    <w:p w:rsidR="00853888" w:rsidRDefault="00853888"/>
    <w:p w:rsidR="00CB045D" w:rsidRDefault="00CB045D">
      <w:r w:rsidRPr="00CB045D">
        <w:rPr>
          <w:noProof/>
        </w:rPr>
        <w:lastRenderedPageBreak/>
        <w:drawing>
          <wp:inline distT="0" distB="0" distL="0" distR="0" wp14:anchorId="4DA3DBA1" wp14:editId="487E673D">
            <wp:extent cx="4019757" cy="475004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757" cy="4750044"/>
                    </a:xfrm>
                    <a:prstGeom prst="rect">
                      <a:avLst/>
                    </a:prstGeom>
                  </pic:spPr>
                </pic:pic>
              </a:graphicData>
            </a:graphic>
          </wp:inline>
        </w:drawing>
      </w:r>
    </w:p>
    <w:sectPr w:rsidR="00CB045D" w:rsidSect="005562BD">
      <w:pgSz w:w="11906" w:h="16838"/>
      <w:pgMar w:top="284" w:right="56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274BE"/>
    <w:multiLevelType w:val="hybridMultilevel"/>
    <w:tmpl w:val="F9B42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BD"/>
    <w:rsid w:val="00076511"/>
    <w:rsid w:val="00170D4C"/>
    <w:rsid w:val="001A1EE9"/>
    <w:rsid w:val="001E6E77"/>
    <w:rsid w:val="00276F8E"/>
    <w:rsid w:val="00312960"/>
    <w:rsid w:val="004023E5"/>
    <w:rsid w:val="004556AD"/>
    <w:rsid w:val="004E439D"/>
    <w:rsid w:val="005562BD"/>
    <w:rsid w:val="00853888"/>
    <w:rsid w:val="00AF4FEF"/>
    <w:rsid w:val="00CB045D"/>
    <w:rsid w:val="00D8121C"/>
    <w:rsid w:val="00E90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812C"/>
  <w15:chartTrackingRefBased/>
  <w15:docId w15:val="{D7C63356-53AB-4079-82AD-26F1E7A1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562BD"/>
    <w:rPr>
      <w:color w:val="0563C1" w:themeColor="hyperlink"/>
      <w:u w:val="single"/>
    </w:rPr>
  </w:style>
  <w:style w:type="character" w:styleId="NichtaufgelsteErwhnung">
    <w:name w:val="Unresolved Mention"/>
    <w:basedOn w:val="Absatz-Standardschriftart"/>
    <w:uiPriority w:val="99"/>
    <w:semiHidden/>
    <w:unhideWhenUsed/>
    <w:rsid w:val="005562BD"/>
    <w:rPr>
      <w:color w:val="605E5C"/>
      <w:shd w:val="clear" w:color="auto" w:fill="E1DFDD"/>
    </w:rPr>
  </w:style>
  <w:style w:type="character" w:styleId="BesuchterLink">
    <w:name w:val="FollowedHyperlink"/>
    <w:basedOn w:val="Absatz-Standardschriftart"/>
    <w:uiPriority w:val="99"/>
    <w:semiHidden/>
    <w:unhideWhenUsed/>
    <w:rsid w:val="00076511"/>
    <w:rPr>
      <w:color w:val="954F72" w:themeColor="followedHyperlink"/>
      <w:u w:val="single"/>
    </w:rPr>
  </w:style>
  <w:style w:type="paragraph" w:styleId="Listenabsatz">
    <w:name w:val="List Paragraph"/>
    <w:basedOn w:val="Standard"/>
    <w:uiPriority w:val="34"/>
    <w:qFormat/>
    <w:rsid w:val="00E90D02"/>
    <w:pPr>
      <w:ind w:left="720"/>
      <w:contextualSpacing/>
    </w:pPr>
  </w:style>
  <w:style w:type="table" w:styleId="Tabellenraster">
    <w:name w:val="Table Grid"/>
    <w:basedOn w:val="NormaleTabelle"/>
    <w:uiPriority w:val="39"/>
    <w:rsid w:val="0085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88334">
      <w:bodyDiv w:val="1"/>
      <w:marLeft w:val="0"/>
      <w:marRight w:val="0"/>
      <w:marTop w:val="0"/>
      <w:marBottom w:val="0"/>
      <w:divBdr>
        <w:top w:val="none" w:sz="0" w:space="0" w:color="auto"/>
        <w:left w:val="none" w:sz="0" w:space="0" w:color="auto"/>
        <w:bottom w:val="none" w:sz="0" w:space="0" w:color="auto"/>
        <w:right w:val="none" w:sz="0" w:space="0" w:color="auto"/>
      </w:divBdr>
      <w:divsChild>
        <w:div w:id="1083339149">
          <w:marLeft w:val="0"/>
          <w:marRight w:val="0"/>
          <w:marTop w:val="0"/>
          <w:marBottom w:val="0"/>
          <w:divBdr>
            <w:top w:val="none" w:sz="0" w:space="0" w:color="auto"/>
            <w:left w:val="none" w:sz="0" w:space="0" w:color="auto"/>
            <w:bottom w:val="none" w:sz="0" w:space="0" w:color="auto"/>
            <w:right w:val="none" w:sz="0" w:space="0" w:color="auto"/>
          </w:divBdr>
        </w:div>
        <w:div w:id="1464696528">
          <w:marLeft w:val="0"/>
          <w:marRight w:val="0"/>
          <w:marTop w:val="0"/>
          <w:marBottom w:val="0"/>
          <w:divBdr>
            <w:top w:val="none" w:sz="0" w:space="0" w:color="auto"/>
            <w:left w:val="none" w:sz="0" w:space="0" w:color="auto"/>
            <w:bottom w:val="none" w:sz="0" w:space="0" w:color="auto"/>
            <w:right w:val="none" w:sz="0" w:space="0" w:color="auto"/>
          </w:divBdr>
          <w:divsChild>
            <w:div w:id="1521622155">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1777484816">
                  <w:marLeft w:val="0"/>
                  <w:marRight w:val="0"/>
                  <w:marTop w:val="0"/>
                  <w:marBottom w:val="0"/>
                  <w:divBdr>
                    <w:top w:val="none" w:sz="0" w:space="0" w:color="auto"/>
                    <w:left w:val="none" w:sz="0" w:space="0" w:color="auto"/>
                    <w:bottom w:val="none" w:sz="0" w:space="0" w:color="auto"/>
                    <w:right w:val="none" w:sz="0" w:space="0" w:color="auto"/>
                  </w:divBdr>
                </w:div>
                <w:div w:id="648704497">
                  <w:marLeft w:val="0"/>
                  <w:marRight w:val="0"/>
                  <w:marTop w:val="0"/>
                  <w:marBottom w:val="0"/>
                  <w:divBdr>
                    <w:top w:val="none" w:sz="0" w:space="0" w:color="auto"/>
                    <w:left w:val="none" w:sz="0" w:space="0" w:color="auto"/>
                    <w:bottom w:val="none" w:sz="0" w:space="0" w:color="auto"/>
                    <w:right w:val="none" w:sz="0" w:space="0" w:color="auto"/>
                  </w:divBdr>
                </w:div>
              </w:divsChild>
            </w:div>
            <w:div w:id="917515079">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491876377">
                  <w:marLeft w:val="0"/>
                  <w:marRight w:val="0"/>
                  <w:marTop w:val="0"/>
                  <w:marBottom w:val="0"/>
                  <w:divBdr>
                    <w:top w:val="none" w:sz="0" w:space="0" w:color="auto"/>
                    <w:left w:val="none" w:sz="0" w:space="0" w:color="auto"/>
                    <w:bottom w:val="none" w:sz="0" w:space="0" w:color="auto"/>
                    <w:right w:val="none" w:sz="0" w:space="0" w:color="auto"/>
                  </w:divBdr>
                </w:div>
                <w:div w:id="1921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636">
          <w:marLeft w:val="0"/>
          <w:marRight w:val="0"/>
          <w:marTop w:val="0"/>
          <w:marBottom w:val="0"/>
          <w:divBdr>
            <w:top w:val="single" w:sz="12" w:space="15" w:color="AEBF44"/>
            <w:left w:val="single" w:sz="12" w:space="15" w:color="AEBF44"/>
            <w:bottom w:val="single" w:sz="12" w:space="15" w:color="AEBF44"/>
            <w:right w:val="single" w:sz="12" w:space="15" w:color="AEBF44"/>
          </w:divBdr>
          <w:divsChild>
            <w:div w:id="745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504">
      <w:bodyDiv w:val="1"/>
      <w:marLeft w:val="0"/>
      <w:marRight w:val="0"/>
      <w:marTop w:val="0"/>
      <w:marBottom w:val="0"/>
      <w:divBdr>
        <w:top w:val="none" w:sz="0" w:space="0" w:color="auto"/>
        <w:left w:val="none" w:sz="0" w:space="0" w:color="auto"/>
        <w:bottom w:val="none" w:sz="0" w:space="0" w:color="auto"/>
        <w:right w:val="none" w:sz="0" w:space="0" w:color="auto"/>
      </w:divBdr>
      <w:divsChild>
        <w:div w:id="1071999615">
          <w:marLeft w:val="0"/>
          <w:marRight w:val="0"/>
          <w:marTop w:val="0"/>
          <w:marBottom w:val="0"/>
          <w:divBdr>
            <w:top w:val="none" w:sz="0" w:space="0" w:color="auto"/>
            <w:left w:val="none" w:sz="0" w:space="0" w:color="auto"/>
            <w:bottom w:val="none" w:sz="0" w:space="0" w:color="auto"/>
            <w:right w:val="none" w:sz="0" w:space="0" w:color="auto"/>
          </w:divBdr>
        </w:div>
        <w:div w:id="805854919">
          <w:marLeft w:val="0"/>
          <w:marRight w:val="0"/>
          <w:marTop w:val="0"/>
          <w:marBottom w:val="0"/>
          <w:divBdr>
            <w:top w:val="none" w:sz="0" w:space="0" w:color="auto"/>
            <w:left w:val="none" w:sz="0" w:space="0" w:color="auto"/>
            <w:bottom w:val="none" w:sz="0" w:space="0" w:color="auto"/>
            <w:right w:val="none" w:sz="0" w:space="0" w:color="auto"/>
          </w:divBdr>
        </w:div>
        <w:div w:id="874805560">
          <w:marLeft w:val="0"/>
          <w:marRight w:val="0"/>
          <w:marTop w:val="0"/>
          <w:marBottom w:val="0"/>
          <w:divBdr>
            <w:top w:val="none" w:sz="0" w:space="0" w:color="auto"/>
            <w:left w:val="none" w:sz="0" w:space="0" w:color="auto"/>
            <w:bottom w:val="none" w:sz="0" w:space="0" w:color="auto"/>
            <w:right w:val="none" w:sz="0" w:space="0" w:color="auto"/>
          </w:divBdr>
          <w:divsChild>
            <w:div w:id="580797326">
              <w:marLeft w:val="0"/>
              <w:marRight w:val="0"/>
              <w:marTop w:val="0"/>
              <w:marBottom w:val="0"/>
              <w:divBdr>
                <w:top w:val="none" w:sz="0" w:space="0" w:color="auto"/>
                <w:left w:val="none" w:sz="0" w:space="0" w:color="auto"/>
                <w:bottom w:val="none" w:sz="0" w:space="0" w:color="auto"/>
                <w:right w:val="none" w:sz="0" w:space="0" w:color="auto"/>
              </w:divBdr>
            </w:div>
          </w:divsChild>
        </w:div>
        <w:div w:id="2122843621">
          <w:marLeft w:val="0"/>
          <w:marRight w:val="0"/>
          <w:marTop w:val="0"/>
          <w:marBottom w:val="0"/>
          <w:divBdr>
            <w:top w:val="none" w:sz="0" w:space="0" w:color="auto"/>
            <w:left w:val="none" w:sz="0" w:space="0" w:color="auto"/>
            <w:bottom w:val="none" w:sz="0" w:space="0" w:color="auto"/>
            <w:right w:val="none" w:sz="0" w:space="0" w:color="auto"/>
          </w:divBdr>
        </w:div>
        <w:div w:id="453450470">
          <w:marLeft w:val="0"/>
          <w:marRight w:val="0"/>
          <w:marTop w:val="0"/>
          <w:marBottom w:val="0"/>
          <w:divBdr>
            <w:top w:val="none" w:sz="0" w:space="0" w:color="auto"/>
            <w:left w:val="none" w:sz="0" w:space="0" w:color="auto"/>
            <w:bottom w:val="none" w:sz="0" w:space="0" w:color="auto"/>
            <w:right w:val="none" w:sz="0" w:space="0" w:color="auto"/>
          </w:divBdr>
          <w:divsChild>
            <w:div w:id="2133286151">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703096538">
                  <w:marLeft w:val="0"/>
                  <w:marRight w:val="0"/>
                  <w:marTop w:val="0"/>
                  <w:marBottom w:val="0"/>
                  <w:divBdr>
                    <w:top w:val="none" w:sz="0" w:space="0" w:color="auto"/>
                    <w:left w:val="none" w:sz="0" w:space="0" w:color="auto"/>
                    <w:bottom w:val="none" w:sz="0" w:space="0" w:color="auto"/>
                    <w:right w:val="none" w:sz="0" w:space="0" w:color="auto"/>
                  </w:divBdr>
                </w:div>
                <w:div w:id="1565608201">
                  <w:marLeft w:val="0"/>
                  <w:marRight w:val="0"/>
                  <w:marTop w:val="0"/>
                  <w:marBottom w:val="0"/>
                  <w:divBdr>
                    <w:top w:val="none" w:sz="0" w:space="0" w:color="auto"/>
                    <w:left w:val="none" w:sz="0" w:space="0" w:color="auto"/>
                    <w:bottom w:val="none" w:sz="0" w:space="0" w:color="auto"/>
                    <w:right w:val="none" w:sz="0" w:space="0" w:color="auto"/>
                  </w:divBdr>
                </w:div>
              </w:divsChild>
            </w:div>
            <w:div w:id="586186178">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73667643">
                  <w:marLeft w:val="0"/>
                  <w:marRight w:val="0"/>
                  <w:marTop w:val="0"/>
                  <w:marBottom w:val="0"/>
                  <w:divBdr>
                    <w:top w:val="none" w:sz="0" w:space="0" w:color="auto"/>
                    <w:left w:val="none" w:sz="0" w:space="0" w:color="auto"/>
                    <w:bottom w:val="none" w:sz="0" w:space="0" w:color="auto"/>
                    <w:right w:val="none" w:sz="0" w:space="0" w:color="auto"/>
                  </w:divBdr>
                </w:div>
                <w:div w:id="508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748">
          <w:marLeft w:val="0"/>
          <w:marRight w:val="0"/>
          <w:marTop w:val="0"/>
          <w:marBottom w:val="0"/>
          <w:divBdr>
            <w:top w:val="single" w:sz="12" w:space="15" w:color="AEBF44"/>
            <w:left w:val="single" w:sz="12" w:space="15" w:color="AEBF44"/>
            <w:bottom w:val="single" w:sz="12" w:space="15" w:color="AEBF44"/>
            <w:right w:val="single" w:sz="12" w:space="15" w:color="AEBF44"/>
          </w:divBdr>
          <w:divsChild>
            <w:div w:id="1827745581">
              <w:marLeft w:val="0"/>
              <w:marRight w:val="0"/>
              <w:marTop w:val="0"/>
              <w:marBottom w:val="0"/>
              <w:divBdr>
                <w:top w:val="none" w:sz="0" w:space="0" w:color="auto"/>
                <w:left w:val="none" w:sz="0" w:space="0" w:color="auto"/>
                <w:bottom w:val="none" w:sz="0" w:space="0" w:color="auto"/>
                <w:right w:val="none" w:sz="0" w:space="0" w:color="auto"/>
              </w:divBdr>
            </w:div>
          </w:divsChild>
        </w:div>
        <w:div w:id="1997144602">
          <w:marLeft w:val="0"/>
          <w:marRight w:val="0"/>
          <w:marTop w:val="0"/>
          <w:marBottom w:val="0"/>
          <w:divBdr>
            <w:top w:val="none" w:sz="0" w:space="0" w:color="auto"/>
            <w:left w:val="none" w:sz="0" w:space="0" w:color="auto"/>
            <w:bottom w:val="none" w:sz="0" w:space="0" w:color="auto"/>
            <w:right w:val="none" w:sz="0" w:space="0" w:color="auto"/>
          </w:divBdr>
        </w:div>
        <w:div w:id="649989031">
          <w:marLeft w:val="0"/>
          <w:marRight w:val="0"/>
          <w:marTop w:val="0"/>
          <w:marBottom w:val="0"/>
          <w:divBdr>
            <w:top w:val="none" w:sz="0" w:space="0" w:color="auto"/>
            <w:left w:val="none" w:sz="0" w:space="0" w:color="auto"/>
            <w:bottom w:val="none" w:sz="0" w:space="0" w:color="auto"/>
            <w:right w:val="none" w:sz="0" w:space="0" w:color="auto"/>
          </w:divBdr>
        </w:div>
        <w:div w:id="1196038361">
          <w:marLeft w:val="0"/>
          <w:marRight w:val="0"/>
          <w:marTop w:val="0"/>
          <w:marBottom w:val="0"/>
          <w:divBdr>
            <w:top w:val="none" w:sz="0" w:space="0" w:color="auto"/>
            <w:left w:val="none" w:sz="0" w:space="0" w:color="auto"/>
            <w:bottom w:val="none" w:sz="0" w:space="0" w:color="auto"/>
            <w:right w:val="none" w:sz="0" w:space="0" w:color="auto"/>
          </w:divBdr>
          <w:divsChild>
            <w:div w:id="47803695">
              <w:marLeft w:val="0"/>
              <w:marRight w:val="0"/>
              <w:marTop w:val="0"/>
              <w:marBottom w:val="0"/>
              <w:divBdr>
                <w:top w:val="none" w:sz="0" w:space="0" w:color="auto"/>
                <w:left w:val="none" w:sz="0" w:space="0" w:color="auto"/>
                <w:bottom w:val="none" w:sz="0" w:space="0" w:color="auto"/>
                <w:right w:val="none" w:sz="0" w:space="0" w:color="auto"/>
              </w:divBdr>
              <w:divsChild>
                <w:div w:id="2117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887">
          <w:marLeft w:val="0"/>
          <w:marRight w:val="0"/>
          <w:marTop w:val="0"/>
          <w:marBottom w:val="0"/>
          <w:divBdr>
            <w:top w:val="none" w:sz="0" w:space="0" w:color="auto"/>
            <w:left w:val="none" w:sz="0" w:space="0" w:color="auto"/>
            <w:bottom w:val="none" w:sz="0" w:space="0" w:color="auto"/>
            <w:right w:val="none" w:sz="0" w:space="0" w:color="auto"/>
          </w:divBdr>
        </w:div>
        <w:div w:id="1396048614">
          <w:marLeft w:val="0"/>
          <w:marRight w:val="0"/>
          <w:marTop w:val="0"/>
          <w:marBottom w:val="0"/>
          <w:divBdr>
            <w:top w:val="none" w:sz="0" w:space="0" w:color="auto"/>
            <w:left w:val="none" w:sz="0" w:space="0" w:color="auto"/>
            <w:bottom w:val="none" w:sz="0" w:space="0" w:color="auto"/>
            <w:right w:val="none" w:sz="0" w:space="0" w:color="auto"/>
          </w:divBdr>
        </w:div>
        <w:div w:id="1051225872">
          <w:marLeft w:val="0"/>
          <w:marRight w:val="0"/>
          <w:marTop w:val="0"/>
          <w:marBottom w:val="0"/>
          <w:divBdr>
            <w:top w:val="none" w:sz="0" w:space="0" w:color="auto"/>
            <w:left w:val="none" w:sz="0" w:space="0" w:color="auto"/>
            <w:bottom w:val="none" w:sz="0" w:space="0" w:color="auto"/>
            <w:right w:val="none" w:sz="0" w:space="0" w:color="auto"/>
          </w:divBdr>
        </w:div>
        <w:div w:id="191103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ckmann.net/pfaendungsfreibetrag/" TargetMode="External"/><Relationship Id="rId13" Type="http://schemas.openxmlformats.org/officeDocument/2006/relationships/hyperlink" Target="http://dejure.org/gesetze/BGB/400.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eckmann.net/glaeubiger/" TargetMode="External"/><Relationship Id="rId12" Type="http://schemas.openxmlformats.org/officeDocument/2006/relationships/hyperlink" Target="https://www.heckmann.net/pfaendung/" TargetMode="External"/><Relationship Id="rId17" Type="http://schemas.openxmlformats.org/officeDocument/2006/relationships/hyperlink" Target="https://www.heckmann.net/lohnabtretung/" TargetMode="External"/><Relationship Id="rId2" Type="http://schemas.openxmlformats.org/officeDocument/2006/relationships/styles" Target="styles.xml"/><Relationship Id="rId16" Type="http://schemas.openxmlformats.org/officeDocument/2006/relationships/hyperlink" Target="https://dejure.org/gesetze/BGB/48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ckmann.net/schuldner/" TargetMode="External"/><Relationship Id="rId11" Type="http://schemas.openxmlformats.org/officeDocument/2006/relationships/hyperlink" Target="http://dejure.org/gesetze/BGB/398.html" TargetMode="External"/><Relationship Id="rId5" Type="http://schemas.openxmlformats.org/officeDocument/2006/relationships/hyperlink" Target="https://www.heckmann.net/pfaendungstabelle-2019-2021/" TargetMode="External"/><Relationship Id="rId15" Type="http://schemas.openxmlformats.org/officeDocument/2006/relationships/hyperlink" Target="https://www.heckmann.net/pfaendungsfreibetrag-2019/" TargetMode="External"/><Relationship Id="rId10" Type="http://schemas.openxmlformats.org/officeDocument/2006/relationships/hyperlink" Target="http://dejure.org/gesetze/ZPO/850c.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faendungsrechner.net/pfaendungstabelle-2019-2021/" TargetMode="External"/><Relationship Id="rId14" Type="http://schemas.openxmlformats.org/officeDocument/2006/relationships/hyperlink" Target="https://www.heckmann.net/pfaendungsfreibetrag-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11</cp:revision>
  <dcterms:created xsi:type="dcterms:W3CDTF">2022-03-11T07:51:00Z</dcterms:created>
  <dcterms:modified xsi:type="dcterms:W3CDTF">2023-04-25T06:35:00Z</dcterms:modified>
</cp:coreProperties>
</file>