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002" w:rsidRPr="005A6002" w:rsidRDefault="005A6002" w:rsidP="0058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  <w:lang w:eastAsia="de-DE"/>
        </w:rPr>
      </w:pPr>
      <w:r w:rsidRPr="005A6002"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  <w:lang w:eastAsia="de-DE"/>
        </w:rPr>
        <w:t>Aufgaben:</w:t>
      </w:r>
    </w:p>
    <w:p w:rsidR="005A6002" w:rsidRPr="005A6002" w:rsidRDefault="005A6002" w:rsidP="005A600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</w:pPr>
      <w:r w:rsidRPr="005A6002"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>Erläutere kurz die Vor- und Nachteile der beiden Leasingarten.</w:t>
      </w:r>
    </w:p>
    <w:p w:rsidR="005A6002" w:rsidRPr="005A6002" w:rsidRDefault="005A6002" w:rsidP="005A6002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</w:pPr>
      <w:r w:rsidRPr="005A6002"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>Vergleiche die beiden Angebot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>e</w:t>
      </w:r>
      <w:r w:rsidRPr="005A6002"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 xml:space="preserve"> für Herrn Wurm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de-DE"/>
        </w:rPr>
        <w:t>, begründe für welches Angebot er sich entscheiden sollte.</w:t>
      </w:r>
    </w:p>
    <w:p w:rsidR="005871B8" w:rsidRPr="005871B8" w:rsidRDefault="005871B8" w:rsidP="0058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5871B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Leasing</w:t>
      </w:r>
    </w:p>
    <w:p w:rsidR="005871B8" w:rsidRPr="005871B8" w:rsidRDefault="005871B8" w:rsidP="0058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Beim </w:t>
      </w:r>
      <w:proofErr w:type="spellStart"/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Leasing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erwirbt der Leasing-Nehmer ein </w:t>
      </w:r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>kurzfristiges, meist jederzeit kündbares Nutzungsrecht</w:t>
      </w:r>
      <w:r w:rsidRPr="006355DB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 xml:space="preserve">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 einem Objekt. Der 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Leasing-Vertrag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entspricht größtenteils dem zivilrechtlichen Mietvertrag. Im Gegensatz zur mittel- und langfristigen Finanzierung steht beim </w:t>
      </w:r>
      <w:proofErr w:type="spellStart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-Leasing die kurzfristige Nutzung des 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Investitionsgutes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im Vordergrund. So können Engpässe in der Produktion oder im Vertrieb überbrückt werden. Ein wesentliches Merkmal von </w:t>
      </w:r>
      <w:proofErr w:type="spellStart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-Leasing-Verträgen ist, dass die Finanzierungskosten des Leasing-Gebers in einer 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Vertragsperiode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der Regel nicht getilgt werden. Die vollständige Amortisation lässt sich erst dadurch erzielen, dass das Objekt mehrfach verleast und schließlich verkauft wird. </w:t>
      </w:r>
    </w:p>
    <w:p w:rsidR="005871B8" w:rsidRPr="005871B8" w:rsidRDefault="005871B8" w:rsidP="0058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Merkmale des </w:t>
      </w:r>
      <w:proofErr w:type="spellStart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Operate</w:t>
      </w:r>
      <w:proofErr w:type="spellEnd"/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-Leasings sind:</w:t>
      </w:r>
    </w:p>
    <w:p w:rsidR="005871B8" w:rsidRPr="005871B8" w:rsidRDefault="005871B8" w:rsidP="00587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Vertragslaufzeit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proofErr w:type="spellStart"/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>Relativ</w:t>
      </w:r>
      <w:proofErr w:type="spellEnd"/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kurze Vertragslaufzeiten.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Bei Vertragsabschluss auf unbestimmte Zeit besteht ein Kündigungsrecht innerhalb der vereinbarten Fristen. Die Lebensdauer des Objektes übersteigt hier die festgelegte Nutzungsdauer.</w:t>
      </w:r>
    </w:p>
    <w:p w:rsidR="005871B8" w:rsidRPr="005871B8" w:rsidRDefault="005871B8" w:rsidP="00587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Wirtschaftliches Risiko/Objektrisiko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r w:rsidRPr="005A600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Trägt der </w:t>
      </w:r>
      <w:r w:rsidRPr="00471A2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de-DE"/>
        </w:rPr>
        <w:t>Leasing-Geber</w:t>
      </w:r>
      <w:r w:rsidRPr="00471A2B">
        <w:rPr>
          <w:rFonts w:ascii="Times New Roman" w:eastAsia="Times New Roman" w:hAnsi="Times New Roman" w:cs="Times New Roman"/>
          <w:szCs w:val="24"/>
          <w:lang w:eastAsia="de-DE"/>
        </w:rPr>
        <w:t xml:space="preserve">.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Unter wirtschaftlichem Risiko/Objektrisiko versteht man in diesem Zusammenhang die Gefahr der technischen Veralterung des Leasing-Objektes, Diebstahl, technische Defekte oder Beschädigungen.</w:t>
      </w:r>
    </w:p>
    <w:p w:rsidR="005871B8" w:rsidRPr="005871B8" w:rsidRDefault="005871B8" w:rsidP="00587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Instandhaltung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Liegt in der Verantwortung des Leasing-Gebers. Da dieser das Leasing-Gut häufig an mehrere Leasing-Nehmer nacheinander vermietet, ist er besonders am guten Erhaltungszustand des Objektes interessiert. </w:t>
      </w:r>
    </w:p>
    <w:p w:rsidR="005871B8" w:rsidRPr="005871B8" w:rsidRDefault="005871B8" w:rsidP="0058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Finance-Leasing</w:t>
      </w:r>
    </w:p>
    <w:p w:rsidR="005871B8" w:rsidRPr="005871B8" w:rsidRDefault="005871B8" w:rsidP="0058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Spricht man in der Praxis von Leasing ist damit in der Regel das Finanzierungsleasing gemeint. Diese Leasing-Form wird als eigentliches Leasing angesehen. Die 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Verträge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 </w:t>
      </w:r>
      <w:r w:rsidRPr="00471A2B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mittel- oder langfristigen</w:t>
      </w:r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Charakter. </w:t>
      </w:r>
    </w:p>
    <w:p w:rsidR="005871B8" w:rsidRPr="005871B8" w:rsidRDefault="005871B8" w:rsidP="0058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Merkmale des Finance-Leasings sind:</w:t>
      </w:r>
    </w:p>
    <w:p w:rsidR="005871B8" w:rsidRPr="005871B8" w:rsidRDefault="005871B8" w:rsidP="00587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Vertragslaufzeit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spellStart"/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>Lange</w:t>
      </w:r>
      <w:proofErr w:type="spellEnd"/>
      <w:r w:rsidRPr="00471A2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Laufzeiten mit unkündbaren Grundmietzeiten.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Grundmietzeit nähert sich an die betriebliche Nutzungsdauer des Leasing-Gegenstandes an. </w:t>
      </w:r>
    </w:p>
    <w:p w:rsidR="005871B8" w:rsidRPr="005871B8" w:rsidRDefault="005871B8" w:rsidP="00587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Objektrisiko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r w:rsidRPr="005A600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Liegt beim </w:t>
      </w:r>
      <w:r w:rsidRPr="00471A2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de-DE"/>
        </w:rPr>
        <w:t>Leasing-Nehmer</w:t>
      </w:r>
      <w:r w:rsidRPr="00471A2B">
        <w:rPr>
          <w:rFonts w:ascii="Times New Roman" w:eastAsia="Times New Roman" w:hAnsi="Times New Roman" w:cs="Times New Roman"/>
          <w:szCs w:val="24"/>
          <w:lang w:eastAsia="de-DE"/>
        </w:rPr>
        <w:t xml:space="preserve">. </w:t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schließt auch die Bezahlung anfallender Reparaturen und das Abschließen von Versicherungen ein. </w:t>
      </w:r>
    </w:p>
    <w:p w:rsidR="005871B8" w:rsidRPr="005871B8" w:rsidRDefault="005871B8" w:rsidP="00587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Instandhaltung</w:t>
      </w:r>
      <w:r w:rsidRPr="005871B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br/>
      </w:r>
      <w:r w:rsidRPr="005871B8">
        <w:rPr>
          <w:rFonts w:ascii="Times New Roman" w:eastAsia="Times New Roman" w:hAnsi="Times New Roman" w:cs="Times New Roman"/>
          <w:sz w:val="24"/>
          <w:szCs w:val="24"/>
          <w:lang w:eastAsia="de-DE"/>
        </w:rPr>
        <w:t>Da der Leasing-Nehmer in der Regel die Anschaffung bzw. Herstellung des Leasing-Gegenstandes veranlasst hat, ist er auch für die Werterhaltungsmaßnahmen verantwortlich.</w:t>
      </w:r>
    </w:p>
    <w:p w:rsidR="00D81BF4" w:rsidRDefault="00D81BF4"/>
    <w:p w:rsidR="005A6002" w:rsidRDefault="005A6002"/>
    <w:p w:rsidR="005A6002" w:rsidRDefault="005A6002"/>
    <w:p w:rsidR="005A6002" w:rsidRDefault="004A459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453252</wp:posOffset>
                </wp:positionH>
                <wp:positionV relativeFrom="paragraph">
                  <wp:posOffset>1859142</wp:posOffset>
                </wp:positionV>
                <wp:extent cx="2131200" cy="435600"/>
                <wp:effectExtent l="0" t="0" r="21590" b="2222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200" cy="43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59B" w:rsidRPr="004A459B" w:rsidRDefault="004A459B">
                            <w:pPr>
                              <w:rPr>
                                <w:b/>
                              </w:rPr>
                            </w:pPr>
                            <w:r w:rsidRPr="004A459B">
                              <w:rPr>
                                <w:b/>
                              </w:rPr>
                              <w:t>Annuitätsrate: 23739,64 €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.7pt;margin-top:146.4pt;width:167.8pt;height:3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">
                <v:textbox>
                  <w:txbxContent>
                    <w:p w:rsidR="004A459B" w:rsidRPr="004A459B" w:rsidRDefault="004A459B">
                      <w:pPr>
                        <w:rPr>
                          <w:b/>
                        </w:rPr>
                      </w:pPr>
                      <w:r w:rsidRPr="004A459B">
                        <w:rPr>
                          <w:b/>
                        </w:rPr>
                        <w:t>Annuitätsrate: 23739,64 €</w:t>
                      </w:r>
                    </w:p>
                  </w:txbxContent>
                </v:textbox>
              </v:shape>
            </w:pict>
          </mc:Fallback>
        </mc:AlternateContent>
      </w:r>
      <w:r w:rsidR="005A6002" w:rsidRPr="005A6002">
        <w:rPr>
          <w:noProof/>
        </w:rPr>
        <w:drawing>
          <wp:inline distT="0" distB="0" distL="0" distR="0" wp14:anchorId="5FB70430" wp14:editId="1497736C">
            <wp:extent cx="6833235" cy="4586215"/>
            <wp:effectExtent l="0" t="0" r="571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45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7"/>
        <w:gridCol w:w="1484"/>
        <w:gridCol w:w="1366"/>
        <w:gridCol w:w="1395"/>
        <w:gridCol w:w="1447"/>
        <w:gridCol w:w="1411"/>
        <w:gridCol w:w="1396"/>
        <w:gridCol w:w="1411"/>
      </w:tblGrid>
      <w:tr w:rsidR="001C5228" w:rsidTr="00FA5CB6">
        <w:tc>
          <w:tcPr>
            <w:tcW w:w="593" w:type="dxa"/>
          </w:tcPr>
          <w:p w:rsidR="001C5228" w:rsidRPr="00FA5CB6" w:rsidRDefault="00FA5CB6">
            <w:pPr>
              <w:rPr>
                <w:b/>
              </w:rPr>
            </w:pPr>
            <w:r w:rsidRPr="00FA5CB6">
              <w:rPr>
                <w:b/>
              </w:rPr>
              <w:t>Jahr</w:t>
            </w:r>
          </w:p>
        </w:tc>
        <w:tc>
          <w:tcPr>
            <w:tcW w:w="1530" w:type="dxa"/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Darlehen</w:t>
            </w:r>
          </w:p>
        </w:tc>
        <w:tc>
          <w:tcPr>
            <w:tcW w:w="1449" w:type="dxa"/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Zins</w:t>
            </w:r>
          </w:p>
        </w:tc>
        <w:tc>
          <w:tcPr>
            <w:tcW w:w="1449" w:type="dxa"/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Tilgung</w:t>
            </w:r>
          </w:p>
        </w:tc>
        <w:tc>
          <w:tcPr>
            <w:tcW w:w="1449" w:type="dxa"/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Restdarlehen</w:t>
            </w: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Aufwand</w:t>
            </w:r>
          </w:p>
        </w:tc>
        <w:tc>
          <w:tcPr>
            <w:tcW w:w="144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Leasing</w:t>
            </w:r>
          </w:p>
        </w:tc>
        <w:tc>
          <w:tcPr>
            <w:tcW w:w="144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Aufwand</w:t>
            </w:r>
          </w:p>
        </w:tc>
      </w:tr>
      <w:tr w:rsidR="001C5228" w:rsidTr="00FA5CB6">
        <w:tc>
          <w:tcPr>
            <w:tcW w:w="593" w:type="dxa"/>
          </w:tcPr>
          <w:p w:rsidR="00FA5CB6" w:rsidRPr="00FA5CB6" w:rsidRDefault="00FA5CB6" w:rsidP="00FA5CB6">
            <w:pPr>
              <w:jc w:val="center"/>
              <w:rPr>
                <w:b/>
              </w:rPr>
            </w:pPr>
            <w:bookmarkStart w:id="0" w:name="_GoBack" w:colFirst="0" w:colLast="5"/>
            <w:r w:rsidRPr="00FA5CB6">
              <w:rPr>
                <w:b/>
              </w:rPr>
              <w:t>1</w:t>
            </w:r>
          </w:p>
        </w:tc>
        <w:tc>
          <w:tcPr>
            <w:tcW w:w="1530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</w:tr>
      <w:tr w:rsidR="001C5228" w:rsidTr="00FA5CB6">
        <w:tc>
          <w:tcPr>
            <w:tcW w:w="593" w:type="dxa"/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2</w:t>
            </w:r>
          </w:p>
        </w:tc>
        <w:tc>
          <w:tcPr>
            <w:tcW w:w="1530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</w:tr>
      <w:tr w:rsidR="001C5228" w:rsidTr="00FA5CB6">
        <w:tc>
          <w:tcPr>
            <w:tcW w:w="593" w:type="dxa"/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3</w:t>
            </w:r>
          </w:p>
        </w:tc>
        <w:tc>
          <w:tcPr>
            <w:tcW w:w="1530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</w:tr>
      <w:tr w:rsidR="001C5228" w:rsidTr="00FA5CB6">
        <w:tc>
          <w:tcPr>
            <w:tcW w:w="593" w:type="dxa"/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4</w:t>
            </w:r>
          </w:p>
        </w:tc>
        <w:tc>
          <w:tcPr>
            <w:tcW w:w="1530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</w:tr>
      <w:tr w:rsidR="001C5228" w:rsidTr="00FA5CB6">
        <w:tc>
          <w:tcPr>
            <w:tcW w:w="593" w:type="dxa"/>
          </w:tcPr>
          <w:p w:rsidR="001C5228" w:rsidRPr="00FA5CB6" w:rsidRDefault="00FA5CB6" w:rsidP="00FA5CB6">
            <w:pPr>
              <w:jc w:val="center"/>
              <w:rPr>
                <w:b/>
              </w:rPr>
            </w:pPr>
            <w:r w:rsidRPr="00FA5CB6">
              <w:rPr>
                <w:b/>
              </w:rPr>
              <w:t>5</w:t>
            </w:r>
          </w:p>
        </w:tc>
        <w:tc>
          <w:tcPr>
            <w:tcW w:w="1530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1C5228" w:rsidRDefault="001C5228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1C5228" w:rsidRDefault="001C5228" w:rsidP="00FA5CB6">
            <w:pPr>
              <w:jc w:val="center"/>
            </w:pPr>
          </w:p>
        </w:tc>
      </w:tr>
      <w:bookmarkEnd w:id="0"/>
      <w:tr w:rsidR="00FA5CB6" w:rsidTr="00FA5CB6">
        <w:tc>
          <w:tcPr>
            <w:tcW w:w="593" w:type="dxa"/>
          </w:tcPr>
          <w:p w:rsidR="00FA5CB6" w:rsidRPr="00FA5CB6" w:rsidRDefault="00FA5CB6" w:rsidP="00FA5CB6">
            <w:pPr>
              <w:jc w:val="center"/>
              <w:rPr>
                <w:b/>
              </w:rPr>
            </w:pPr>
            <w:r>
              <w:rPr>
                <w:b/>
              </w:rPr>
              <w:t>Summe</w:t>
            </w:r>
          </w:p>
        </w:tc>
        <w:tc>
          <w:tcPr>
            <w:tcW w:w="1530" w:type="dxa"/>
          </w:tcPr>
          <w:p w:rsidR="00FA5CB6" w:rsidRDefault="00FA5CB6" w:rsidP="00FA5CB6">
            <w:pPr>
              <w:jc w:val="center"/>
            </w:pPr>
          </w:p>
        </w:tc>
        <w:tc>
          <w:tcPr>
            <w:tcW w:w="1449" w:type="dxa"/>
          </w:tcPr>
          <w:p w:rsidR="00FA5CB6" w:rsidRDefault="00FA5CB6" w:rsidP="00FA5CB6">
            <w:pPr>
              <w:jc w:val="center"/>
            </w:pPr>
          </w:p>
        </w:tc>
        <w:tc>
          <w:tcPr>
            <w:tcW w:w="1449" w:type="dxa"/>
          </w:tcPr>
          <w:p w:rsidR="00FA5CB6" w:rsidRDefault="00FA5CB6" w:rsidP="00FA5CB6">
            <w:pPr>
              <w:jc w:val="center"/>
            </w:pPr>
          </w:p>
        </w:tc>
        <w:tc>
          <w:tcPr>
            <w:tcW w:w="1449" w:type="dxa"/>
          </w:tcPr>
          <w:p w:rsidR="00FA5CB6" w:rsidRDefault="00FA5CB6" w:rsidP="00FA5CB6">
            <w:pPr>
              <w:jc w:val="center"/>
            </w:pPr>
          </w:p>
        </w:tc>
        <w:tc>
          <w:tcPr>
            <w:tcW w:w="1449" w:type="dxa"/>
            <w:tcBorders>
              <w:right w:val="single" w:sz="18" w:space="0" w:color="auto"/>
            </w:tcBorders>
          </w:tcPr>
          <w:p w:rsidR="00FA5CB6" w:rsidRDefault="00FA5CB6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FA5CB6" w:rsidRDefault="00FA5CB6" w:rsidP="00FA5CB6">
            <w:pPr>
              <w:jc w:val="center"/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FA5CB6" w:rsidRDefault="00FA5CB6" w:rsidP="00FA5CB6">
            <w:pPr>
              <w:jc w:val="center"/>
            </w:pPr>
          </w:p>
        </w:tc>
      </w:tr>
    </w:tbl>
    <w:p w:rsidR="001C5228" w:rsidRDefault="001C5228"/>
    <w:sectPr w:rsidR="001C5228" w:rsidSect="005A6002">
      <w:pgSz w:w="11906" w:h="16838"/>
      <w:pgMar w:top="227" w:right="454" w:bottom="22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C5C"/>
    <w:multiLevelType w:val="multilevel"/>
    <w:tmpl w:val="20EA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C0108"/>
    <w:multiLevelType w:val="multilevel"/>
    <w:tmpl w:val="809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A7E96"/>
    <w:multiLevelType w:val="hybridMultilevel"/>
    <w:tmpl w:val="62A25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1B8"/>
    <w:rsid w:val="001C5228"/>
    <w:rsid w:val="0041131B"/>
    <w:rsid w:val="00471A2B"/>
    <w:rsid w:val="004A459B"/>
    <w:rsid w:val="005871B8"/>
    <w:rsid w:val="005A6002"/>
    <w:rsid w:val="006355DB"/>
    <w:rsid w:val="00737861"/>
    <w:rsid w:val="00D81BF4"/>
    <w:rsid w:val="00F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7DC0"/>
  <w15:docId w15:val="{28BB5D63-84C7-4EC0-A1B9-5581724A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002"/>
    <w:pPr>
      <w:ind w:left="720"/>
      <w:contextualSpacing/>
    </w:pPr>
  </w:style>
  <w:style w:type="table" w:styleId="Tabellenraster">
    <w:name w:val="Table Grid"/>
    <w:basedOn w:val="NormaleTabelle"/>
    <w:uiPriority w:val="59"/>
    <w:rsid w:val="001C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8</cp:revision>
  <cp:lastPrinted>2022-04-12T10:17:00Z</cp:lastPrinted>
  <dcterms:created xsi:type="dcterms:W3CDTF">2017-02-10T07:48:00Z</dcterms:created>
  <dcterms:modified xsi:type="dcterms:W3CDTF">2023-04-25T06:29:00Z</dcterms:modified>
</cp:coreProperties>
</file>