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F8" w:rsidRPr="00C956F8" w:rsidRDefault="00C956F8" w:rsidP="00C956F8">
      <w:pPr>
        <w:spacing w:before="100" w:beforeAutospacing="1" w:after="100" w:afterAutospacing="1" w:line="240" w:lineRule="auto"/>
        <w:outlineLvl w:val="2"/>
        <w:rPr>
          <w:rFonts w:ascii="Times New Roman" w:eastAsia="Times New Roman" w:hAnsi="Times New Roman" w:cs="Times New Roman"/>
          <w:b/>
          <w:bCs/>
          <w:sz w:val="18"/>
          <w:szCs w:val="27"/>
          <w:lang w:eastAsia="de-DE"/>
        </w:rPr>
      </w:pPr>
      <w:hyperlink r:id="rId4" w:history="1">
        <w:r w:rsidRPr="00C956F8">
          <w:rPr>
            <w:rStyle w:val="Hyperlink"/>
            <w:rFonts w:ascii="Times New Roman" w:eastAsia="Times New Roman" w:hAnsi="Times New Roman" w:cs="Times New Roman"/>
            <w:b/>
            <w:bCs/>
            <w:sz w:val="18"/>
            <w:szCs w:val="27"/>
            <w:lang w:eastAsia="de-DE"/>
          </w:rPr>
          <w:t>https://www.bundesgesundheitsministerium.de/themen/pflege/online-ratgeber-pflege/die-pflegeversicherung/finanzierung.html</w:t>
        </w:r>
      </w:hyperlink>
    </w:p>
    <w:p w:rsidR="00C956F8" w:rsidRPr="00C956F8" w:rsidRDefault="00C956F8" w:rsidP="00C956F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956F8">
        <w:rPr>
          <w:rFonts w:ascii="Times New Roman" w:eastAsia="Times New Roman" w:hAnsi="Times New Roman" w:cs="Times New Roman"/>
          <w:b/>
          <w:bCs/>
          <w:sz w:val="27"/>
          <w:szCs w:val="27"/>
          <w:lang w:eastAsia="de-DE"/>
        </w:rPr>
        <w:t xml:space="preserve">Die neuen Beitragssätze für Eltern mit mehreren Kindern </w:t>
      </w:r>
    </w:p>
    <w:p w:rsidR="00C956F8" w:rsidRPr="00C956F8" w:rsidRDefault="00C956F8" w:rsidP="00C956F8">
      <w:pPr>
        <w:spacing w:before="100" w:beforeAutospacing="1" w:after="100" w:afterAutospacing="1" w:line="240" w:lineRule="auto"/>
        <w:rPr>
          <w:rFonts w:ascii="Times New Roman" w:eastAsia="Times New Roman" w:hAnsi="Times New Roman" w:cs="Times New Roman"/>
          <w:sz w:val="24"/>
          <w:szCs w:val="24"/>
          <w:lang w:eastAsia="de-DE"/>
        </w:rPr>
      </w:pPr>
      <w:r w:rsidRPr="00C956F8">
        <w:rPr>
          <w:rFonts w:ascii="Times New Roman" w:eastAsia="Times New Roman" w:hAnsi="Times New Roman" w:cs="Times New Roman"/>
          <w:sz w:val="24"/>
          <w:szCs w:val="24"/>
          <w:lang w:eastAsia="de-DE"/>
        </w:rPr>
        <w:t xml:space="preserve">Ab dem 1. Juli 2023 gelten für Eltern unterschiedliche Beitragssätze in der Pflegeversicherung, je nachdem, wie viele Kinder sie haben. Dies dient der Umsetzung eines Beschlusses des Bundesverfassungsgerichts vom 7. April 2022. Mitglieder mit Kindern erhalten zukünftig je Kind unter 25 Jahren einen Abschlag in Höhe von 0,25 Beitragssatzpunkten. Dies gilt vom zweiten bis zum fünften Kind. Ab dem fünften Kind bleibt es bei einer Entlastung in Höhe eines Abschlags von insgesamt bis zu 1,0 Beitragssatzpunkten. Der Abschlag gilt bis zum Ablauf des Monats, in dem das jeweilige Kind das 25. Lebensjahr vollendet hat oder vollendet hätte. Bei der Ermittlung des Abschlags nicht berücksichtigungsfähig sind Kinder, die das 25. Lebensjahr bereits vollendet haben. </w:t>
      </w:r>
    </w:p>
    <w:p w:rsidR="00C956F8" w:rsidRDefault="00C956F8" w:rsidP="00C956F8">
      <w:pPr>
        <w:pStyle w:val="berschrift4"/>
      </w:pPr>
      <w:r>
        <w:t xml:space="preserve">Spürbare Entlastung während der aktiven Kindererziehungszeit </w:t>
      </w:r>
    </w:p>
    <w:p w:rsidR="00C956F8" w:rsidRDefault="00C956F8" w:rsidP="00C956F8">
      <w:pPr>
        <w:pStyle w:val="StandardWeb"/>
      </w:pPr>
      <w:r>
        <w:rPr>
          <w:rStyle w:val="msoins0"/>
        </w:rPr>
        <w:t>Eltern mit mehreren Kindern werden somit in der Zeit der aktiven Kindererziehung spürbar entlastet. Zur Finanzierung der Abschläge für Kinder wird der Beitragszuschlag für Mitglieder ohne Kinder von 0,35 auf 0,6 Beitragssatzpunkte angehoben.</w:t>
      </w:r>
    </w:p>
    <w:p w:rsidR="00C956F8" w:rsidRDefault="00C956F8" w:rsidP="00C956F8">
      <w:pPr>
        <w:pStyle w:val="StandardWeb"/>
      </w:pPr>
      <w:r>
        <w:rPr>
          <w:rStyle w:val="msoins0"/>
        </w:rPr>
        <w:t>Es gelten somit ab dem 1. Juli 2023 folgende Beitragssätze: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4130"/>
      </w:tblGrid>
      <w:tr w:rsidR="00C956F8" w:rsidTr="00C956F8">
        <w:trPr>
          <w:tblCellSpacing w:w="15" w:type="dxa"/>
        </w:trPr>
        <w:tc>
          <w:tcPr>
            <w:tcW w:w="0" w:type="auto"/>
            <w:vAlign w:val="center"/>
            <w:hideMark/>
          </w:tcPr>
          <w:p w:rsidR="00C956F8" w:rsidRDefault="00C956F8">
            <w:pPr>
              <w:pStyle w:val="StandardWeb"/>
            </w:pPr>
            <w:r>
              <w:rPr>
                <w:rStyle w:val="msoins0"/>
              </w:rPr>
              <w:t>Mitglieder ohne Kinder </w:t>
            </w:r>
          </w:p>
        </w:tc>
        <w:tc>
          <w:tcPr>
            <w:tcW w:w="0" w:type="auto"/>
            <w:vAlign w:val="center"/>
            <w:hideMark/>
          </w:tcPr>
          <w:p w:rsidR="00C956F8" w:rsidRDefault="00C956F8">
            <w:pPr>
              <w:pStyle w:val="StandardWeb"/>
            </w:pPr>
            <w:r>
              <w:rPr>
                <w:rStyle w:val="msoins0"/>
              </w:rPr>
              <w:t>= 4,00 % (Arbeitnehmer-Anteil: 2,3 %)</w:t>
            </w:r>
          </w:p>
        </w:tc>
      </w:tr>
      <w:tr w:rsidR="00C956F8" w:rsidTr="00C956F8">
        <w:trPr>
          <w:tblCellSpacing w:w="15" w:type="dxa"/>
        </w:trPr>
        <w:tc>
          <w:tcPr>
            <w:tcW w:w="0" w:type="auto"/>
            <w:vAlign w:val="center"/>
            <w:hideMark/>
          </w:tcPr>
          <w:p w:rsidR="00C956F8" w:rsidRDefault="00C956F8">
            <w:pPr>
              <w:pStyle w:val="StandardWeb"/>
            </w:pPr>
            <w:r>
              <w:rPr>
                <w:rStyle w:val="msoins0"/>
              </w:rPr>
              <w:t xml:space="preserve">Mitglieder mit 1 Kind </w:t>
            </w:r>
          </w:p>
        </w:tc>
        <w:tc>
          <w:tcPr>
            <w:tcW w:w="0" w:type="auto"/>
            <w:vAlign w:val="center"/>
            <w:hideMark/>
          </w:tcPr>
          <w:p w:rsidR="00C956F8" w:rsidRDefault="00C956F8">
            <w:pPr>
              <w:pStyle w:val="StandardWeb"/>
            </w:pPr>
            <w:r>
              <w:rPr>
                <w:rStyle w:val="msoins0"/>
              </w:rPr>
              <w:t>= 3,40 % (lebenslang) (AN-Anteil: 1,7 %)</w:t>
            </w:r>
          </w:p>
        </w:tc>
      </w:tr>
      <w:tr w:rsidR="00C956F8" w:rsidTr="00C956F8">
        <w:trPr>
          <w:tblCellSpacing w:w="15" w:type="dxa"/>
        </w:trPr>
        <w:tc>
          <w:tcPr>
            <w:tcW w:w="0" w:type="auto"/>
            <w:vAlign w:val="center"/>
            <w:hideMark/>
          </w:tcPr>
          <w:p w:rsidR="00C956F8" w:rsidRDefault="00C956F8">
            <w:pPr>
              <w:pStyle w:val="StandardWeb"/>
            </w:pPr>
            <w:r>
              <w:rPr>
                <w:rStyle w:val="msoins0"/>
              </w:rPr>
              <w:t>Mitglieder mit 2 Kindern</w:t>
            </w:r>
          </w:p>
        </w:tc>
        <w:tc>
          <w:tcPr>
            <w:tcW w:w="0" w:type="auto"/>
            <w:vAlign w:val="center"/>
            <w:hideMark/>
          </w:tcPr>
          <w:p w:rsidR="00C956F8" w:rsidRDefault="00C956F8">
            <w:pPr>
              <w:pStyle w:val="StandardWeb"/>
            </w:pPr>
            <w:r>
              <w:rPr>
                <w:rStyle w:val="msoins0"/>
              </w:rPr>
              <w:t>= 3,15 % (Arbeitnehmer-Anteil: 1,45 %)</w:t>
            </w:r>
          </w:p>
        </w:tc>
      </w:tr>
      <w:tr w:rsidR="00C956F8" w:rsidTr="00C956F8">
        <w:trPr>
          <w:tblCellSpacing w:w="15" w:type="dxa"/>
        </w:trPr>
        <w:tc>
          <w:tcPr>
            <w:tcW w:w="0" w:type="auto"/>
            <w:vAlign w:val="center"/>
            <w:hideMark/>
          </w:tcPr>
          <w:p w:rsidR="00C956F8" w:rsidRDefault="00C956F8">
            <w:pPr>
              <w:pStyle w:val="StandardWeb"/>
            </w:pPr>
            <w:r>
              <w:rPr>
                <w:rStyle w:val="msoins0"/>
              </w:rPr>
              <w:t xml:space="preserve">Mitglieder mit 3 Kindern </w:t>
            </w:r>
          </w:p>
        </w:tc>
        <w:tc>
          <w:tcPr>
            <w:tcW w:w="0" w:type="auto"/>
            <w:vAlign w:val="center"/>
            <w:hideMark/>
          </w:tcPr>
          <w:p w:rsidR="00C956F8" w:rsidRDefault="00C956F8">
            <w:pPr>
              <w:pStyle w:val="StandardWeb"/>
            </w:pPr>
            <w:r>
              <w:rPr>
                <w:rStyle w:val="msoins0"/>
              </w:rPr>
              <w:t xml:space="preserve">= 2,90 % (Arbeitnehmer-Anteil: 1,2 %) </w:t>
            </w:r>
          </w:p>
        </w:tc>
      </w:tr>
      <w:tr w:rsidR="00C956F8" w:rsidTr="00C956F8">
        <w:trPr>
          <w:tblCellSpacing w:w="15" w:type="dxa"/>
        </w:trPr>
        <w:tc>
          <w:tcPr>
            <w:tcW w:w="0" w:type="auto"/>
            <w:vAlign w:val="center"/>
            <w:hideMark/>
          </w:tcPr>
          <w:p w:rsidR="00C956F8" w:rsidRDefault="00C956F8">
            <w:pPr>
              <w:pStyle w:val="StandardWeb"/>
            </w:pPr>
            <w:r>
              <w:rPr>
                <w:rStyle w:val="msoins0"/>
              </w:rPr>
              <w:t>Mitglieder mit 4 Kindern</w:t>
            </w:r>
          </w:p>
        </w:tc>
        <w:tc>
          <w:tcPr>
            <w:tcW w:w="0" w:type="auto"/>
            <w:vAlign w:val="center"/>
            <w:hideMark/>
          </w:tcPr>
          <w:p w:rsidR="00C956F8" w:rsidRDefault="00C956F8">
            <w:pPr>
              <w:pStyle w:val="StandardWeb"/>
            </w:pPr>
            <w:r>
              <w:rPr>
                <w:rStyle w:val="msoins0"/>
              </w:rPr>
              <w:t>= 2,65 % (Arbeitnehmer-Anteil: 0,95 %)</w:t>
            </w:r>
          </w:p>
        </w:tc>
      </w:tr>
      <w:tr w:rsidR="00C956F8" w:rsidTr="00C956F8">
        <w:trPr>
          <w:tblCellSpacing w:w="15" w:type="dxa"/>
        </w:trPr>
        <w:tc>
          <w:tcPr>
            <w:tcW w:w="0" w:type="auto"/>
            <w:vAlign w:val="center"/>
            <w:hideMark/>
          </w:tcPr>
          <w:p w:rsidR="00C956F8" w:rsidRDefault="00C956F8">
            <w:pPr>
              <w:pStyle w:val="StandardWeb"/>
            </w:pPr>
            <w:r>
              <w:rPr>
                <w:rStyle w:val="msoins0"/>
              </w:rPr>
              <w:t xml:space="preserve">Mitglieder mit 5 und mehr Kindern </w:t>
            </w:r>
          </w:p>
        </w:tc>
        <w:tc>
          <w:tcPr>
            <w:tcW w:w="0" w:type="auto"/>
            <w:vAlign w:val="center"/>
            <w:hideMark/>
          </w:tcPr>
          <w:p w:rsidR="00C956F8" w:rsidRDefault="00C956F8">
            <w:pPr>
              <w:pStyle w:val="StandardWeb"/>
            </w:pPr>
            <w:r>
              <w:rPr>
                <w:rStyle w:val="msoins0"/>
              </w:rPr>
              <w:t>= 2,40 % (Arbeitnehmer-Anteil: 0,7 %)</w:t>
            </w:r>
          </w:p>
        </w:tc>
      </w:tr>
    </w:tbl>
    <w:p w:rsidR="00C956F8" w:rsidRDefault="00C956F8" w:rsidP="00C956F8">
      <w:pPr>
        <w:pStyle w:val="StandardWeb"/>
      </w:pPr>
      <w:r>
        <w:t> </w:t>
      </w:r>
      <w:bookmarkStart w:id="0" w:name="_GoBack"/>
      <w:bookmarkEnd w:id="0"/>
      <w:r>
        <w:rPr>
          <w:rStyle w:val="Fett"/>
        </w:rPr>
        <w:t>Gleichbleibender Beitragsanteil für Arbeitgeber</w:t>
      </w:r>
    </w:p>
    <w:p w:rsidR="00C956F8" w:rsidRDefault="00C956F8" w:rsidP="00C956F8">
      <w:pPr>
        <w:pStyle w:val="StandardWeb"/>
      </w:pPr>
      <w:r>
        <w:t>Der Arbeitgeberanteil beträgt unabhängig von der Anzahl der zu berücksichtigenden Kinder 1,7 %.</w:t>
      </w:r>
      <w:r>
        <w:rPr>
          <w:rStyle w:val="Hervorhebung"/>
          <w:rFonts w:eastAsiaTheme="majorEastAsia"/>
        </w:rPr>
        <w:t xml:space="preserve"> </w:t>
      </w:r>
      <w:r>
        <w:t>Für das Bundesland Sachsen gilt die Ausnahme, dass der Arbeitgeberanteil unabhängig von der Anzahl der zu berücksichtigenden Kinder 1,2 % beträgt.</w:t>
      </w:r>
    </w:p>
    <w:p w:rsidR="00C956F8" w:rsidRDefault="00C956F8" w:rsidP="00C956F8">
      <w:pPr>
        <w:pStyle w:val="StandardWeb"/>
      </w:pPr>
      <w:r>
        <w:rPr>
          <w:rStyle w:val="Fett"/>
        </w:rPr>
        <w:t>Nachweis der berücksichtigungsfähigen Kinder</w:t>
      </w:r>
    </w:p>
    <w:p w:rsidR="00C956F8" w:rsidRDefault="00C956F8" w:rsidP="00C956F8">
      <w:pPr>
        <w:pStyle w:val="StandardWeb"/>
      </w:pPr>
      <w:r>
        <w:t>Für die Berücksichtigung der Abschläge muss die Anzahl der Kinder unter 25 Jahren gegenüber der beitragsabführenden Stelle (zum Beispiel der Arbeitgeberin/dem Arbeitgeber oder dem Rentenversicherungsträger) nachgewiesen sein, es sei denn, dieser sind die Angaben bereits bekannt. Bei Selbstzahlerinnen und Selbstzahlern ist der Nachweis gegenüber der Pflegekasse zu führen. Die aktualisierten Empfehlungen des Spitzenverbandes Bund der Pflegekassen zum Nachweis der Elterneigenschaft können demnächst auf dessen Internetseite eingesehen werden.</w:t>
      </w:r>
    </w:p>
    <w:p w:rsidR="00C14738" w:rsidRDefault="00C14738"/>
    <w:sectPr w:rsidR="00C14738" w:rsidSect="00C956F8">
      <w:pgSz w:w="11906" w:h="16838"/>
      <w:pgMar w:top="284" w:right="284"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F8"/>
    <w:rsid w:val="00C14738"/>
    <w:rsid w:val="00C956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74F0"/>
  <w15:chartTrackingRefBased/>
  <w15:docId w15:val="{291BED44-29B1-497C-BB77-29105C4A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C956F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C956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956F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956F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soins0">
    <w:name w:val="msoins"/>
    <w:basedOn w:val="Absatz-Standardschriftart"/>
    <w:rsid w:val="00C956F8"/>
  </w:style>
  <w:style w:type="character" w:styleId="Hyperlink">
    <w:name w:val="Hyperlink"/>
    <w:basedOn w:val="Absatz-Standardschriftart"/>
    <w:uiPriority w:val="99"/>
    <w:unhideWhenUsed/>
    <w:rsid w:val="00C956F8"/>
    <w:rPr>
      <w:color w:val="0563C1" w:themeColor="hyperlink"/>
      <w:u w:val="single"/>
    </w:rPr>
  </w:style>
  <w:style w:type="character" w:styleId="NichtaufgelsteErwhnung">
    <w:name w:val="Unresolved Mention"/>
    <w:basedOn w:val="Absatz-Standardschriftart"/>
    <w:uiPriority w:val="99"/>
    <w:semiHidden/>
    <w:unhideWhenUsed/>
    <w:rsid w:val="00C956F8"/>
    <w:rPr>
      <w:color w:val="605E5C"/>
      <w:shd w:val="clear" w:color="auto" w:fill="E1DFDD"/>
    </w:rPr>
  </w:style>
  <w:style w:type="character" w:customStyle="1" w:styleId="berschrift4Zchn">
    <w:name w:val="Überschrift 4 Zchn"/>
    <w:basedOn w:val="Absatz-Standardschriftart"/>
    <w:link w:val="berschrift4"/>
    <w:uiPriority w:val="9"/>
    <w:semiHidden/>
    <w:rsid w:val="00C956F8"/>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C956F8"/>
    <w:rPr>
      <w:b/>
      <w:bCs/>
    </w:rPr>
  </w:style>
  <w:style w:type="character" w:styleId="Hervorhebung">
    <w:name w:val="Emphasis"/>
    <w:basedOn w:val="Absatz-Standardschriftart"/>
    <w:uiPriority w:val="20"/>
    <w:qFormat/>
    <w:rsid w:val="00C95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4440">
      <w:bodyDiv w:val="1"/>
      <w:marLeft w:val="0"/>
      <w:marRight w:val="0"/>
      <w:marTop w:val="0"/>
      <w:marBottom w:val="0"/>
      <w:divBdr>
        <w:top w:val="none" w:sz="0" w:space="0" w:color="auto"/>
        <w:left w:val="none" w:sz="0" w:space="0" w:color="auto"/>
        <w:bottom w:val="none" w:sz="0" w:space="0" w:color="auto"/>
        <w:right w:val="none" w:sz="0" w:space="0" w:color="auto"/>
      </w:divBdr>
      <w:divsChild>
        <w:div w:id="1021202316">
          <w:marLeft w:val="0"/>
          <w:marRight w:val="0"/>
          <w:marTop w:val="0"/>
          <w:marBottom w:val="0"/>
          <w:divBdr>
            <w:top w:val="none" w:sz="0" w:space="0" w:color="auto"/>
            <w:left w:val="none" w:sz="0" w:space="0" w:color="auto"/>
            <w:bottom w:val="none" w:sz="0" w:space="0" w:color="auto"/>
            <w:right w:val="none" w:sz="0" w:space="0" w:color="auto"/>
          </w:divBdr>
          <w:divsChild>
            <w:div w:id="1060832528">
              <w:marLeft w:val="0"/>
              <w:marRight w:val="0"/>
              <w:marTop w:val="0"/>
              <w:marBottom w:val="0"/>
              <w:divBdr>
                <w:top w:val="none" w:sz="0" w:space="0" w:color="auto"/>
                <w:left w:val="none" w:sz="0" w:space="0" w:color="auto"/>
                <w:bottom w:val="none" w:sz="0" w:space="0" w:color="auto"/>
                <w:right w:val="none" w:sz="0" w:space="0" w:color="auto"/>
              </w:divBdr>
              <w:divsChild>
                <w:div w:id="642197405">
                  <w:marLeft w:val="0"/>
                  <w:marRight w:val="0"/>
                  <w:marTop w:val="0"/>
                  <w:marBottom w:val="0"/>
                  <w:divBdr>
                    <w:top w:val="none" w:sz="0" w:space="0" w:color="auto"/>
                    <w:left w:val="none" w:sz="0" w:space="0" w:color="auto"/>
                    <w:bottom w:val="none" w:sz="0" w:space="0" w:color="auto"/>
                    <w:right w:val="none" w:sz="0" w:space="0" w:color="auto"/>
                  </w:divBdr>
                  <w:divsChild>
                    <w:div w:id="15135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87273">
      <w:bodyDiv w:val="1"/>
      <w:marLeft w:val="0"/>
      <w:marRight w:val="0"/>
      <w:marTop w:val="0"/>
      <w:marBottom w:val="0"/>
      <w:divBdr>
        <w:top w:val="none" w:sz="0" w:space="0" w:color="auto"/>
        <w:left w:val="none" w:sz="0" w:space="0" w:color="auto"/>
        <w:bottom w:val="none" w:sz="0" w:space="0" w:color="auto"/>
        <w:right w:val="none" w:sz="0" w:space="0" w:color="auto"/>
      </w:divBdr>
      <w:divsChild>
        <w:div w:id="841313456">
          <w:marLeft w:val="0"/>
          <w:marRight w:val="0"/>
          <w:marTop w:val="0"/>
          <w:marBottom w:val="0"/>
          <w:divBdr>
            <w:top w:val="none" w:sz="0" w:space="0" w:color="auto"/>
            <w:left w:val="none" w:sz="0" w:space="0" w:color="auto"/>
            <w:bottom w:val="none" w:sz="0" w:space="0" w:color="auto"/>
            <w:right w:val="none" w:sz="0" w:space="0" w:color="auto"/>
          </w:divBdr>
          <w:divsChild>
            <w:div w:id="1756513603">
              <w:marLeft w:val="0"/>
              <w:marRight w:val="0"/>
              <w:marTop w:val="0"/>
              <w:marBottom w:val="0"/>
              <w:divBdr>
                <w:top w:val="none" w:sz="0" w:space="0" w:color="auto"/>
                <w:left w:val="none" w:sz="0" w:space="0" w:color="auto"/>
                <w:bottom w:val="none" w:sz="0" w:space="0" w:color="auto"/>
                <w:right w:val="none" w:sz="0" w:space="0" w:color="auto"/>
              </w:divBdr>
              <w:divsChild>
                <w:div w:id="1591813042">
                  <w:marLeft w:val="0"/>
                  <w:marRight w:val="0"/>
                  <w:marTop w:val="0"/>
                  <w:marBottom w:val="0"/>
                  <w:divBdr>
                    <w:top w:val="none" w:sz="0" w:space="0" w:color="auto"/>
                    <w:left w:val="none" w:sz="0" w:space="0" w:color="auto"/>
                    <w:bottom w:val="none" w:sz="0" w:space="0" w:color="auto"/>
                    <w:right w:val="none" w:sz="0" w:space="0" w:color="auto"/>
                  </w:divBdr>
                  <w:divsChild>
                    <w:div w:id="18283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7727">
          <w:marLeft w:val="0"/>
          <w:marRight w:val="0"/>
          <w:marTop w:val="0"/>
          <w:marBottom w:val="0"/>
          <w:divBdr>
            <w:top w:val="none" w:sz="0" w:space="0" w:color="auto"/>
            <w:left w:val="none" w:sz="0" w:space="0" w:color="auto"/>
            <w:bottom w:val="none" w:sz="0" w:space="0" w:color="auto"/>
            <w:right w:val="none" w:sz="0" w:space="0" w:color="auto"/>
          </w:divBdr>
          <w:divsChild>
            <w:div w:id="874738436">
              <w:marLeft w:val="0"/>
              <w:marRight w:val="0"/>
              <w:marTop w:val="0"/>
              <w:marBottom w:val="0"/>
              <w:divBdr>
                <w:top w:val="none" w:sz="0" w:space="0" w:color="auto"/>
                <w:left w:val="none" w:sz="0" w:space="0" w:color="auto"/>
                <w:bottom w:val="none" w:sz="0" w:space="0" w:color="auto"/>
                <w:right w:val="none" w:sz="0" w:space="0" w:color="auto"/>
              </w:divBdr>
              <w:divsChild>
                <w:div w:id="1327173971">
                  <w:marLeft w:val="0"/>
                  <w:marRight w:val="0"/>
                  <w:marTop w:val="0"/>
                  <w:marBottom w:val="0"/>
                  <w:divBdr>
                    <w:top w:val="none" w:sz="0" w:space="0" w:color="auto"/>
                    <w:left w:val="none" w:sz="0" w:space="0" w:color="auto"/>
                    <w:bottom w:val="none" w:sz="0" w:space="0" w:color="auto"/>
                    <w:right w:val="none" w:sz="0" w:space="0" w:color="auto"/>
                  </w:divBdr>
                  <w:divsChild>
                    <w:div w:id="12450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ndesgesundheitsministerium.de/themen/pflege/online-ratgeber-pflege/die-pflegeversicherung/finanzierun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2351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1</cp:revision>
  <dcterms:created xsi:type="dcterms:W3CDTF">2023-10-24T10:25:00Z</dcterms:created>
  <dcterms:modified xsi:type="dcterms:W3CDTF">2023-10-24T10:27:00Z</dcterms:modified>
</cp:coreProperties>
</file>