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4498" w14:textId="0EB4DC79" w:rsidR="000C3AD4" w:rsidRPr="00825C2B" w:rsidRDefault="002F380A" w:rsidP="00DC564F">
      <w:pPr>
        <w:autoSpaceDE w:val="0"/>
        <w:autoSpaceDN w:val="0"/>
        <w:adjustRightInd w:val="0"/>
        <w:spacing w:after="0" w:line="240" w:lineRule="auto"/>
        <w:ind w:left="142" w:firstLine="425"/>
        <w:jc w:val="center"/>
        <w:rPr>
          <w:rFonts w:ascii="Arial" w:hAnsi="Arial" w:cs="Arial"/>
        </w:rPr>
      </w:pPr>
      <w:r w:rsidRPr="00825C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553102" wp14:editId="2FBC68B2">
            <wp:simplePos x="0" y="0"/>
            <wp:positionH relativeFrom="margin">
              <wp:posOffset>5513216</wp:posOffset>
            </wp:positionH>
            <wp:positionV relativeFrom="paragraph">
              <wp:posOffset>9769</wp:posOffset>
            </wp:positionV>
            <wp:extent cx="558165" cy="340360"/>
            <wp:effectExtent l="0" t="0" r="0" b="2540"/>
            <wp:wrapNone/>
            <wp:docPr id="1" name="Grafik 1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ClipAr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D3B" w:rsidRPr="00825C2B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B6BDFCA" wp14:editId="72068AE5">
            <wp:simplePos x="0" y="0"/>
            <wp:positionH relativeFrom="leftMargin">
              <wp:posOffset>1004588</wp:posOffset>
            </wp:positionH>
            <wp:positionV relativeFrom="paragraph">
              <wp:posOffset>-89535</wp:posOffset>
            </wp:positionV>
            <wp:extent cx="219075" cy="458508"/>
            <wp:effectExtent l="0" t="0" r="0" b="0"/>
            <wp:wrapNone/>
            <wp:docPr id="9" name="Bild 1" descr="Mehr Schutz für Verbrau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hr Schutz für Verbrauch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1" r="31034"/>
                    <a:stretch/>
                  </pic:blipFill>
                  <pic:spPr bwMode="auto">
                    <a:xfrm>
                      <a:off x="0" y="0"/>
                      <a:ext cx="219075" cy="45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4F" w:rsidRPr="00825C2B">
        <w:rPr>
          <w:rFonts w:ascii="Arial" w:hAnsi="Arial" w:cs="Arial"/>
          <w:b/>
          <w:bCs/>
          <w:sz w:val="32"/>
          <w:szCs w:val="32"/>
        </w:rPr>
        <w:t xml:space="preserve">Die </w:t>
      </w:r>
      <w:r w:rsidR="006C4D3B" w:rsidRPr="00825C2B">
        <w:rPr>
          <w:rFonts w:ascii="Arial" w:hAnsi="Arial" w:cs="Arial"/>
          <w:b/>
          <w:bCs/>
          <w:sz w:val="32"/>
          <w:szCs w:val="32"/>
        </w:rPr>
        <w:t>Handlungsvollmacht</w:t>
      </w:r>
    </w:p>
    <w:p w14:paraId="44CD9B49" w14:textId="590B8209" w:rsidR="00E80CF1" w:rsidRDefault="00E80CF1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70ACCF30" w14:textId="32951A30" w:rsidR="00E80CF1" w:rsidRDefault="00E80CF1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819EDB" wp14:editId="41244FA3">
            <wp:extent cx="6191092" cy="3886200"/>
            <wp:effectExtent l="0" t="0" r="63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3461" cy="38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79C" w14:textId="5A3C4220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2F512E51" w14:textId="791CC001" w:rsidR="006C4D3B" w:rsidRDefault="00DC564F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419E5" wp14:editId="2E5B6304">
                <wp:simplePos x="0" y="0"/>
                <wp:positionH relativeFrom="column">
                  <wp:posOffset>-99695</wp:posOffset>
                </wp:positionH>
                <wp:positionV relativeFrom="paragraph">
                  <wp:posOffset>95884</wp:posOffset>
                </wp:positionV>
                <wp:extent cx="6334125" cy="2390775"/>
                <wp:effectExtent l="0" t="0" r="28575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EA4E" id="Rechteck 10" o:spid="_x0000_s1026" style="position:absolute;margin-left:-7.85pt;margin-top:7.55pt;width:498.75pt;height:18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" filled="f" strokecolor="black [3213]" strokeweight="1pt"/>
            </w:pict>
          </mc:Fallback>
        </mc:AlternateContent>
      </w:r>
      <w:r w:rsidR="00854A5C" w:rsidRPr="006C4D3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571C13" wp14:editId="17444B52">
            <wp:simplePos x="0" y="0"/>
            <wp:positionH relativeFrom="rightMargin">
              <wp:posOffset>104140</wp:posOffset>
            </wp:positionH>
            <wp:positionV relativeFrom="paragraph">
              <wp:posOffset>62230</wp:posOffset>
            </wp:positionV>
            <wp:extent cx="428625" cy="428625"/>
            <wp:effectExtent l="0" t="0" r="9525" b="9525"/>
            <wp:wrapNone/>
            <wp:docPr id="2" name="Grafik 2" descr="Information Icon - Illustrationen und Vektorgrafiken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on Icon - Illustrationen und Vektorgrafiken - iSto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14DCF" w14:textId="4B9E1152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</w:t>
      </w:r>
      <w:r>
        <w:rPr>
          <w:rFonts w:ascii="Arial" w:hAnsi="Arial" w:cs="Arial"/>
          <w:b/>
          <w:bCs/>
          <w:sz w:val="20"/>
          <w:szCs w:val="20"/>
        </w:rPr>
        <w:t xml:space="preserve">Handlungsvollmachten </w:t>
      </w:r>
      <w:r>
        <w:rPr>
          <w:rFonts w:ascii="Arial" w:hAnsi="Arial" w:cs="Arial"/>
          <w:sz w:val="20"/>
          <w:szCs w:val="20"/>
        </w:rPr>
        <w:t>lassen sich in folgende drei Arten unterteilen</w:t>
      </w:r>
      <w:r w:rsidR="00854A5C">
        <w:rPr>
          <w:rFonts w:ascii="Arial" w:hAnsi="Arial" w:cs="Arial"/>
          <w:sz w:val="20"/>
          <w:szCs w:val="20"/>
        </w:rPr>
        <w:t>:</w:t>
      </w:r>
    </w:p>
    <w:p w14:paraId="0B82F3D7" w14:textId="77777777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74E652CD" w14:textId="69D60EB2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Die </w:t>
      </w:r>
      <w:r w:rsidR="00854A5C" w:rsidRPr="00854A5C">
        <w:rPr>
          <w:rFonts w:ascii="Arial" w:hAnsi="Arial" w:cs="Arial"/>
          <w:b/>
          <w:bCs/>
          <w:sz w:val="20"/>
          <w:szCs w:val="20"/>
        </w:rPr>
        <w:t>Allgemeine Handlungsvollmacht</w:t>
      </w:r>
      <w:r w:rsidR="00854A5C">
        <w:rPr>
          <w:rFonts w:ascii="Arial" w:hAnsi="Arial" w:cs="Arial"/>
          <w:sz w:val="20"/>
          <w:szCs w:val="20"/>
        </w:rPr>
        <w:t xml:space="preserve"> (auch bekannt als </w:t>
      </w:r>
      <w:r w:rsidRPr="00854A5C">
        <w:rPr>
          <w:rFonts w:ascii="Arial" w:hAnsi="Arial" w:cs="Arial"/>
          <w:sz w:val="20"/>
          <w:szCs w:val="20"/>
        </w:rPr>
        <w:t>Generalhandlungsvollmacht</w:t>
      </w:r>
      <w:r w:rsidR="00854A5C" w:rsidRPr="00854A5C">
        <w:rPr>
          <w:rFonts w:ascii="Arial" w:hAnsi="Arial" w:cs="Arial"/>
          <w:sz w:val="20"/>
          <w:szCs w:val="20"/>
        </w:rPr>
        <w:t xml:space="preserve"> / </w:t>
      </w:r>
      <w:r w:rsidRPr="00854A5C">
        <w:rPr>
          <w:rFonts w:ascii="Arial" w:hAnsi="Arial" w:cs="Arial"/>
          <w:sz w:val="20"/>
          <w:szCs w:val="20"/>
        </w:rPr>
        <w:t>Generalvollmacht</w:t>
      </w:r>
      <w:r w:rsidR="00854A5C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bezieht sich auf</w:t>
      </w:r>
      <w:r w:rsidR="00854A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alle gewöhnlichen und branchenspezifischen Tätigkeiten in einem bestimmten Unternehmen (z. B.: Abteilungsleiter in einem Kleidungsgeschäft dürfen Waren einkaufen, selbstständig Mitarbeiter einstellen</w:t>
      </w:r>
      <w:r w:rsidR="00854A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und entlassen und den Zahlungsverkehr regeln).</w:t>
      </w:r>
    </w:p>
    <w:p w14:paraId="4303732A" w14:textId="77777777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7665F349" w14:textId="23B94902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Die </w:t>
      </w:r>
      <w:r w:rsidR="00854A5C" w:rsidRPr="00854A5C">
        <w:rPr>
          <w:rFonts w:ascii="Arial" w:hAnsi="Arial" w:cs="Arial"/>
          <w:b/>
          <w:bCs/>
          <w:sz w:val="20"/>
          <w:szCs w:val="20"/>
        </w:rPr>
        <w:t>Artvollmacht</w:t>
      </w:r>
      <w:r w:rsidR="00854A5C">
        <w:rPr>
          <w:rFonts w:ascii="Arial" w:hAnsi="Arial" w:cs="Arial"/>
          <w:sz w:val="20"/>
          <w:szCs w:val="20"/>
        </w:rPr>
        <w:t xml:space="preserve"> </w:t>
      </w:r>
      <w:r w:rsidR="00854A5C" w:rsidRPr="00854A5C">
        <w:rPr>
          <w:rFonts w:ascii="Arial" w:hAnsi="Arial" w:cs="Arial"/>
          <w:sz w:val="20"/>
          <w:szCs w:val="20"/>
        </w:rPr>
        <w:t>(</w:t>
      </w:r>
      <w:r w:rsidRPr="00854A5C">
        <w:rPr>
          <w:rFonts w:ascii="Arial" w:hAnsi="Arial" w:cs="Arial"/>
          <w:sz w:val="20"/>
          <w:szCs w:val="20"/>
        </w:rPr>
        <w:t>Arthandlungsvollmacht</w:t>
      </w:r>
      <w:r w:rsidR="00854A5C" w:rsidRPr="00854A5C">
        <w:rPr>
          <w:rFonts w:ascii="Arial" w:hAnsi="Arial" w:cs="Arial"/>
          <w:sz w:val="20"/>
          <w:szCs w:val="20"/>
        </w:rPr>
        <w:t>)</w:t>
      </w:r>
      <w:r w:rsidRPr="00854A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bezieht sich nur auf bestimmte Arten von Geschäften. Sie</w:t>
      </w:r>
    </w:p>
    <w:p w14:paraId="40334057" w14:textId="77777777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wird häufig bei ständig wiederkehrenden Tätigkeiten erteilt (z. B.: Buchhalter werden zur Begleichung</w:t>
      </w:r>
    </w:p>
    <w:p w14:paraId="09381729" w14:textId="7349A9FB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von Rechnungen bevollmächtigt</w:t>
      </w:r>
      <w:r w:rsidR="00DC564F">
        <w:rPr>
          <w:rFonts w:ascii="Arial" w:hAnsi="Arial" w:cs="Arial"/>
          <w:sz w:val="20"/>
          <w:szCs w:val="20"/>
        </w:rPr>
        <w:t>; Abteilungsleiter im Personal darf neue Mitarbeiter einstellen</w:t>
      </w:r>
      <w:r>
        <w:rPr>
          <w:rFonts w:ascii="Arial" w:hAnsi="Arial" w:cs="Arial"/>
          <w:sz w:val="20"/>
          <w:szCs w:val="20"/>
        </w:rPr>
        <w:t>).</w:t>
      </w:r>
    </w:p>
    <w:p w14:paraId="47DD334C" w14:textId="77777777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0C05B551" w14:textId="56F46B86" w:rsidR="006C4D3B" w:rsidRDefault="006C4D3B" w:rsidP="006C4D3B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Die dritte Handlungsvollmacht ist die</w:t>
      </w:r>
      <w:r w:rsidR="00854A5C">
        <w:rPr>
          <w:rFonts w:ascii="Arial" w:hAnsi="Arial" w:cs="Arial"/>
          <w:sz w:val="20"/>
          <w:szCs w:val="20"/>
        </w:rPr>
        <w:t xml:space="preserve"> </w:t>
      </w:r>
      <w:r w:rsidR="00854A5C" w:rsidRPr="00854A5C">
        <w:rPr>
          <w:rFonts w:ascii="Arial" w:hAnsi="Arial" w:cs="Arial"/>
          <w:b/>
          <w:bCs/>
          <w:sz w:val="20"/>
          <w:szCs w:val="20"/>
        </w:rPr>
        <w:t>Einzelvollmacht</w:t>
      </w:r>
      <w:r w:rsidRPr="00854A5C">
        <w:rPr>
          <w:rFonts w:ascii="Arial" w:hAnsi="Arial" w:cs="Arial"/>
          <w:b/>
          <w:bCs/>
          <w:sz w:val="20"/>
          <w:szCs w:val="20"/>
        </w:rPr>
        <w:t xml:space="preserve"> </w:t>
      </w:r>
      <w:r w:rsidR="00854A5C" w:rsidRPr="00854A5C">
        <w:rPr>
          <w:rFonts w:ascii="Arial" w:hAnsi="Arial" w:cs="Arial"/>
          <w:sz w:val="20"/>
          <w:szCs w:val="20"/>
        </w:rPr>
        <w:t xml:space="preserve">(auch </w:t>
      </w:r>
      <w:proofErr w:type="gramStart"/>
      <w:r w:rsidRPr="00854A5C">
        <w:rPr>
          <w:rFonts w:ascii="Arial" w:hAnsi="Arial" w:cs="Arial"/>
          <w:sz w:val="20"/>
          <w:szCs w:val="20"/>
        </w:rPr>
        <w:t>Spezialhandlungsvollmacht,  Sonderhandlungsvollmacht</w:t>
      </w:r>
      <w:proofErr w:type="gramEnd"/>
      <w:r w:rsidRPr="00854A5C">
        <w:rPr>
          <w:rFonts w:ascii="Arial" w:hAnsi="Arial" w:cs="Arial"/>
          <w:sz w:val="20"/>
          <w:szCs w:val="20"/>
        </w:rPr>
        <w:t xml:space="preserve"> genannt</w:t>
      </w:r>
      <w:r w:rsidR="00854A5C" w:rsidRPr="00854A5C">
        <w:rPr>
          <w:rFonts w:ascii="Arial" w:hAnsi="Arial" w:cs="Arial"/>
          <w:sz w:val="20"/>
          <w:szCs w:val="20"/>
        </w:rPr>
        <w:t>)</w:t>
      </w:r>
      <w:r w:rsidRPr="00854A5C">
        <w:rPr>
          <w:rFonts w:ascii="Arial" w:hAnsi="Arial" w:cs="Arial"/>
          <w:sz w:val="20"/>
          <w:szCs w:val="20"/>
        </w:rPr>
        <w:t xml:space="preserve">. Diese Vollmacht bezieht sich nur auf ein einzelnes Geschäft (z. B.: </w:t>
      </w:r>
      <w:r w:rsidR="00DC564F">
        <w:rPr>
          <w:rFonts w:ascii="Arial" w:hAnsi="Arial" w:cs="Arial"/>
          <w:sz w:val="20"/>
          <w:szCs w:val="20"/>
        </w:rPr>
        <w:t>e</w:t>
      </w:r>
      <w:r w:rsidRPr="00854A5C">
        <w:rPr>
          <w:rFonts w:ascii="Arial" w:hAnsi="Arial" w:cs="Arial"/>
          <w:sz w:val="20"/>
          <w:szCs w:val="20"/>
        </w:rPr>
        <w:t>in Angestellter wird zur Anmietung eines</w:t>
      </w:r>
      <w:r>
        <w:rPr>
          <w:rFonts w:ascii="Arial" w:hAnsi="Arial" w:cs="Arial"/>
          <w:sz w:val="20"/>
          <w:szCs w:val="20"/>
        </w:rPr>
        <w:t xml:space="preserve"> Lagerraumes bevollmächtigt</w:t>
      </w:r>
      <w:r w:rsidR="00DC564F">
        <w:rPr>
          <w:rFonts w:ascii="Arial" w:hAnsi="Arial" w:cs="Arial"/>
          <w:sz w:val="20"/>
          <w:szCs w:val="20"/>
        </w:rPr>
        <w:t xml:space="preserve"> oder darf einen LKW für die Firma kaufen</w:t>
      </w:r>
      <w:r>
        <w:rPr>
          <w:rFonts w:ascii="Arial" w:hAnsi="Arial" w:cs="Arial"/>
          <w:sz w:val="20"/>
          <w:szCs w:val="20"/>
        </w:rPr>
        <w:t>).</w:t>
      </w:r>
    </w:p>
    <w:p w14:paraId="2C9BD46E" w14:textId="77777777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69DECBD0" w14:textId="233DEA64" w:rsidR="00E80CF1" w:rsidRDefault="00E80CF1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1955D386" w14:textId="586AA374" w:rsidR="00E80CF1" w:rsidRDefault="00E80CF1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0E0D84AB" w14:textId="37A73A56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2575C126" w14:textId="317F825B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03B8B5B4" w14:textId="601F694B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30175736" w14:textId="0A797ADA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716AB491" w14:textId="259E016F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39A9C263" w14:textId="4093193F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663C5216" w14:textId="33260BC8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559EBFD0" w14:textId="46316554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70092E64" w14:textId="2B459B3B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2860E54D" w14:textId="28497DA9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26668933" w14:textId="46AA23F9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0832D503" w14:textId="2122877E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44B4B77A" w14:textId="63EFA0D4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1309AF7D" w14:textId="4E9DABA1" w:rsidR="006C4D3B" w:rsidRDefault="00A14918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D30D21" wp14:editId="513A8F70">
            <wp:extent cx="6049108" cy="7933537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2666" cy="79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2791" w14:textId="2CD0A49E" w:rsidR="00A14918" w:rsidRDefault="00A14918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5B480B0D" w14:textId="77777777" w:rsidR="00A14918" w:rsidRDefault="00A14918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13B6E0D3" w14:textId="77777777" w:rsidR="00A14918" w:rsidRPr="00AA6C69" w:rsidRDefault="00A14918" w:rsidP="00A149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A6C69">
        <w:rPr>
          <w:rFonts w:ascii="Arial" w:hAnsi="Arial" w:cs="Arial"/>
          <w:b/>
          <w:bCs/>
          <w:sz w:val="20"/>
          <w:szCs w:val="20"/>
        </w:rPr>
        <w:t>Unterschrift der Handlungsbevollmächtigten: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9DBB1E7" w14:textId="77777777" w:rsidR="00A14918" w:rsidRDefault="00A14918" w:rsidP="00A149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983228" w14:textId="05C9194D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0EDC609D" w14:textId="37731F02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56795D80" w14:textId="0904E62C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1BFEE454" w14:textId="1C8A22CA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38645E75" w14:textId="78135919" w:rsidR="000A0D47" w:rsidRDefault="00A14918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BF815C" wp14:editId="288D5BD2">
            <wp:extent cx="6087875" cy="8657492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3859" cy="86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14A1" w14:textId="7AD1A060" w:rsidR="000A0D47" w:rsidRDefault="000A0D47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70BEE6E2" w14:textId="77777777" w:rsidR="006C4D3B" w:rsidRDefault="006C4D3B" w:rsidP="000C3AD4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sectPr w:rsidR="006C4D3B" w:rsidSect="000A0D47">
      <w:headerReference w:type="default" r:id="rId13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5AB0" w14:textId="77777777" w:rsidR="00085071" w:rsidRDefault="00085071" w:rsidP="007D0EA0">
      <w:pPr>
        <w:spacing w:after="0" w:line="240" w:lineRule="auto"/>
      </w:pPr>
      <w:r>
        <w:separator/>
      </w:r>
    </w:p>
  </w:endnote>
  <w:endnote w:type="continuationSeparator" w:id="0">
    <w:p w14:paraId="4A2BCBF6" w14:textId="77777777" w:rsidR="00085071" w:rsidRDefault="00085071" w:rsidP="007D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7D7E" w14:textId="77777777" w:rsidR="00085071" w:rsidRDefault="00085071" w:rsidP="007D0EA0">
      <w:pPr>
        <w:spacing w:after="0" w:line="240" w:lineRule="auto"/>
      </w:pPr>
      <w:r>
        <w:separator/>
      </w:r>
    </w:p>
  </w:footnote>
  <w:footnote w:type="continuationSeparator" w:id="0">
    <w:p w14:paraId="3B12827E" w14:textId="77777777" w:rsidR="00085071" w:rsidRDefault="00085071" w:rsidP="007D0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932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7"/>
      <w:gridCol w:w="868"/>
      <w:gridCol w:w="4961"/>
      <w:gridCol w:w="913"/>
      <w:gridCol w:w="1933"/>
      <w:gridCol w:w="1140"/>
    </w:tblGrid>
    <w:tr w:rsidR="007D0EA0" w14:paraId="15EA6ED3" w14:textId="77777777" w:rsidTr="007D0EA0">
      <w:trPr>
        <w:trHeight w:val="611"/>
      </w:trPr>
      <w:tc>
        <w:tcPr>
          <w:tcW w:w="1117" w:type="dxa"/>
        </w:tcPr>
        <w:p w14:paraId="5B545AD5" w14:textId="10F27FF6" w:rsidR="007D0EA0" w:rsidRDefault="007D0EA0" w:rsidP="007D0EA0">
          <w:pPr>
            <w:pStyle w:val="Kopfzeil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BFK-B</w:t>
          </w:r>
        </w:p>
      </w:tc>
      <w:tc>
        <w:tcPr>
          <w:tcW w:w="868" w:type="dxa"/>
        </w:tcPr>
        <w:p w14:paraId="4E2D9749" w14:textId="77AC239A" w:rsidR="007D0EA0" w:rsidRDefault="007D0EA0" w:rsidP="007D0EA0">
          <w:pPr>
            <w:pStyle w:val="Kopfzeil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 LJ</w:t>
          </w:r>
        </w:p>
      </w:tc>
      <w:tc>
        <w:tcPr>
          <w:tcW w:w="4961" w:type="dxa"/>
        </w:tcPr>
        <w:p w14:paraId="4611B9AA" w14:textId="76CB916F" w:rsidR="007D0EA0" w:rsidRPr="001F6B46" w:rsidRDefault="007D0EA0" w:rsidP="007D0EA0">
          <w:pPr>
            <w:pStyle w:val="Kopfzeile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F6B46">
            <w:rPr>
              <w:rFonts w:ascii="Arial" w:hAnsi="Arial" w:cs="Arial"/>
              <w:b/>
              <w:bCs/>
              <w:sz w:val="24"/>
              <w:szCs w:val="24"/>
            </w:rPr>
            <w:t>L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F</w:t>
          </w:r>
          <w:r w:rsidRPr="001F6B46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Pr="001F6B46">
            <w:rPr>
              <w:rFonts w:ascii="Arial" w:hAnsi="Arial" w:cs="Arial"/>
              <w:b/>
              <w:bCs/>
              <w:sz w:val="24"/>
              <w:szCs w:val="24"/>
            </w:rPr>
            <w:t xml:space="preserve">: </w:t>
          </w:r>
        </w:p>
        <w:p w14:paraId="310C890C" w14:textId="3A5960AB" w:rsidR="007D0EA0" w:rsidRDefault="007D0EA0" w:rsidP="007D0EA0">
          <w:pPr>
            <w:pStyle w:val="Kopfzeil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Handlungs- &amp; Entscheidungsspielraum</w:t>
          </w:r>
        </w:p>
      </w:tc>
      <w:tc>
        <w:tcPr>
          <w:tcW w:w="913" w:type="dxa"/>
        </w:tcPr>
        <w:p w14:paraId="48F2667A" w14:textId="77777777" w:rsidR="007D0EA0" w:rsidRPr="00673117" w:rsidRDefault="007D0EA0" w:rsidP="007D0EA0">
          <w:pPr>
            <w:pStyle w:val="Kopfzeile"/>
            <w:rPr>
              <w:rFonts w:ascii="Arial" w:hAnsi="Arial" w:cs="Arial"/>
              <w:noProof/>
              <w:sz w:val="24"/>
              <w:szCs w:val="24"/>
            </w:rPr>
          </w:pPr>
          <w:r w:rsidRPr="00673117">
            <w:rPr>
              <w:rFonts w:ascii="Arial" w:hAnsi="Arial" w:cs="Arial"/>
              <w:sz w:val="24"/>
              <w:szCs w:val="24"/>
            </w:rPr>
            <w:t>Queck</w:t>
          </w:r>
        </w:p>
      </w:tc>
      <w:tc>
        <w:tcPr>
          <w:tcW w:w="1933" w:type="dxa"/>
        </w:tcPr>
        <w:p w14:paraId="16523D59" w14:textId="77777777" w:rsidR="007D0EA0" w:rsidRPr="00673117" w:rsidRDefault="007D0EA0" w:rsidP="007D0EA0">
          <w:pPr>
            <w:pStyle w:val="Kopfzeile"/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Datum:</w:t>
          </w:r>
        </w:p>
      </w:tc>
      <w:tc>
        <w:tcPr>
          <w:tcW w:w="1140" w:type="dxa"/>
        </w:tcPr>
        <w:p w14:paraId="6C084FCD" w14:textId="77777777" w:rsidR="007D0EA0" w:rsidRDefault="007D0EA0" w:rsidP="007D0EA0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DAA5829" wp14:editId="6B050FFB">
                <wp:simplePos x="0" y="0"/>
                <wp:positionH relativeFrom="column">
                  <wp:posOffset>41593</wp:posOffset>
                </wp:positionH>
                <wp:positionV relativeFrom="paragraph">
                  <wp:posOffset>45403</wp:posOffset>
                </wp:positionV>
                <wp:extent cx="564436" cy="247650"/>
                <wp:effectExtent l="0" t="0" r="7620" b="0"/>
                <wp:wrapNone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436" cy="247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88E08F3" w14:textId="77777777" w:rsidR="007D0EA0" w:rsidRDefault="007D0E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A0"/>
    <w:rsid w:val="00085071"/>
    <w:rsid w:val="000A0D47"/>
    <w:rsid w:val="000C3AD4"/>
    <w:rsid w:val="002F380A"/>
    <w:rsid w:val="00434477"/>
    <w:rsid w:val="00536E31"/>
    <w:rsid w:val="006C4D3B"/>
    <w:rsid w:val="007074A6"/>
    <w:rsid w:val="007D0EA0"/>
    <w:rsid w:val="00825C2B"/>
    <w:rsid w:val="00854A5C"/>
    <w:rsid w:val="009908D2"/>
    <w:rsid w:val="00A14918"/>
    <w:rsid w:val="00AC346D"/>
    <w:rsid w:val="00CB4C25"/>
    <w:rsid w:val="00D348F4"/>
    <w:rsid w:val="00DC564F"/>
    <w:rsid w:val="00E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8CD9"/>
  <w15:chartTrackingRefBased/>
  <w15:docId w15:val="{1AEF524F-10B0-49D4-B8D1-47B71EB9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0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0EA0"/>
  </w:style>
  <w:style w:type="paragraph" w:styleId="Fuzeile">
    <w:name w:val="footer"/>
    <w:basedOn w:val="Standard"/>
    <w:link w:val="FuzeileZchn"/>
    <w:uiPriority w:val="99"/>
    <w:unhideWhenUsed/>
    <w:rsid w:val="007D0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0EA0"/>
  </w:style>
  <w:style w:type="table" w:styleId="Tabellenraster">
    <w:name w:val="Table Grid"/>
    <w:basedOn w:val="NormaleTabelle"/>
    <w:uiPriority w:val="39"/>
    <w:rsid w:val="007D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50F0A-9FF4-4497-8D81-D03D7A81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Queck</dc:creator>
  <cp:keywords/>
  <dc:description/>
  <cp:lastModifiedBy>Hendrik Queck</cp:lastModifiedBy>
  <cp:revision>3</cp:revision>
  <dcterms:created xsi:type="dcterms:W3CDTF">2022-09-26T14:24:00Z</dcterms:created>
  <dcterms:modified xsi:type="dcterms:W3CDTF">2022-09-26T14:30:00Z</dcterms:modified>
</cp:coreProperties>
</file>