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A93C" w14:textId="532C5705" w:rsidR="00E05938" w:rsidRPr="002C6346" w:rsidRDefault="00E05938" w:rsidP="00E05938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</w:rPr>
      </w:pPr>
      <w:r w:rsidRPr="002C6346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03275C" wp14:editId="7B43B991">
            <wp:simplePos x="0" y="0"/>
            <wp:positionH relativeFrom="margin">
              <wp:posOffset>5539105</wp:posOffset>
            </wp:positionH>
            <wp:positionV relativeFrom="paragraph">
              <wp:posOffset>34925</wp:posOffset>
            </wp:positionV>
            <wp:extent cx="558165" cy="340360"/>
            <wp:effectExtent l="0" t="0" r="0" b="2540"/>
            <wp:wrapNone/>
            <wp:docPr id="6" name="Grafik 6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ClipAr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346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1A306E7" wp14:editId="5BA7DB42">
            <wp:simplePos x="0" y="0"/>
            <wp:positionH relativeFrom="leftMargin">
              <wp:posOffset>1052072</wp:posOffset>
            </wp:positionH>
            <wp:positionV relativeFrom="paragraph">
              <wp:posOffset>-42033</wp:posOffset>
            </wp:positionV>
            <wp:extent cx="219075" cy="458508"/>
            <wp:effectExtent l="0" t="0" r="0" b="0"/>
            <wp:wrapNone/>
            <wp:docPr id="9" name="Bild 1" descr="Mehr Schutz für Verbrau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hr Schutz für Verbrauch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1" r="31034"/>
                    <a:stretch/>
                  </pic:blipFill>
                  <pic:spPr bwMode="auto">
                    <a:xfrm>
                      <a:off x="0" y="0"/>
                      <a:ext cx="219075" cy="45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346">
        <w:rPr>
          <w:rFonts w:ascii="Arial" w:hAnsi="Arial" w:cs="Arial"/>
          <w:b/>
          <w:bCs/>
          <w:sz w:val="32"/>
          <w:szCs w:val="32"/>
        </w:rPr>
        <w:t xml:space="preserve">Die </w:t>
      </w:r>
      <w:r w:rsidRPr="002C6346">
        <w:rPr>
          <w:rFonts w:ascii="Arial" w:hAnsi="Arial" w:cs="Arial"/>
          <w:b/>
          <w:bCs/>
          <w:sz w:val="32"/>
          <w:szCs w:val="32"/>
        </w:rPr>
        <w:t>Prokura</w:t>
      </w:r>
    </w:p>
    <w:p w14:paraId="21FFE7D9" w14:textId="34069D9E" w:rsidR="008231B6" w:rsidRDefault="008231B6" w:rsidP="00E05938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0F1245B2" w14:textId="2E5DFD60" w:rsidR="008231B6" w:rsidRDefault="008231B6" w:rsidP="000C3AD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8EB3468" wp14:editId="332D99F4">
            <wp:extent cx="6197743" cy="52959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958" cy="53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016D" w14:textId="731B8D28" w:rsidR="008231B6" w:rsidRDefault="002C6346" w:rsidP="000C3AD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36B91" wp14:editId="41B6AA19">
                <wp:simplePos x="0" y="0"/>
                <wp:positionH relativeFrom="column">
                  <wp:posOffset>-48895</wp:posOffset>
                </wp:positionH>
                <wp:positionV relativeFrom="paragraph">
                  <wp:posOffset>83820</wp:posOffset>
                </wp:positionV>
                <wp:extent cx="6318885" cy="3162300"/>
                <wp:effectExtent l="0" t="0" r="2476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885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4A6CD" id="Rechteck 10" o:spid="_x0000_s1026" style="position:absolute;margin-left:-3.85pt;margin-top:6.6pt;width:497.55pt;height:24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yBgAIAAF8FAAAOAAAAZHJzL2Uyb0RvYy54bWysVEtv2zAMvg/YfxB0X22nj2VBnSJo0WFA&#10;0QZrh55VWaoNyKJGKXGyXz9KfiToih2G+SCLIvmR/ETq8mrXGrZV6BuwJS9Ocs6UlVA19rXkP55u&#10;P80580HYShiwquR75fnV8uOHy84t1AxqMJVCRiDWLzpX8joEt8gyL2vVCn8CTllSasBWBBLxNatQ&#10;dITemmyW5xdZB1g5BKm8p9ObXsmXCV9rJcOD1l4FZkpOuYW0Ylpf4potL8XiFYWrGzmkIf4hi1Y0&#10;loJOUDciCLbB5g+otpEIHnQ4kdBmoHUjVaqBqinyN9U81sKpVAuR491Ek/9/sPJ+++jWSDR0zi88&#10;bWMVO41t/FN+bJfI2k9kqV1gkg4vTov5fH7OmSTdaXExO80TndnB3aEPXxW0LG5KjnQbiSSxvfOB&#10;QpLpaBKjWbhtjEk3Ymw88GCaKp4lIbaEujbItoIuM+yKeHkEcWRFUvTMDrWkXdgbFSGM/a40ayrK&#10;fpYSSW12wBRSKhuKXlWLSvWhznP6xmBjFil0AozImpKcsAeA0bIHGbH7nAf76KpSl07O+d8S650n&#10;jxQZbJic28YCvgdgqKohcm8/ktRTE1l6gWq/RobQz4h38raha7sTPqwF0lDQ+NCghwdatIGu5DDs&#10;OKsBf713Hu2pV0nLWUdDVnL/cyNQcWa+WeriL8XZWZzKJJydf56RgMeal2ON3bTXQFdf0JPiZNpG&#10;+2DGrUZon+k9WMWopBJWUuySy4CjcB364acXRarVKpnRJDoR7uyjkxE8shrb8mn3LNANvRuo7e9h&#10;HEixeNPCvW30tLDaBNBN6u8DrwPfNMWpcYYXJz4Tx3KyOryLy98AAAD//wMAUEsDBBQABgAIAAAA&#10;IQAo3hp/4gAAAAkBAAAPAAAAZHJzL2Rvd25yZXYueG1sTI/NTsMwEITvSLyDtUhcqtZJ+EkJcSoE&#10;AvWAkChw4LaJlzg0tqPYbcPbdznBcXZGM9+Wq8n2Yk9j6LxTkC4SEOQarzvXKnh/e5wvQYSITmPv&#10;HSn4oQCr6vSkxEL7g3ul/Sa2gktcKFCBiXEopAyNIYth4Qdy7H350WJkObZSj3jgctvLLEmupcXO&#10;8YLBge4NNdvNzir4XE+x/U6f4vMWZx+ztambl4daqfOz6e4WRKQp/oXhF5/RoWKm2u+cDqJXMM9z&#10;TvL9IgPB/s0yvwRRK7hK0wxkVcr/H1RHAAAA//8DAFBLAQItABQABgAIAAAAIQC2gziS/gAAAOEB&#10;AAATAAAAAAAAAAAAAAAAAAAAAABbQ29udGVudF9UeXBlc10ueG1sUEsBAi0AFAAGAAgAAAAhADj9&#10;If/WAAAAlAEAAAsAAAAAAAAAAAAAAAAALwEAAF9yZWxzLy5yZWxzUEsBAi0AFAAGAAgAAAAhABwf&#10;TIGAAgAAXwUAAA4AAAAAAAAAAAAAAAAALgIAAGRycy9lMm9Eb2MueG1sUEsBAi0AFAAGAAgAAAAh&#10;ACjeGn/iAAAACQEAAA8AAAAAAAAAAAAAAAAA2gQAAGRycy9kb3ducmV2LnhtbFBLBQYAAAAABAAE&#10;APMAAADpBQAAAAA=&#10;" filled="f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6741CA" wp14:editId="1741AD58">
            <wp:simplePos x="0" y="0"/>
            <wp:positionH relativeFrom="column">
              <wp:posOffset>5930900</wp:posOffset>
            </wp:positionH>
            <wp:positionV relativeFrom="paragraph">
              <wp:posOffset>109937</wp:posOffset>
            </wp:positionV>
            <wp:extent cx="327211" cy="340659"/>
            <wp:effectExtent l="0" t="0" r="0" b="2540"/>
            <wp:wrapNone/>
            <wp:docPr id="8" name="Grafik 8" descr="Information Icon - Illustrationen und Vektorgrafiken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on Icon - Illustrationen und Vektorgrafiken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0" t="16374" r="17125" b="14387"/>
                    <a:stretch/>
                  </pic:blipFill>
                  <pic:spPr bwMode="auto">
                    <a:xfrm>
                      <a:off x="0" y="0"/>
                      <a:ext cx="327211" cy="34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1509F" w14:textId="57F69668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Ein Prokurist ist dazu berechtigt,</w:t>
      </w:r>
      <w:r w:rsidR="00E059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eine Unternehmung voll zu vertreten. Er kann also - im Gegensatz zum Handlungsbevollmächtigten </w:t>
      </w:r>
      <w:r w:rsidR="00E05938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auch</w:t>
      </w:r>
      <w:r w:rsidR="00E059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außergewöhnliche Geschäfte abschließen. Zu diesen außergewöhnlichen Geschäften gehören z. B.:</w:t>
      </w:r>
    </w:p>
    <w:p w14:paraId="287EACAB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Grundstücke erwerben,</w:t>
      </w:r>
    </w:p>
    <w:p w14:paraId="1EB2EBD9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Prozesse führen,</w:t>
      </w:r>
    </w:p>
    <w:p w14:paraId="510EA17F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Darlehen aufnehmen,</w:t>
      </w:r>
    </w:p>
    <w:p w14:paraId="395671C9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Eingehen von Bürgschaften.</w:t>
      </w:r>
    </w:p>
    <w:p w14:paraId="4457EE08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2AF10961" w14:textId="6C2C82C3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 w:rsidRPr="002C6346">
        <w:rPr>
          <w:rFonts w:ascii="Arial" w:hAnsi="Arial" w:cs="Arial"/>
          <w:sz w:val="20"/>
          <w:szCs w:val="20"/>
          <w:u w:val="single"/>
        </w:rPr>
        <w:t>Folgende Geschäfte dürfen allerdings auch nicht von einem Prokuristen übernommen werden</w:t>
      </w:r>
      <w:r>
        <w:rPr>
          <w:rFonts w:ascii="Arial" w:hAnsi="Arial" w:cs="Arial"/>
          <w:sz w:val="20"/>
          <w:szCs w:val="20"/>
        </w:rPr>
        <w:t>:</w:t>
      </w:r>
    </w:p>
    <w:p w14:paraId="7C01987D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Verkauf des Geschäftes; Änderung oder Löschung der Firma; Anmeldung der Insolvenz; </w:t>
      </w:r>
      <w:proofErr w:type="spellStart"/>
      <w:r>
        <w:rPr>
          <w:rFonts w:ascii="Arial" w:hAnsi="Arial" w:cs="Arial"/>
          <w:sz w:val="20"/>
          <w:szCs w:val="20"/>
        </w:rPr>
        <w:t>Prokuraerteilung</w:t>
      </w:r>
      <w:proofErr w:type="spellEnd"/>
    </w:p>
    <w:p w14:paraId="6443F3D6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andere Mitarbeiter; Anmeldungen zum Handelsregister; Unterschreiben von Steuererklärungen; Leisten</w:t>
      </w:r>
    </w:p>
    <w:p w14:paraId="1DEE3F79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eines Eides für den Unternehmensinhaber.</w:t>
      </w:r>
    </w:p>
    <w:p w14:paraId="5805B98E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</w:p>
    <w:p w14:paraId="676D8362" w14:textId="2D8C3559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kann zwischen folgenden </w:t>
      </w:r>
      <w:r w:rsidRPr="002C6346">
        <w:rPr>
          <w:rFonts w:ascii="Arial" w:hAnsi="Arial" w:cs="Arial"/>
          <w:b/>
          <w:bCs/>
          <w:sz w:val="20"/>
          <w:szCs w:val="20"/>
        </w:rPr>
        <w:t xml:space="preserve">vier </w:t>
      </w:r>
      <w:proofErr w:type="spellStart"/>
      <w:r w:rsidRPr="002C6346">
        <w:rPr>
          <w:rFonts w:ascii="Arial" w:hAnsi="Arial" w:cs="Arial"/>
          <w:b/>
          <w:bCs/>
          <w:sz w:val="20"/>
          <w:szCs w:val="20"/>
        </w:rPr>
        <w:t>Prokuraarten</w:t>
      </w:r>
      <w:proofErr w:type="spellEnd"/>
      <w:r>
        <w:rPr>
          <w:rFonts w:ascii="Arial" w:hAnsi="Arial" w:cs="Arial"/>
          <w:sz w:val="20"/>
          <w:szCs w:val="20"/>
        </w:rPr>
        <w:t xml:space="preserve"> unterschieden werden:</w:t>
      </w:r>
      <w:r w:rsidR="002C634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Bei der </w:t>
      </w:r>
      <w:r>
        <w:rPr>
          <w:rFonts w:ascii="Arial" w:hAnsi="Arial" w:cs="Arial"/>
          <w:b/>
          <w:bCs/>
          <w:sz w:val="20"/>
          <w:szCs w:val="20"/>
        </w:rPr>
        <w:t xml:space="preserve">Einzelprokura </w:t>
      </w:r>
      <w:r>
        <w:rPr>
          <w:rFonts w:ascii="Arial" w:hAnsi="Arial" w:cs="Arial"/>
          <w:sz w:val="20"/>
          <w:szCs w:val="20"/>
        </w:rPr>
        <w:t xml:space="preserve">vertritt ein Prokurist </w:t>
      </w:r>
      <w:proofErr w:type="gramStart"/>
      <w:r>
        <w:rPr>
          <w:rFonts w:ascii="Arial" w:hAnsi="Arial" w:cs="Arial"/>
          <w:sz w:val="20"/>
          <w:szCs w:val="20"/>
        </w:rPr>
        <w:t>alleine</w:t>
      </w:r>
      <w:proofErr w:type="gramEnd"/>
      <w:r>
        <w:rPr>
          <w:rFonts w:ascii="Arial" w:hAnsi="Arial" w:cs="Arial"/>
          <w:sz w:val="20"/>
          <w:szCs w:val="20"/>
        </w:rPr>
        <w:t xml:space="preserve"> das Unternehmen; bei der </w:t>
      </w:r>
      <w:r>
        <w:rPr>
          <w:rFonts w:ascii="Arial" w:hAnsi="Arial" w:cs="Arial"/>
          <w:b/>
          <w:bCs/>
          <w:sz w:val="20"/>
          <w:szCs w:val="20"/>
        </w:rPr>
        <w:t xml:space="preserve">Gesamtprokura </w:t>
      </w:r>
      <w:r>
        <w:rPr>
          <w:rFonts w:ascii="Arial" w:hAnsi="Arial" w:cs="Arial"/>
          <w:sz w:val="20"/>
          <w:szCs w:val="20"/>
        </w:rPr>
        <w:t>vertreten</w:t>
      </w:r>
    </w:p>
    <w:p w14:paraId="6F5640CF" w14:textId="77777777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mehrere Prokuristen gemeinschaftlich das Unternehmen und die </w:t>
      </w:r>
      <w:r>
        <w:rPr>
          <w:rFonts w:ascii="Arial" w:hAnsi="Arial" w:cs="Arial"/>
          <w:b/>
          <w:bCs/>
          <w:sz w:val="20"/>
          <w:szCs w:val="20"/>
        </w:rPr>
        <w:t xml:space="preserve">Filialprokura </w:t>
      </w:r>
      <w:r>
        <w:rPr>
          <w:rFonts w:ascii="Arial" w:hAnsi="Arial" w:cs="Arial"/>
          <w:sz w:val="20"/>
          <w:szCs w:val="20"/>
        </w:rPr>
        <w:t>erstreckt sich nur auf eine</w:t>
      </w:r>
    </w:p>
    <w:p w14:paraId="6D65B9B1" w14:textId="77777777" w:rsidR="002C634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Zweigniederlassung. </w:t>
      </w:r>
    </w:p>
    <w:p w14:paraId="5B0128DA" w14:textId="7032F173" w:rsidR="008231B6" w:rsidRDefault="008231B6" w:rsidP="008231B6">
      <w:pPr>
        <w:autoSpaceDE w:val="0"/>
        <w:autoSpaceDN w:val="0"/>
        <w:adjustRightInd w:val="0"/>
        <w:spacing w:after="0" w:line="240" w:lineRule="auto"/>
        <w:ind w:right="-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Gemischte Prokura </w:t>
      </w:r>
      <w:r>
        <w:rPr>
          <w:rFonts w:ascii="Arial" w:hAnsi="Arial" w:cs="Arial"/>
          <w:sz w:val="20"/>
          <w:szCs w:val="20"/>
        </w:rPr>
        <w:t>schließlich bedeutet, dass der Prokurist nur gemeinsam mit einem geschäftsführenden Gesellschafter einer OHG oder KG, dem Geschäftsführer einer GmbH oder mit einem Vorstandsmitglied einer AG handeln darf.</w:t>
      </w:r>
    </w:p>
    <w:p w14:paraId="28EBD7A7" w14:textId="502308D1" w:rsidR="008231B6" w:rsidRDefault="008231B6" w:rsidP="000C3AD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0EDE136" w14:textId="716E35AA" w:rsidR="00B90B11" w:rsidRDefault="00C073B2" w:rsidP="000C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85AF7E" wp14:editId="7DC4C8BD">
            <wp:extent cx="5966012" cy="84071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677" cy="84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8389" w14:textId="77777777" w:rsidR="00C073B2" w:rsidRDefault="00C073B2" w:rsidP="000C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4FD3D5" w14:textId="7280EEF8" w:rsidR="00B90B11" w:rsidRPr="00C073B2" w:rsidRDefault="00C073B2" w:rsidP="00C073B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</w:rPr>
      </w:pPr>
      <w:r w:rsidRPr="00C073B2">
        <w:rPr>
          <w:rFonts w:ascii="Arial" w:hAnsi="Arial" w:cs="Arial"/>
          <w:b/>
          <w:bCs/>
        </w:rPr>
        <w:t>Unterschrift der Prokuristen:</w:t>
      </w:r>
    </w:p>
    <w:p w14:paraId="06B12A98" w14:textId="55BBBA5F" w:rsidR="00B90B11" w:rsidRDefault="00B90B11" w:rsidP="000C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BB44CB" w14:textId="5581BDE0" w:rsidR="00B90B11" w:rsidRDefault="00C073B2" w:rsidP="000C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5E1E67" wp14:editId="6EFB865F">
            <wp:extent cx="6028408" cy="8601636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128" cy="86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11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8211" w14:textId="77777777" w:rsidR="001A4AAF" w:rsidRDefault="001A4AAF" w:rsidP="007D0EA0">
      <w:pPr>
        <w:spacing w:after="0" w:line="240" w:lineRule="auto"/>
      </w:pPr>
      <w:r>
        <w:separator/>
      </w:r>
    </w:p>
  </w:endnote>
  <w:endnote w:type="continuationSeparator" w:id="0">
    <w:p w14:paraId="721A60D5" w14:textId="77777777" w:rsidR="001A4AAF" w:rsidRDefault="001A4AAF" w:rsidP="007D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5669" w14:textId="77777777" w:rsidR="001A4AAF" w:rsidRDefault="001A4AAF" w:rsidP="007D0EA0">
      <w:pPr>
        <w:spacing w:after="0" w:line="240" w:lineRule="auto"/>
      </w:pPr>
      <w:r>
        <w:separator/>
      </w:r>
    </w:p>
  </w:footnote>
  <w:footnote w:type="continuationSeparator" w:id="0">
    <w:p w14:paraId="21883D5E" w14:textId="77777777" w:rsidR="001A4AAF" w:rsidRDefault="001A4AAF" w:rsidP="007D0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932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7"/>
      <w:gridCol w:w="868"/>
      <w:gridCol w:w="4961"/>
      <w:gridCol w:w="913"/>
      <w:gridCol w:w="1933"/>
      <w:gridCol w:w="1140"/>
    </w:tblGrid>
    <w:tr w:rsidR="007D0EA0" w14:paraId="15EA6ED3" w14:textId="77777777" w:rsidTr="007D0EA0">
      <w:trPr>
        <w:trHeight w:val="611"/>
      </w:trPr>
      <w:tc>
        <w:tcPr>
          <w:tcW w:w="1117" w:type="dxa"/>
        </w:tcPr>
        <w:p w14:paraId="5B545AD5" w14:textId="10F27FF6" w:rsidR="007D0EA0" w:rsidRDefault="007D0EA0" w:rsidP="007D0EA0">
          <w:pPr>
            <w:pStyle w:val="Kopfzeil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BFK-B</w:t>
          </w:r>
        </w:p>
      </w:tc>
      <w:tc>
        <w:tcPr>
          <w:tcW w:w="868" w:type="dxa"/>
        </w:tcPr>
        <w:p w14:paraId="4E2D9749" w14:textId="77AC239A" w:rsidR="007D0EA0" w:rsidRDefault="007D0EA0" w:rsidP="007D0EA0">
          <w:pPr>
            <w:pStyle w:val="Kopfzeil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 LJ</w:t>
          </w:r>
        </w:p>
      </w:tc>
      <w:tc>
        <w:tcPr>
          <w:tcW w:w="4961" w:type="dxa"/>
        </w:tcPr>
        <w:p w14:paraId="4611B9AA" w14:textId="76CB916F" w:rsidR="007D0EA0" w:rsidRPr="001F6B46" w:rsidRDefault="007D0EA0" w:rsidP="007D0EA0">
          <w:pPr>
            <w:pStyle w:val="Kopfzeile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F6B46">
            <w:rPr>
              <w:rFonts w:ascii="Arial" w:hAnsi="Arial" w:cs="Arial"/>
              <w:b/>
              <w:bCs/>
              <w:sz w:val="24"/>
              <w:szCs w:val="24"/>
            </w:rPr>
            <w:t>L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F</w:t>
          </w:r>
          <w:r w:rsidRPr="001F6B46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Pr="001F6B46">
            <w:rPr>
              <w:rFonts w:ascii="Arial" w:hAnsi="Arial" w:cs="Arial"/>
              <w:b/>
              <w:bCs/>
              <w:sz w:val="24"/>
              <w:szCs w:val="24"/>
            </w:rPr>
            <w:t xml:space="preserve">: </w:t>
          </w:r>
        </w:p>
        <w:p w14:paraId="310C890C" w14:textId="3A5960AB" w:rsidR="007D0EA0" w:rsidRDefault="007D0EA0" w:rsidP="007D0EA0">
          <w:pPr>
            <w:pStyle w:val="Kopfzeil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Handlungs- &amp; Entscheidungsspielraum</w:t>
          </w:r>
        </w:p>
      </w:tc>
      <w:tc>
        <w:tcPr>
          <w:tcW w:w="913" w:type="dxa"/>
        </w:tcPr>
        <w:p w14:paraId="48F2667A" w14:textId="77777777" w:rsidR="007D0EA0" w:rsidRPr="00673117" w:rsidRDefault="007D0EA0" w:rsidP="007D0EA0">
          <w:pPr>
            <w:pStyle w:val="Kopfzeile"/>
            <w:rPr>
              <w:rFonts w:ascii="Arial" w:hAnsi="Arial" w:cs="Arial"/>
              <w:noProof/>
              <w:sz w:val="24"/>
              <w:szCs w:val="24"/>
            </w:rPr>
          </w:pPr>
          <w:r w:rsidRPr="00673117">
            <w:rPr>
              <w:rFonts w:ascii="Arial" w:hAnsi="Arial" w:cs="Arial"/>
              <w:sz w:val="24"/>
              <w:szCs w:val="24"/>
            </w:rPr>
            <w:t>Queck</w:t>
          </w:r>
        </w:p>
      </w:tc>
      <w:tc>
        <w:tcPr>
          <w:tcW w:w="1933" w:type="dxa"/>
        </w:tcPr>
        <w:p w14:paraId="16523D59" w14:textId="77777777" w:rsidR="007D0EA0" w:rsidRPr="00673117" w:rsidRDefault="007D0EA0" w:rsidP="007D0EA0">
          <w:pPr>
            <w:pStyle w:val="Kopfzeile"/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Datum:</w:t>
          </w:r>
        </w:p>
      </w:tc>
      <w:tc>
        <w:tcPr>
          <w:tcW w:w="1140" w:type="dxa"/>
        </w:tcPr>
        <w:p w14:paraId="6C084FCD" w14:textId="77777777" w:rsidR="007D0EA0" w:rsidRDefault="007D0EA0" w:rsidP="007D0EA0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DAA5829" wp14:editId="6B050FFB">
                <wp:simplePos x="0" y="0"/>
                <wp:positionH relativeFrom="column">
                  <wp:posOffset>41593</wp:posOffset>
                </wp:positionH>
                <wp:positionV relativeFrom="paragraph">
                  <wp:posOffset>45403</wp:posOffset>
                </wp:positionV>
                <wp:extent cx="564436" cy="247650"/>
                <wp:effectExtent l="0" t="0" r="7620" b="0"/>
                <wp:wrapNone/>
                <wp:docPr id="32" name="Grafik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436" cy="247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88E08F3" w14:textId="77777777" w:rsidR="007D0EA0" w:rsidRDefault="007D0E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A0"/>
    <w:rsid w:val="000C3AD4"/>
    <w:rsid w:val="000C7FEA"/>
    <w:rsid w:val="001A4AAF"/>
    <w:rsid w:val="002C6346"/>
    <w:rsid w:val="00434477"/>
    <w:rsid w:val="00536E31"/>
    <w:rsid w:val="0055789C"/>
    <w:rsid w:val="00573034"/>
    <w:rsid w:val="00675736"/>
    <w:rsid w:val="007D0EA0"/>
    <w:rsid w:val="008231B6"/>
    <w:rsid w:val="009908D2"/>
    <w:rsid w:val="00B90B11"/>
    <w:rsid w:val="00C073B2"/>
    <w:rsid w:val="00CB4C25"/>
    <w:rsid w:val="00E05938"/>
    <w:rsid w:val="00E9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8CD9"/>
  <w15:chartTrackingRefBased/>
  <w15:docId w15:val="{1AEF524F-10B0-49D4-B8D1-47B71EB9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0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0EA0"/>
  </w:style>
  <w:style w:type="paragraph" w:styleId="Fuzeile">
    <w:name w:val="footer"/>
    <w:basedOn w:val="Standard"/>
    <w:link w:val="FuzeileZchn"/>
    <w:uiPriority w:val="99"/>
    <w:unhideWhenUsed/>
    <w:rsid w:val="007D0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0EA0"/>
  </w:style>
  <w:style w:type="table" w:styleId="Tabellenraster">
    <w:name w:val="Table Grid"/>
    <w:basedOn w:val="NormaleTabelle"/>
    <w:uiPriority w:val="39"/>
    <w:rsid w:val="007D0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Queck</dc:creator>
  <cp:keywords/>
  <dc:description/>
  <cp:lastModifiedBy>Hendrik Queck</cp:lastModifiedBy>
  <cp:revision>5</cp:revision>
  <dcterms:created xsi:type="dcterms:W3CDTF">2022-09-26T13:15:00Z</dcterms:created>
  <dcterms:modified xsi:type="dcterms:W3CDTF">2022-09-26T14:30:00Z</dcterms:modified>
</cp:coreProperties>
</file>