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305" w:rsidRPr="00D45305" w:rsidRDefault="00D45305">
      <w:pPr>
        <w:rPr>
          <w:rFonts w:ascii="Arial" w:hAnsi="Arial" w:cs="Arial"/>
          <w:b/>
          <w:sz w:val="36"/>
          <w:u w:val="single"/>
        </w:rPr>
      </w:pPr>
      <w:r w:rsidRPr="00D45305">
        <w:rPr>
          <w:rFonts w:ascii="Arial" w:hAnsi="Arial" w:cs="Arial"/>
          <w:noProof/>
          <w:sz w:val="24"/>
          <w:u w:val="single"/>
          <w:lang w:eastAsia="de-DE"/>
        </w:rPr>
        <w:drawing>
          <wp:anchor distT="0" distB="0" distL="114300" distR="114300" simplePos="0" relativeHeight="251661312" behindDoc="1" locked="0" layoutInCell="1" allowOverlap="1" wp14:anchorId="2E7FF612" wp14:editId="7E0FDA91">
            <wp:simplePos x="0" y="0"/>
            <wp:positionH relativeFrom="column">
              <wp:posOffset>3802380</wp:posOffset>
            </wp:positionH>
            <wp:positionV relativeFrom="paragraph">
              <wp:posOffset>234950</wp:posOffset>
            </wp:positionV>
            <wp:extent cx="2867660" cy="2176780"/>
            <wp:effectExtent l="0" t="0" r="8890" b="0"/>
            <wp:wrapTight wrapText="bothSides">
              <wp:wrapPolygon edited="0">
                <wp:start x="0" y="0"/>
                <wp:lineTo x="0" y="21361"/>
                <wp:lineTo x="21523" y="21361"/>
                <wp:lineTo x="21523"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867660" cy="2176780"/>
                    </a:xfrm>
                    <a:prstGeom prst="rect">
                      <a:avLst/>
                    </a:prstGeom>
                  </pic:spPr>
                </pic:pic>
              </a:graphicData>
            </a:graphic>
            <wp14:sizeRelH relativeFrom="margin">
              <wp14:pctWidth>0</wp14:pctWidth>
            </wp14:sizeRelH>
            <wp14:sizeRelV relativeFrom="margin">
              <wp14:pctHeight>0</wp14:pctHeight>
            </wp14:sizeRelV>
          </wp:anchor>
        </w:drawing>
      </w:r>
      <w:r w:rsidRPr="00D45305">
        <w:rPr>
          <w:rFonts w:ascii="Arial" w:hAnsi="Arial" w:cs="Arial"/>
          <w:b/>
          <w:sz w:val="36"/>
          <w:u w:val="single"/>
        </w:rPr>
        <w:t>Aufgaben:</w:t>
      </w:r>
    </w:p>
    <w:p w:rsidR="00D45305" w:rsidRPr="00D45305" w:rsidRDefault="00D45305" w:rsidP="00D45305">
      <w:pPr>
        <w:pStyle w:val="Listenabsatz"/>
        <w:numPr>
          <w:ilvl w:val="0"/>
          <w:numId w:val="1"/>
        </w:numPr>
        <w:rPr>
          <w:rFonts w:ascii="Arial" w:hAnsi="Arial" w:cs="Arial"/>
          <w:sz w:val="28"/>
          <w:szCs w:val="28"/>
        </w:rPr>
      </w:pPr>
      <w:r w:rsidRPr="00D45305">
        <w:rPr>
          <w:rFonts w:ascii="Arial" w:hAnsi="Arial" w:cs="Arial"/>
          <w:sz w:val="28"/>
          <w:szCs w:val="28"/>
        </w:rPr>
        <w:t>Er</w:t>
      </w:r>
      <w:r w:rsidR="0052241C">
        <w:rPr>
          <w:rFonts w:ascii="Arial" w:hAnsi="Arial" w:cs="Arial"/>
          <w:sz w:val="28"/>
          <w:szCs w:val="28"/>
        </w:rPr>
        <w:t>kläre anhand der beiden Stimmzettel</w:t>
      </w:r>
      <w:r w:rsidRPr="00D45305">
        <w:rPr>
          <w:rFonts w:ascii="Arial" w:hAnsi="Arial" w:cs="Arial"/>
          <w:sz w:val="28"/>
          <w:szCs w:val="28"/>
        </w:rPr>
        <w:t>, den Unterschied zwischen „Wählen“ und „Abstimmen“.</w:t>
      </w:r>
      <w:r w:rsidRPr="00D45305">
        <w:rPr>
          <w:rFonts w:ascii="Arial" w:hAnsi="Arial" w:cs="Arial"/>
          <w:noProof/>
          <w:sz w:val="28"/>
          <w:szCs w:val="28"/>
          <w:lang w:eastAsia="de-DE"/>
        </w:rPr>
        <w:t xml:space="preserve"> </w:t>
      </w:r>
    </w:p>
    <w:p w:rsidR="00D45305" w:rsidRPr="009B5871" w:rsidRDefault="00D45305" w:rsidP="00D45305">
      <w:pPr>
        <w:pStyle w:val="Listenabsatz"/>
        <w:numPr>
          <w:ilvl w:val="0"/>
          <w:numId w:val="1"/>
        </w:numPr>
        <w:rPr>
          <w:rFonts w:ascii="Arial" w:hAnsi="Arial" w:cs="Arial"/>
          <w:b/>
          <w:sz w:val="28"/>
          <w:szCs w:val="28"/>
        </w:rPr>
      </w:pPr>
      <w:r w:rsidRPr="00D45305">
        <w:rPr>
          <w:rFonts w:ascii="Arial" w:hAnsi="Arial" w:cs="Arial"/>
          <w:noProof/>
          <w:sz w:val="28"/>
          <w:szCs w:val="28"/>
          <w:lang w:eastAsia="de-DE"/>
        </w:rPr>
        <w:t xml:space="preserve">Erkläre die Begriffe </w:t>
      </w:r>
      <w:r w:rsidR="0052241C">
        <w:rPr>
          <w:rFonts w:ascii="Arial" w:hAnsi="Arial" w:cs="Arial"/>
          <w:noProof/>
          <w:sz w:val="28"/>
          <w:szCs w:val="28"/>
          <w:lang w:eastAsia="de-DE"/>
        </w:rPr>
        <w:t xml:space="preserve">„Bürgerbegehren“, </w:t>
      </w:r>
      <w:r w:rsidRPr="00D45305">
        <w:rPr>
          <w:rFonts w:ascii="Arial" w:hAnsi="Arial" w:cs="Arial"/>
          <w:noProof/>
          <w:sz w:val="28"/>
          <w:szCs w:val="28"/>
          <w:lang w:eastAsia="de-DE"/>
        </w:rPr>
        <w:t>„Volksbegehren“ und „Volksentscheid“</w:t>
      </w:r>
      <w:r w:rsidR="0052241C">
        <w:rPr>
          <w:rFonts w:ascii="Arial" w:hAnsi="Arial" w:cs="Arial"/>
          <w:noProof/>
          <w:sz w:val="28"/>
          <w:szCs w:val="28"/>
          <w:lang w:eastAsia="de-DE"/>
        </w:rPr>
        <w:t>.</w:t>
      </w:r>
    </w:p>
    <w:p w:rsidR="009B5871" w:rsidRDefault="009B5871" w:rsidP="009B5871">
      <w:pPr>
        <w:pStyle w:val="Listenabsatz"/>
        <w:numPr>
          <w:ilvl w:val="0"/>
          <w:numId w:val="1"/>
        </w:numPr>
        <w:rPr>
          <w:rFonts w:ascii="Arial" w:hAnsi="Arial" w:cs="Arial"/>
          <w:sz w:val="28"/>
        </w:rPr>
      </w:pPr>
      <w:r>
        <w:rPr>
          <w:rFonts w:ascii="Arial" w:hAnsi="Arial" w:cs="Arial"/>
          <w:sz w:val="28"/>
        </w:rPr>
        <w:t>Interpretiere das Ergebnis der Volksabstimmung zu S21.</w:t>
      </w:r>
    </w:p>
    <w:p w:rsidR="009B5871" w:rsidRDefault="009B5871" w:rsidP="009B5871">
      <w:pPr>
        <w:pStyle w:val="Listenabsatz"/>
        <w:rPr>
          <w:rFonts w:ascii="Arial" w:hAnsi="Arial" w:cs="Arial"/>
          <w:sz w:val="28"/>
        </w:rPr>
      </w:pPr>
    </w:p>
    <w:p w:rsidR="00D45305" w:rsidRDefault="00D45305" w:rsidP="00D45305">
      <w:pPr>
        <w:pStyle w:val="Listenabsatz"/>
        <w:numPr>
          <w:ilvl w:val="0"/>
          <w:numId w:val="1"/>
        </w:numPr>
        <w:rPr>
          <w:rFonts w:ascii="Arial" w:hAnsi="Arial" w:cs="Arial"/>
          <w:sz w:val="28"/>
        </w:rPr>
      </w:pPr>
      <w:r w:rsidRPr="00D45305">
        <w:rPr>
          <w:rFonts w:ascii="Arial" w:hAnsi="Arial" w:cs="Arial"/>
          <w:sz w:val="28"/>
        </w:rPr>
        <w:t xml:space="preserve">Erörtere anhand von je vier Pro/Contra Argumenten, ob „Mehr direkte Demokratie“ in Deutschland </w:t>
      </w:r>
      <w:r>
        <w:rPr>
          <w:rFonts w:ascii="Arial" w:hAnsi="Arial" w:cs="Arial"/>
          <w:sz w:val="28"/>
        </w:rPr>
        <w:t xml:space="preserve">notwendig </w:t>
      </w:r>
      <w:r w:rsidRPr="00D45305">
        <w:rPr>
          <w:rFonts w:ascii="Arial" w:hAnsi="Arial" w:cs="Arial"/>
          <w:sz w:val="28"/>
        </w:rPr>
        <w:t>wäre.</w:t>
      </w:r>
    </w:p>
    <w:p w:rsidR="0052241C" w:rsidRPr="00D45305" w:rsidRDefault="0052241C" w:rsidP="0052241C">
      <w:pPr>
        <w:pStyle w:val="Listenabsatz"/>
        <w:rPr>
          <w:rFonts w:ascii="Arial" w:hAnsi="Arial" w:cs="Arial"/>
          <w:sz w:val="28"/>
        </w:rPr>
      </w:pPr>
    </w:p>
    <w:p w:rsidR="00D45305" w:rsidRPr="0052241C" w:rsidRDefault="00D45305" w:rsidP="00D45305">
      <w:pPr>
        <w:autoSpaceDE w:val="0"/>
        <w:autoSpaceDN w:val="0"/>
        <w:adjustRightInd w:val="0"/>
        <w:spacing w:after="0" w:line="240" w:lineRule="auto"/>
        <w:rPr>
          <w:rFonts w:ascii="Arial" w:hAnsi="Arial" w:cs="Arial"/>
          <w:b/>
          <w:sz w:val="28"/>
          <w:szCs w:val="24"/>
        </w:rPr>
      </w:pPr>
      <w:r w:rsidRPr="0052241C">
        <w:rPr>
          <w:rFonts w:ascii="Arial" w:hAnsi="Arial" w:cs="Arial"/>
          <w:b/>
          <w:sz w:val="28"/>
          <w:szCs w:val="24"/>
        </w:rPr>
        <w:t>Direkte Demokratie in Deutschland</w:t>
      </w:r>
    </w:p>
    <w:p w:rsidR="00D45305" w:rsidRPr="00D45305" w:rsidRDefault="00D45305" w:rsidP="00D45305">
      <w:pPr>
        <w:autoSpaceDE w:val="0"/>
        <w:autoSpaceDN w:val="0"/>
        <w:adjustRightInd w:val="0"/>
        <w:spacing w:after="0" w:line="240" w:lineRule="auto"/>
        <w:rPr>
          <w:rFonts w:ascii="Arial" w:hAnsi="Arial" w:cs="Arial"/>
          <w:b/>
          <w:sz w:val="24"/>
          <w:szCs w:val="24"/>
        </w:rPr>
      </w:pPr>
    </w:p>
    <w:p w:rsidR="00D45305" w:rsidRPr="00D45305" w:rsidRDefault="00D45305" w:rsidP="00D45305">
      <w:pPr>
        <w:autoSpaceDE w:val="0"/>
        <w:autoSpaceDN w:val="0"/>
        <w:adjustRightInd w:val="0"/>
        <w:spacing w:after="0" w:line="240" w:lineRule="auto"/>
        <w:rPr>
          <w:rFonts w:ascii="Arial" w:hAnsi="Arial" w:cs="Arial"/>
          <w:sz w:val="24"/>
          <w:szCs w:val="24"/>
        </w:rPr>
      </w:pPr>
      <w:r w:rsidRPr="00D45305">
        <w:rPr>
          <w:rFonts w:ascii="Arial" w:hAnsi="Arial" w:cs="Arial"/>
          <w:sz w:val="24"/>
          <w:szCs w:val="24"/>
        </w:rPr>
        <w:t>Obwohl direkte Demokratie in Deutschland auf Bundesebene keine Rolle spielt, gibt es sowohl</w:t>
      </w:r>
    </w:p>
    <w:p w:rsidR="00D45305" w:rsidRPr="00D45305" w:rsidRDefault="00D45305" w:rsidP="00D45305">
      <w:pPr>
        <w:autoSpaceDE w:val="0"/>
        <w:autoSpaceDN w:val="0"/>
        <w:adjustRightInd w:val="0"/>
        <w:spacing w:after="0" w:line="240" w:lineRule="auto"/>
        <w:rPr>
          <w:rFonts w:ascii="Arial" w:hAnsi="Arial" w:cs="Arial"/>
          <w:sz w:val="24"/>
          <w:szCs w:val="24"/>
        </w:rPr>
      </w:pPr>
      <w:r w:rsidRPr="00D45305">
        <w:rPr>
          <w:rFonts w:ascii="Arial" w:hAnsi="Arial" w:cs="Arial"/>
          <w:sz w:val="24"/>
          <w:szCs w:val="24"/>
        </w:rPr>
        <w:t>auf Landes- als auch auf kommunaler Ebene plebiszitäre Elemente, die die Verfahren im</w:t>
      </w:r>
    </w:p>
    <w:p w:rsidR="00D45305" w:rsidRPr="00D45305" w:rsidRDefault="00D45305" w:rsidP="00D45305">
      <w:pPr>
        <w:autoSpaceDE w:val="0"/>
        <w:autoSpaceDN w:val="0"/>
        <w:adjustRightInd w:val="0"/>
        <w:spacing w:after="0" w:line="240" w:lineRule="auto"/>
        <w:rPr>
          <w:rFonts w:ascii="Arial" w:hAnsi="Arial" w:cs="Arial"/>
          <w:sz w:val="24"/>
          <w:szCs w:val="24"/>
        </w:rPr>
      </w:pPr>
      <w:r w:rsidRPr="00D45305">
        <w:rPr>
          <w:rFonts w:ascii="Arial" w:hAnsi="Arial" w:cs="Arial"/>
          <w:sz w:val="24"/>
          <w:szCs w:val="24"/>
        </w:rPr>
        <w:t>repräsentativ organisierten Staatswesen ergänzen. Auf Landesebene gibt es Volksbegehren</w:t>
      </w:r>
    </w:p>
    <w:p w:rsidR="00D45305" w:rsidRPr="00D45305" w:rsidRDefault="00D45305" w:rsidP="00D45305">
      <w:pPr>
        <w:autoSpaceDE w:val="0"/>
        <w:autoSpaceDN w:val="0"/>
        <w:adjustRightInd w:val="0"/>
        <w:spacing w:after="0" w:line="240" w:lineRule="auto"/>
        <w:rPr>
          <w:rFonts w:ascii="Arial" w:hAnsi="Arial" w:cs="Arial"/>
          <w:sz w:val="24"/>
          <w:szCs w:val="24"/>
        </w:rPr>
      </w:pPr>
      <w:r w:rsidRPr="00D45305">
        <w:rPr>
          <w:rFonts w:ascii="Arial" w:hAnsi="Arial" w:cs="Arial"/>
          <w:sz w:val="24"/>
          <w:szCs w:val="24"/>
        </w:rPr>
        <w:t>und Volksentscheid, auf kommunaler Ebene Bürgerbegehren und Bürgerentscheid.</w:t>
      </w:r>
    </w:p>
    <w:p w:rsidR="00D45305" w:rsidRPr="00D45305" w:rsidRDefault="00D45305" w:rsidP="00D45305">
      <w:pPr>
        <w:autoSpaceDE w:val="0"/>
        <w:autoSpaceDN w:val="0"/>
        <w:adjustRightInd w:val="0"/>
        <w:spacing w:after="0" w:line="240" w:lineRule="auto"/>
        <w:rPr>
          <w:rFonts w:ascii="Arial" w:hAnsi="Arial" w:cs="Arial"/>
          <w:sz w:val="24"/>
          <w:szCs w:val="24"/>
        </w:rPr>
      </w:pPr>
      <w:r w:rsidRPr="00D45305">
        <w:rPr>
          <w:rFonts w:ascii="Arial" w:hAnsi="Arial" w:cs="Arial"/>
          <w:sz w:val="24"/>
          <w:szCs w:val="24"/>
        </w:rPr>
        <w:t>Ein Begehren (1. Stufe) ist dabei Ausdruck des Volkswillens, dass ein bestimmter Sachverhalt</w:t>
      </w:r>
    </w:p>
    <w:p w:rsidR="00D45305" w:rsidRPr="00D45305" w:rsidRDefault="00D45305" w:rsidP="00D45305">
      <w:pPr>
        <w:autoSpaceDE w:val="0"/>
        <w:autoSpaceDN w:val="0"/>
        <w:adjustRightInd w:val="0"/>
        <w:spacing w:after="0" w:line="240" w:lineRule="auto"/>
        <w:rPr>
          <w:rFonts w:ascii="Arial" w:hAnsi="Arial" w:cs="Arial"/>
          <w:sz w:val="24"/>
          <w:szCs w:val="24"/>
        </w:rPr>
      </w:pPr>
      <w:r w:rsidRPr="00D45305">
        <w:rPr>
          <w:rFonts w:ascii="Arial" w:hAnsi="Arial" w:cs="Arial"/>
          <w:sz w:val="24"/>
          <w:szCs w:val="24"/>
        </w:rPr>
        <w:t>durch Volksabstimmung entschieden werden soll. Der Erfolg eines Begehrens wird daran</w:t>
      </w:r>
    </w:p>
    <w:p w:rsidR="00D45305" w:rsidRPr="00D45305" w:rsidRDefault="00D45305" w:rsidP="00D45305">
      <w:pPr>
        <w:autoSpaceDE w:val="0"/>
        <w:autoSpaceDN w:val="0"/>
        <w:adjustRightInd w:val="0"/>
        <w:spacing w:after="0" w:line="240" w:lineRule="auto"/>
        <w:rPr>
          <w:rFonts w:ascii="Arial" w:hAnsi="Arial" w:cs="Arial"/>
          <w:sz w:val="24"/>
          <w:szCs w:val="24"/>
        </w:rPr>
      </w:pPr>
      <w:r>
        <w:rPr>
          <w:noProof/>
          <w:lang w:eastAsia="de-DE"/>
        </w:rPr>
        <w:drawing>
          <wp:anchor distT="0" distB="0" distL="114300" distR="114300" simplePos="0" relativeHeight="251658240" behindDoc="1" locked="0" layoutInCell="1" allowOverlap="1" wp14:anchorId="7430B6B4" wp14:editId="0BDE1EDD">
            <wp:simplePos x="0" y="0"/>
            <wp:positionH relativeFrom="column">
              <wp:posOffset>4335780</wp:posOffset>
            </wp:positionH>
            <wp:positionV relativeFrom="paragraph">
              <wp:posOffset>88265</wp:posOffset>
            </wp:positionV>
            <wp:extent cx="2334260" cy="3771900"/>
            <wp:effectExtent l="0" t="0" r="8890" b="0"/>
            <wp:wrapTight wrapText="bothSides">
              <wp:wrapPolygon edited="0">
                <wp:start x="0" y="0"/>
                <wp:lineTo x="0" y="21491"/>
                <wp:lineTo x="21506" y="21491"/>
                <wp:lineTo x="21506"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334260" cy="3771900"/>
                    </a:xfrm>
                    <a:prstGeom prst="rect">
                      <a:avLst/>
                    </a:prstGeom>
                  </pic:spPr>
                </pic:pic>
              </a:graphicData>
            </a:graphic>
            <wp14:sizeRelH relativeFrom="margin">
              <wp14:pctWidth>0</wp14:pctWidth>
            </wp14:sizeRelH>
            <wp14:sizeRelV relativeFrom="margin">
              <wp14:pctHeight>0</wp14:pctHeight>
            </wp14:sizeRelV>
          </wp:anchor>
        </w:drawing>
      </w:r>
      <w:r w:rsidRPr="00D45305">
        <w:rPr>
          <w:rFonts w:ascii="Arial" w:hAnsi="Arial" w:cs="Arial"/>
          <w:sz w:val="24"/>
          <w:szCs w:val="24"/>
        </w:rPr>
        <w:t>gemessen, wie viele Bürger es mit ihrer Unterschrift unterstützen. Die vorgeschriebenen</w:t>
      </w:r>
      <w:r w:rsidR="0052241C">
        <w:rPr>
          <w:rFonts w:ascii="Arial" w:hAnsi="Arial" w:cs="Arial"/>
          <w:sz w:val="24"/>
          <w:szCs w:val="24"/>
        </w:rPr>
        <w:t xml:space="preserve"> </w:t>
      </w:r>
      <w:r w:rsidRPr="00D45305">
        <w:rPr>
          <w:rFonts w:ascii="Arial" w:hAnsi="Arial" w:cs="Arial"/>
          <w:sz w:val="24"/>
          <w:szCs w:val="24"/>
        </w:rPr>
        <w:t>Quoren (hier: Mindestbeteiligung) für ein Bürgerbegehren variieren dabei je nach Bundesland</w:t>
      </w:r>
      <w:r w:rsidR="0052241C">
        <w:rPr>
          <w:rFonts w:ascii="Arial" w:hAnsi="Arial" w:cs="Arial"/>
          <w:sz w:val="24"/>
          <w:szCs w:val="24"/>
        </w:rPr>
        <w:t xml:space="preserve"> </w:t>
      </w:r>
      <w:r w:rsidRPr="00D45305">
        <w:rPr>
          <w:rFonts w:ascii="Arial" w:hAnsi="Arial" w:cs="Arial"/>
          <w:sz w:val="24"/>
          <w:szCs w:val="24"/>
        </w:rPr>
        <w:t>zwischen 3 und 15 Prozent der Wahlberechtigten. In Berlin, Bremen und Thüringen geht dem</w:t>
      </w:r>
    </w:p>
    <w:p w:rsidR="00D45305" w:rsidRPr="00D45305" w:rsidRDefault="00D45305" w:rsidP="00D45305">
      <w:pPr>
        <w:autoSpaceDE w:val="0"/>
        <w:autoSpaceDN w:val="0"/>
        <w:adjustRightInd w:val="0"/>
        <w:spacing w:after="0" w:line="240" w:lineRule="auto"/>
        <w:rPr>
          <w:rFonts w:ascii="Arial" w:hAnsi="Arial" w:cs="Arial"/>
          <w:sz w:val="24"/>
          <w:szCs w:val="24"/>
        </w:rPr>
      </w:pPr>
      <w:r w:rsidRPr="00D45305">
        <w:rPr>
          <w:rFonts w:ascii="Arial" w:hAnsi="Arial" w:cs="Arial"/>
          <w:sz w:val="24"/>
          <w:szCs w:val="24"/>
        </w:rPr>
        <w:t>Bürgerbegehren zudem ein Zulassungsantrag voraus. Für ein erfolgreiches Volksbegehren</w:t>
      </w:r>
      <w:r w:rsidR="0052241C">
        <w:rPr>
          <w:rFonts w:ascii="Arial" w:hAnsi="Arial" w:cs="Arial"/>
          <w:sz w:val="24"/>
          <w:szCs w:val="24"/>
        </w:rPr>
        <w:t xml:space="preserve"> </w:t>
      </w:r>
      <w:r w:rsidRPr="00D45305">
        <w:rPr>
          <w:rFonts w:ascii="Arial" w:hAnsi="Arial" w:cs="Arial"/>
          <w:sz w:val="24"/>
          <w:szCs w:val="24"/>
        </w:rPr>
        <w:t>müssen je nach Bundesland die Unterschriften von 5 bis zu 20 Prozent der Wähler</w:t>
      </w:r>
    </w:p>
    <w:p w:rsidR="00D45305" w:rsidRPr="00D45305" w:rsidRDefault="00D45305" w:rsidP="00D45305">
      <w:pPr>
        <w:autoSpaceDE w:val="0"/>
        <w:autoSpaceDN w:val="0"/>
        <w:adjustRightInd w:val="0"/>
        <w:spacing w:after="0" w:line="240" w:lineRule="auto"/>
        <w:rPr>
          <w:rFonts w:ascii="Arial" w:hAnsi="Arial" w:cs="Arial"/>
          <w:sz w:val="24"/>
          <w:szCs w:val="24"/>
        </w:rPr>
      </w:pPr>
      <w:r w:rsidRPr="00D45305">
        <w:rPr>
          <w:rFonts w:ascii="Arial" w:hAnsi="Arial" w:cs="Arial"/>
          <w:sz w:val="24"/>
          <w:szCs w:val="24"/>
        </w:rPr>
        <w:t>gesammelt werden. Für Bürger- und Volksentscheide (2. Stufe) gelten Zustimmungsquoren</w:t>
      </w:r>
      <w:bookmarkStart w:id="0" w:name="_GoBack"/>
      <w:bookmarkEnd w:id="0"/>
      <w:r w:rsidRPr="00D45305">
        <w:rPr>
          <w:rFonts w:ascii="Arial" w:hAnsi="Arial" w:cs="Arial"/>
          <w:sz w:val="24"/>
          <w:szCs w:val="24"/>
        </w:rPr>
        <w:t>,</w:t>
      </w:r>
      <w:r w:rsidR="0052241C">
        <w:rPr>
          <w:rFonts w:ascii="Arial" w:hAnsi="Arial" w:cs="Arial"/>
          <w:sz w:val="24"/>
          <w:szCs w:val="24"/>
        </w:rPr>
        <w:t xml:space="preserve"> </w:t>
      </w:r>
      <w:r w:rsidRPr="00D45305">
        <w:rPr>
          <w:rFonts w:ascii="Arial" w:hAnsi="Arial" w:cs="Arial"/>
          <w:sz w:val="24"/>
          <w:szCs w:val="24"/>
        </w:rPr>
        <w:t>die sich auf die Gesamtheit der Wahlberechtigten bezieht. Bürgerentscheide sind nur dann</w:t>
      </w:r>
      <w:r w:rsidR="0052241C">
        <w:rPr>
          <w:rFonts w:ascii="Arial" w:hAnsi="Arial" w:cs="Arial"/>
          <w:sz w:val="24"/>
          <w:szCs w:val="24"/>
        </w:rPr>
        <w:t xml:space="preserve"> </w:t>
      </w:r>
      <w:r w:rsidRPr="00D45305">
        <w:rPr>
          <w:rFonts w:ascii="Arial" w:hAnsi="Arial" w:cs="Arial"/>
          <w:sz w:val="24"/>
          <w:szCs w:val="24"/>
        </w:rPr>
        <w:t>erfolgreich, wenn je nach Bundesland zwischen 10 und 30 Prozent aller Wahlberechtigten</w:t>
      </w:r>
      <w:r w:rsidR="0052241C">
        <w:rPr>
          <w:rFonts w:ascii="Arial" w:hAnsi="Arial" w:cs="Arial"/>
          <w:sz w:val="24"/>
          <w:szCs w:val="24"/>
        </w:rPr>
        <w:t xml:space="preserve"> </w:t>
      </w:r>
      <w:r w:rsidRPr="00D45305">
        <w:rPr>
          <w:rFonts w:ascii="Arial" w:hAnsi="Arial" w:cs="Arial"/>
          <w:sz w:val="24"/>
          <w:szCs w:val="24"/>
        </w:rPr>
        <w:t>zustimmen. Bei Volksentscheiden liegen die Zustimmungshürden zwischen 20 und 50 Prozent</w:t>
      </w:r>
      <w:r w:rsidR="0052241C">
        <w:rPr>
          <w:rFonts w:ascii="Arial" w:hAnsi="Arial" w:cs="Arial"/>
          <w:sz w:val="24"/>
          <w:szCs w:val="24"/>
        </w:rPr>
        <w:t xml:space="preserve"> </w:t>
      </w:r>
      <w:r w:rsidRPr="00D45305">
        <w:rPr>
          <w:rFonts w:ascii="Arial" w:hAnsi="Arial" w:cs="Arial"/>
          <w:sz w:val="24"/>
          <w:szCs w:val="24"/>
        </w:rPr>
        <w:t>(siehe Abbildung 3). Bis heute wurden in Deutschland insgesamt 6.625 Bürgerbegehren in 3.496 Gemeinden eingeleitet, von denen letztlich 2.005 (teilweise) erfolgreich waren. Auf Landesebene gab es insgesamt 78 Volksbegehren, von denen jedoch nur 19 auch zu einem Volksentscheid</w:t>
      </w:r>
      <w:r w:rsidR="0052241C">
        <w:rPr>
          <w:rFonts w:ascii="Arial" w:hAnsi="Arial" w:cs="Arial"/>
          <w:sz w:val="24"/>
          <w:szCs w:val="24"/>
        </w:rPr>
        <w:t xml:space="preserve"> </w:t>
      </w:r>
      <w:r w:rsidRPr="00D45305">
        <w:rPr>
          <w:rFonts w:ascii="Arial" w:hAnsi="Arial" w:cs="Arial"/>
          <w:sz w:val="24"/>
          <w:szCs w:val="24"/>
        </w:rPr>
        <w:t>führten (siehe Abbildung 3). Die anderen durchgeführten Volksabstimmungen waren obligatorische</w:t>
      </w:r>
    </w:p>
    <w:p w:rsidR="00D45305" w:rsidRPr="00D45305" w:rsidRDefault="00D45305" w:rsidP="00D45305">
      <w:pPr>
        <w:autoSpaceDE w:val="0"/>
        <w:autoSpaceDN w:val="0"/>
        <w:adjustRightInd w:val="0"/>
        <w:spacing w:after="0" w:line="240" w:lineRule="auto"/>
        <w:rPr>
          <w:rFonts w:ascii="Arial" w:hAnsi="Arial" w:cs="Arial"/>
          <w:sz w:val="24"/>
          <w:szCs w:val="24"/>
        </w:rPr>
      </w:pPr>
      <w:r w:rsidRPr="00D45305">
        <w:rPr>
          <w:rFonts w:ascii="Arial" w:hAnsi="Arial" w:cs="Arial"/>
          <w:sz w:val="24"/>
          <w:szCs w:val="24"/>
        </w:rPr>
        <w:t>Referenden oder Sonderabstimmungen. Mit 2.415 erfassten Bürgerbegehren nimmt Bayern die Spitzenposition ein. Es kam bis 2013 zu 1.015 Bürgerentscheiden, von denen 518 erfolgreich waren. Auch bei den durchgeführten Volksentscheiden liegt Bayern gemeinsam mit Hamburg an der Spitze.</w:t>
      </w:r>
    </w:p>
    <w:p w:rsidR="00D45305" w:rsidRPr="00D45305" w:rsidRDefault="00D45305" w:rsidP="00D45305">
      <w:pPr>
        <w:autoSpaceDE w:val="0"/>
        <w:autoSpaceDN w:val="0"/>
        <w:adjustRightInd w:val="0"/>
        <w:spacing w:after="0" w:line="240" w:lineRule="auto"/>
        <w:rPr>
          <w:rFonts w:ascii="Arial" w:hAnsi="Arial" w:cs="Arial"/>
          <w:sz w:val="24"/>
          <w:szCs w:val="24"/>
        </w:rPr>
      </w:pPr>
      <w:r w:rsidRPr="00D45305">
        <w:rPr>
          <w:rFonts w:ascii="Arial" w:hAnsi="Arial" w:cs="Arial"/>
          <w:sz w:val="24"/>
          <w:szCs w:val="24"/>
        </w:rPr>
        <w:t>Wie die Beispiele zeigen, sinkt die Bedeutung plebiszitärer Elemente in Deutschland mit</w:t>
      </w:r>
    </w:p>
    <w:p w:rsidR="00D45305" w:rsidRPr="00D45305" w:rsidRDefault="00D45305" w:rsidP="00D45305">
      <w:pPr>
        <w:autoSpaceDE w:val="0"/>
        <w:autoSpaceDN w:val="0"/>
        <w:adjustRightInd w:val="0"/>
        <w:spacing w:after="0" w:line="240" w:lineRule="auto"/>
        <w:rPr>
          <w:rFonts w:ascii="Arial" w:hAnsi="Arial" w:cs="Arial"/>
          <w:sz w:val="24"/>
          <w:szCs w:val="24"/>
        </w:rPr>
      </w:pPr>
      <w:r w:rsidRPr="00D45305">
        <w:rPr>
          <w:rFonts w:ascii="Arial" w:hAnsi="Arial" w:cs="Arial"/>
          <w:sz w:val="24"/>
          <w:szCs w:val="24"/>
        </w:rPr>
        <w:t>steigender politischer Ebene. Für nationale (bundesweite) Entscheidungen in Deutschland</w:t>
      </w:r>
    </w:p>
    <w:p w:rsidR="00D45305" w:rsidRPr="00D45305" w:rsidRDefault="00D45305" w:rsidP="00D45305">
      <w:pPr>
        <w:rPr>
          <w:rFonts w:ascii="Arial" w:hAnsi="Arial" w:cs="Arial"/>
          <w:sz w:val="24"/>
          <w:szCs w:val="24"/>
        </w:rPr>
      </w:pPr>
      <w:r w:rsidRPr="00D45305">
        <w:rPr>
          <w:rFonts w:ascii="Arial" w:hAnsi="Arial" w:cs="Arial"/>
          <w:sz w:val="24"/>
          <w:szCs w:val="24"/>
        </w:rPr>
        <w:t>spielen sie bisher keine Rolle, werden auf kommunaler Ebene hingegen häufig genutzt.</w:t>
      </w:r>
    </w:p>
    <w:p w:rsidR="00D81BF4" w:rsidRDefault="008C7591">
      <w:r>
        <w:rPr>
          <w:noProof/>
          <w:lang w:eastAsia="de-DE"/>
        </w:rPr>
        <w:lastRenderedPageBreak/>
        <w:drawing>
          <wp:inline distT="0" distB="0" distL="0" distR="0" wp14:anchorId="24C16211" wp14:editId="29DBE6C4">
            <wp:extent cx="6520125" cy="4170218"/>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522708" cy="4171870"/>
                    </a:xfrm>
                    <a:prstGeom prst="rect">
                      <a:avLst/>
                    </a:prstGeom>
                  </pic:spPr>
                </pic:pic>
              </a:graphicData>
            </a:graphic>
          </wp:inline>
        </w:drawing>
      </w:r>
    </w:p>
    <w:p w:rsidR="008C7591" w:rsidRDefault="00000C73">
      <w:r>
        <w:rPr>
          <w:noProof/>
          <w:lang w:eastAsia="de-DE"/>
        </w:rPr>
        <mc:AlternateContent>
          <mc:Choice Requires="wps">
            <w:drawing>
              <wp:anchor distT="0" distB="0" distL="114300" distR="114300" simplePos="0" relativeHeight="251660288" behindDoc="0" locked="0" layoutInCell="1" allowOverlap="1" wp14:anchorId="4BFE99E0" wp14:editId="0161F222">
                <wp:simplePos x="0" y="0"/>
                <wp:positionH relativeFrom="column">
                  <wp:posOffset>2361738</wp:posOffset>
                </wp:positionH>
                <wp:positionV relativeFrom="paragraph">
                  <wp:posOffset>13855</wp:posOffset>
                </wp:positionV>
                <wp:extent cx="1205346" cy="235527"/>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5346" cy="235527"/>
                        </a:xfrm>
                        <a:prstGeom prst="rect">
                          <a:avLst/>
                        </a:prstGeom>
                        <a:solidFill>
                          <a:srgbClr val="FFFFFF"/>
                        </a:solidFill>
                        <a:ln w="9525">
                          <a:noFill/>
                          <a:miter lim="800000"/>
                          <a:headEnd/>
                          <a:tailEnd/>
                        </a:ln>
                      </wps:spPr>
                      <wps:txbx>
                        <w:txbxContent>
                          <w:p w:rsidR="00000C73" w:rsidRPr="00000C73" w:rsidRDefault="00000C73">
                            <w:pPr>
                              <w:rPr>
                                <w:b/>
                              </w:rPr>
                            </w:pPr>
                            <w:r w:rsidRPr="00000C73">
                              <w:rPr>
                                <w:b/>
                              </w:rPr>
                              <w:t>Im Grundgesetz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FE99E0" id="_x0000_t202" coordsize="21600,21600" o:spt="202" path="m,l,21600r21600,l21600,xe">
                <v:stroke joinstyle="miter"/>
                <v:path gradientshapeok="t" o:connecttype="rect"/>
              </v:shapetype>
              <v:shape id="Textfeld 2" o:spid="_x0000_s1026" type="#_x0000_t202" style="position:absolute;margin-left:185.95pt;margin-top:1.1pt;width:94.9pt;height:1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" stroked="f">
                <v:textbox>
                  <w:txbxContent>
                    <w:p w:rsidR="00000C73" w:rsidRPr="00000C73" w:rsidRDefault="00000C73">
                      <w:pPr>
                        <w:rPr>
                          <w:b/>
                        </w:rPr>
                      </w:pPr>
                      <w:r w:rsidRPr="00000C73">
                        <w:rPr>
                          <w:b/>
                        </w:rPr>
                        <w:t>Im Grundgesetz</w:t>
                      </w:r>
                    </w:p>
                  </w:txbxContent>
                </v:textbox>
              </v:shape>
            </w:pict>
          </mc:Fallback>
        </mc:AlternateContent>
      </w:r>
      <w:r w:rsidR="008C7591">
        <w:rPr>
          <w:noProof/>
          <w:lang w:eastAsia="de-DE"/>
        </w:rPr>
        <w:drawing>
          <wp:inline distT="0" distB="0" distL="0" distR="0" wp14:anchorId="2592A7F8" wp14:editId="06428F9E">
            <wp:extent cx="6276109" cy="324481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283635" cy="3248703"/>
                    </a:xfrm>
                    <a:prstGeom prst="rect">
                      <a:avLst/>
                    </a:prstGeom>
                  </pic:spPr>
                </pic:pic>
              </a:graphicData>
            </a:graphic>
          </wp:inline>
        </w:drawing>
      </w:r>
    </w:p>
    <w:p w:rsidR="00D45305" w:rsidRPr="00D45305" w:rsidRDefault="0052241C" w:rsidP="0052241C">
      <w:pPr>
        <w:autoSpaceDE w:val="0"/>
        <w:autoSpaceDN w:val="0"/>
        <w:adjustRightInd w:val="0"/>
        <w:spacing w:after="0" w:line="240" w:lineRule="auto"/>
        <w:rPr>
          <w:rFonts w:ascii="Arial" w:hAnsi="Arial" w:cs="Arial"/>
          <w:sz w:val="24"/>
          <w:szCs w:val="24"/>
        </w:rPr>
      </w:pPr>
      <w:r>
        <w:rPr>
          <w:noProof/>
          <w:lang w:eastAsia="de-DE"/>
        </w:rPr>
        <w:drawing>
          <wp:inline distT="0" distB="0" distL="0" distR="0" wp14:anchorId="31310E14" wp14:editId="41F5EEA8">
            <wp:extent cx="4551218" cy="2549595"/>
            <wp:effectExtent l="0" t="0" r="1905"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51218" cy="2549595"/>
                    </a:xfrm>
                    <a:prstGeom prst="rect">
                      <a:avLst/>
                    </a:prstGeom>
                  </pic:spPr>
                </pic:pic>
              </a:graphicData>
            </a:graphic>
          </wp:inline>
        </w:drawing>
      </w:r>
    </w:p>
    <w:sectPr w:rsidR="00D45305" w:rsidRPr="00D45305" w:rsidSect="008C7591">
      <w:pgSz w:w="11906" w:h="16838"/>
      <w:pgMar w:top="284" w:right="567" w:bottom="28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A4DFE"/>
    <w:multiLevelType w:val="hybridMultilevel"/>
    <w:tmpl w:val="F98E886A"/>
    <w:lvl w:ilvl="0" w:tplc="DF36B346">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7591"/>
    <w:rsid w:val="00000C73"/>
    <w:rsid w:val="00206594"/>
    <w:rsid w:val="00401526"/>
    <w:rsid w:val="0052241C"/>
    <w:rsid w:val="008C7591"/>
    <w:rsid w:val="009B5871"/>
    <w:rsid w:val="00D45305"/>
    <w:rsid w:val="00D81BF4"/>
    <w:rsid w:val="00F432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BA8540-BC70-4651-8DB5-D5708CF06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C75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591"/>
    <w:rPr>
      <w:rFonts w:ascii="Tahoma" w:hAnsi="Tahoma" w:cs="Tahoma"/>
      <w:sz w:val="16"/>
      <w:szCs w:val="16"/>
    </w:rPr>
  </w:style>
  <w:style w:type="paragraph" w:styleId="Listenabsatz">
    <w:name w:val="List Paragraph"/>
    <w:basedOn w:val="Standard"/>
    <w:uiPriority w:val="34"/>
    <w:qFormat/>
    <w:rsid w:val="00D45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2254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dc:creator>
  <cp:lastModifiedBy>Carsten Ockert</cp:lastModifiedBy>
  <cp:revision>9</cp:revision>
  <cp:lastPrinted>2017-01-17T12:39:00Z</cp:lastPrinted>
  <dcterms:created xsi:type="dcterms:W3CDTF">2017-01-16T11:09:00Z</dcterms:created>
  <dcterms:modified xsi:type="dcterms:W3CDTF">2022-01-11T08:38:00Z</dcterms:modified>
</cp:coreProperties>
</file>