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02" w:rsidRPr="005A6002" w:rsidRDefault="005A6002" w:rsidP="0058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de-DE"/>
        </w:rPr>
      </w:pPr>
      <w:r w:rsidRPr="005A6002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de-DE"/>
        </w:rPr>
        <w:t>Aufgaben:</w:t>
      </w:r>
    </w:p>
    <w:p w:rsidR="005A6002" w:rsidRPr="005A6002" w:rsidRDefault="005A6002" w:rsidP="005A60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</w:pPr>
      <w:r w:rsidRPr="005A6002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Erläutere kurz die Vor- und Nachteile der beiden Leasingarten.</w:t>
      </w:r>
    </w:p>
    <w:p w:rsidR="005A6002" w:rsidRPr="005A6002" w:rsidRDefault="005A6002" w:rsidP="005A60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</w:pPr>
      <w:r w:rsidRPr="005A6002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Vergleiche die beiden Angebot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e</w:t>
      </w:r>
      <w:r w:rsidRPr="005A6002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 xml:space="preserve"> für Herrn Wurm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, begründe für welches Angebot er sich entscheiden sollte.</w:t>
      </w:r>
    </w:p>
    <w:p w:rsidR="005871B8" w:rsidRPr="005871B8" w:rsidRDefault="005871B8" w:rsidP="0058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5871B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Leasing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Beim </w:t>
      </w:r>
      <w:proofErr w:type="spellStart"/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Leasing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erwirbt der Leasing-Nehmer ein </w:t>
      </w:r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>kurzfristiges, meist jederzeit kündbares Nutzungsrecht</w:t>
      </w:r>
      <w:r w:rsidRPr="006355DB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 xml:space="preserve">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einem Objekt. Der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Leasing-Vertrag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entspricht größtenteils dem zivilrechtlichen Mietvertrag. Im Gegensatz zur mittel- und langfristigen Finanzierung steht beim </w:t>
      </w:r>
      <w:proofErr w:type="spellStart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-Leasing die kurzfristige Nutzung des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Investitionsgutes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 Vordergrund. So können Engpässe in der Produktion oder im Vertrieb überbrückt werden. Ein wesentliches Merkmal von </w:t>
      </w:r>
      <w:proofErr w:type="spellStart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-Leasing-Verträgen ist, dass die Finanzierungskosten des Leasing-Gebers in einer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Vertragsperiode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der Regel nicht getilgt werden. Die vollständige Amortisation lässt sich erst dadurch erzielen, dass das Objekt mehrfach verleast und schließlich verkauft wird. 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Merkmale des </w:t>
      </w:r>
      <w:proofErr w:type="spellStart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-Leasings sind:</w:t>
      </w:r>
    </w:p>
    <w:p w:rsidR="005871B8" w:rsidRPr="005871B8" w:rsidRDefault="005871B8" w:rsidP="0058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Vertragslaufzeit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proofErr w:type="spellStart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>Relativ</w:t>
      </w:r>
      <w:proofErr w:type="spellEnd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kurze Vertragslaufzeiten.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Bei Vertragsabschluss auf unbestimmte Zeit besteht ein Kündigungsrecht innerhalb der vereinbarten Fristen. Die Lebensdauer des Objektes übersteigt hier die festgelegte Nutzungsdauer.</w:t>
      </w:r>
    </w:p>
    <w:p w:rsidR="005871B8" w:rsidRPr="005871B8" w:rsidRDefault="005871B8" w:rsidP="0058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Wirtschaftliches Risiko/Objektrisiko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5A600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Trägt der </w:t>
      </w:r>
      <w:r w:rsidRPr="00471A2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de-DE"/>
        </w:rPr>
        <w:t>Leasing-Geber</w:t>
      </w:r>
      <w:r w:rsidRPr="00471A2B">
        <w:rPr>
          <w:rFonts w:ascii="Times New Roman" w:eastAsia="Times New Roman" w:hAnsi="Times New Roman" w:cs="Times New Roman"/>
          <w:szCs w:val="24"/>
          <w:lang w:eastAsia="de-DE"/>
        </w:rPr>
        <w:t xml:space="preserve">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Unter wirtschaftlichem Risiko/Objektrisiko versteht man in diesem Zusammenhang die Gefahr der technischen Veralterung des Leasing-Objektes, Diebstahl, technische Defekte oder Beschädigungen.</w:t>
      </w:r>
    </w:p>
    <w:p w:rsidR="005871B8" w:rsidRPr="005871B8" w:rsidRDefault="005871B8" w:rsidP="0058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Instandhaltung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Liegt in der Verantwortung des Leasing-Gebers. Da dieser das Leasing-Gut häufig an mehrere Leasing-Nehmer nacheinander vermietet, ist er besonders am guten Erhaltungszustand des Objektes interessiert. </w:t>
      </w:r>
    </w:p>
    <w:p w:rsidR="005871B8" w:rsidRPr="005871B8" w:rsidRDefault="005871B8" w:rsidP="0058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Finance-Leasing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Spricht man in der Praxis von Leasing ist damit in der Regel das Finanzierungsleasing gemeint. Diese Leasing-Form wird als eigentliches Leasing angesehen. Die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Verträge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</w:t>
      </w:r>
      <w:r w:rsidRPr="00471A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mittel- oder langfristigen</w:t>
      </w:r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Charakter. 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Merkmale des Finance-Leasings sind:</w:t>
      </w:r>
    </w:p>
    <w:p w:rsidR="005871B8" w:rsidRPr="005871B8" w:rsidRDefault="005871B8" w:rsidP="0058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Vertragslaufzeit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>Lange</w:t>
      </w:r>
      <w:proofErr w:type="spellEnd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Laufzeiten mit unkündbaren Grundmietzeiten.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Grundmietzeit nähert sich an die betriebliche Nutzungsdauer des Leasing-Gegenstandes an. </w:t>
      </w:r>
    </w:p>
    <w:p w:rsidR="005871B8" w:rsidRPr="005871B8" w:rsidRDefault="005871B8" w:rsidP="0058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Objektrisiko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5A600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Liegt beim </w:t>
      </w:r>
      <w:r w:rsidRPr="00471A2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de-DE"/>
        </w:rPr>
        <w:t>Leasing-Nehmer</w:t>
      </w:r>
      <w:r w:rsidRPr="00471A2B">
        <w:rPr>
          <w:rFonts w:ascii="Times New Roman" w:eastAsia="Times New Roman" w:hAnsi="Times New Roman" w:cs="Times New Roman"/>
          <w:szCs w:val="24"/>
          <w:lang w:eastAsia="de-DE"/>
        </w:rPr>
        <w:t xml:space="preserve">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schließt auch die Bezahlung anfallender Reparaturen und das Abschließen von Versicherungen ein. </w:t>
      </w:r>
    </w:p>
    <w:p w:rsidR="005871B8" w:rsidRPr="005871B8" w:rsidRDefault="005871B8" w:rsidP="0058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Instandhaltung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Da der Leasing-Nehmer in der Regel die Anschaffung bzw. Herstellung des Leasing-Gegenstandes veranlasst hat, ist er auch für die Werterhaltungsmaßnahmen verantwortlich.</w:t>
      </w:r>
    </w:p>
    <w:p w:rsidR="00D81BF4" w:rsidRDefault="00D81BF4"/>
    <w:p w:rsidR="005A6002" w:rsidRDefault="005A6002"/>
    <w:p w:rsidR="005A6002" w:rsidRDefault="005A6002"/>
    <w:p w:rsidR="005A6002" w:rsidRDefault="004A45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453252</wp:posOffset>
                </wp:positionH>
                <wp:positionV relativeFrom="paragraph">
                  <wp:posOffset>1859142</wp:posOffset>
                </wp:positionV>
                <wp:extent cx="2131200" cy="435600"/>
                <wp:effectExtent l="0" t="0" r="21590" b="222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200" cy="43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59B" w:rsidRPr="004A459B" w:rsidRDefault="004A459B">
                            <w:pPr>
                              <w:rPr>
                                <w:b/>
                              </w:rPr>
                            </w:pPr>
                            <w:r w:rsidRPr="004A459B">
                              <w:rPr>
                                <w:b/>
                              </w:rPr>
                              <w:t>Annuitätsrate: 23</w:t>
                            </w:r>
                            <w:r w:rsidR="00CC7525">
                              <w:rPr>
                                <w:b/>
                              </w:rPr>
                              <w:t>.</w:t>
                            </w:r>
                            <w:r w:rsidRPr="004A459B">
                              <w:rPr>
                                <w:b/>
                              </w:rPr>
                              <w:t>739,64 €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.7pt;margin-top:146.4pt;width:167.8pt;height:3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">
                <v:textbox>
                  <w:txbxContent>
                    <w:p w:rsidR="004A459B" w:rsidRPr="004A459B" w:rsidRDefault="004A459B">
                      <w:pPr>
                        <w:rPr>
                          <w:b/>
                        </w:rPr>
                      </w:pPr>
                      <w:r w:rsidRPr="004A459B">
                        <w:rPr>
                          <w:b/>
                        </w:rPr>
                        <w:t>Annuitätsrate: 23</w:t>
                      </w:r>
                      <w:r w:rsidR="00CC7525">
                        <w:rPr>
                          <w:b/>
                        </w:rPr>
                        <w:t>.</w:t>
                      </w:r>
                      <w:r w:rsidRPr="004A459B">
                        <w:rPr>
                          <w:b/>
                        </w:rPr>
                        <w:t>739,64 €</w:t>
                      </w:r>
                    </w:p>
                  </w:txbxContent>
                </v:textbox>
              </v:shape>
            </w:pict>
          </mc:Fallback>
        </mc:AlternateContent>
      </w:r>
    </w:p>
    <w:p w:rsidR="003B0D87" w:rsidRDefault="003B0D87">
      <w:r w:rsidRPr="003B0D87">
        <w:lastRenderedPageBreak/>
        <w:drawing>
          <wp:inline distT="0" distB="0" distL="0" distR="0" wp14:anchorId="7E33BF99" wp14:editId="0A21000A">
            <wp:extent cx="6731635" cy="2592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97"/>
        <w:gridCol w:w="1420"/>
        <w:gridCol w:w="1237"/>
        <w:gridCol w:w="1276"/>
        <w:gridCol w:w="1763"/>
        <w:gridCol w:w="1370"/>
        <w:gridCol w:w="1284"/>
        <w:gridCol w:w="1370"/>
      </w:tblGrid>
      <w:tr w:rsidR="001C5228" w:rsidTr="00FA5CB6">
        <w:tc>
          <w:tcPr>
            <w:tcW w:w="593" w:type="dxa"/>
          </w:tcPr>
          <w:p w:rsidR="001C5228" w:rsidRPr="009C7914" w:rsidRDefault="00FA5CB6">
            <w:pPr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Jahr</w:t>
            </w:r>
          </w:p>
        </w:tc>
        <w:tc>
          <w:tcPr>
            <w:tcW w:w="1530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Darlehen</w:t>
            </w:r>
          </w:p>
        </w:tc>
        <w:tc>
          <w:tcPr>
            <w:tcW w:w="1449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Zins</w:t>
            </w:r>
            <w:r w:rsidR="000A5EC7" w:rsidRPr="009C7914">
              <w:rPr>
                <w:b/>
                <w:sz w:val="28"/>
              </w:rPr>
              <w:t>en</w:t>
            </w:r>
          </w:p>
        </w:tc>
        <w:tc>
          <w:tcPr>
            <w:tcW w:w="1449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Tilgung</w:t>
            </w:r>
          </w:p>
        </w:tc>
        <w:tc>
          <w:tcPr>
            <w:tcW w:w="1449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Restdarlehen</w:t>
            </w: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Aufwand</w:t>
            </w:r>
          </w:p>
        </w:tc>
        <w:tc>
          <w:tcPr>
            <w:tcW w:w="14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Leasing</w:t>
            </w:r>
          </w:p>
        </w:tc>
        <w:tc>
          <w:tcPr>
            <w:tcW w:w="14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Aufwand</w:t>
            </w:r>
          </w:p>
        </w:tc>
      </w:tr>
      <w:tr w:rsidR="001C5228" w:rsidTr="00FA5CB6">
        <w:tc>
          <w:tcPr>
            <w:tcW w:w="593" w:type="dxa"/>
          </w:tcPr>
          <w:p w:rsidR="00FA5CB6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1</w:t>
            </w:r>
          </w:p>
        </w:tc>
        <w:tc>
          <w:tcPr>
            <w:tcW w:w="1530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</w:tr>
      <w:tr w:rsidR="001C5228" w:rsidTr="00FA5CB6">
        <w:tc>
          <w:tcPr>
            <w:tcW w:w="593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2</w:t>
            </w:r>
          </w:p>
        </w:tc>
        <w:tc>
          <w:tcPr>
            <w:tcW w:w="1530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</w:tr>
      <w:tr w:rsidR="001C5228" w:rsidTr="00FA5CB6">
        <w:tc>
          <w:tcPr>
            <w:tcW w:w="593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3</w:t>
            </w:r>
          </w:p>
        </w:tc>
        <w:tc>
          <w:tcPr>
            <w:tcW w:w="1530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</w:tr>
      <w:tr w:rsidR="001C5228" w:rsidTr="00FA5CB6">
        <w:tc>
          <w:tcPr>
            <w:tcW w:w="593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4</w:t>
            </w:r>
          </w:p>
        </w:tc>
        <w:tc>
          <w:tcPr>
            <w:tcW w:w="1530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</w:tr>
      <w:tr w:rsidR="001C5228" w:rsidTr="00FA5CB6">
        <w:tc>
          <w:tcPr>
            <w:tcW w:w="593" w:type="dxa"/>
          </w:tcPr>
          <w:p w:rsidR="001C5228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5</w:t>
            </w:r>
          </w:p>
        </w:tc>
        <w:tc>
          <w:tcPr>
            <w:tcW w:w="1530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9C7914" w:rsidRDefault="001C5228" w:rsidP="00FA5CB6">
            <w:pPr>
              <w:jc w:val="center"/>
              <w:rPr>
                <w:sz w:val="28"/>
              </w:rPr>
            </w:pPr>
          </w:p>
        </w:tc>
      </w:tr>
      <w:tr w:rsidR="00FA5CB6" w:rsidTr="00FA5CB6">
        <w:tc>
          <w:tcPr>
            <w:tcW w:w="593" w:type="dxa"/>
          </w:tcPr>
          <w:p w:rsidR="00FA5CB6" w:rsidRPr="009C7914" w:rsidRDefault="00FA5CB6" w:rsidP="00FA5CB6">
            <w:pPr>
              <w:jc w:val="center"/>
              <w:rPr>
                <w:b/>
                <w:sz w:val="28"/>
              </w:rPr>
            </w:pPr>
            <w:r w:rsidRPr="009C7914">
              <w:rPr>
                <w:b/>
                <w:sz w:val="28"/>
              </w:rPr>
              <w:t>Summe</w:t>
            </w:r>
          </w:p>
        </w:tc>
        <w:tc>
          <w:tcPr>
            <w:tcW w:w="1530" w:type="dxa"/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A5CB6" w:rsidRPr="009C7914" w:rsidRDefault="00FA5CB6" w:rsidP="00FA5CB6">
            <w:pPr>
              <w:jc w:val="center"/>
              <w:rPr>
                <w:sz w:val="28"/>
              </w:rPr>
            </w:pPr>
          </w:p>
        </w:tc>
      </w:tr>
    </w:tbl>
    <w:p w:rsidR="001C5228" w:rsidRDefault="001C5228">
      <w:bookmarkStart w:id="0" w:name="_GoBack"/>
      <w:bookmarkEnd w:id="0"/>
    </w:p>
    <w:sectPr w:rsidR="001C5228" w:rsidSect="005A6002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C5C"/>
    <w:multiLevelType w:val="multilevel"/>
    <w:tmpl w:val="20E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C0108"/>
    <w:multiLevelType w:val="multilevel"/>
    <w:tmpl w:val="809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7E96"/>
    <w:multiLevelType w:val="hybridMultilevel"/>
    <w:tmpl w:val="62A25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1B8"/>
    <w:rsid w:val="000A5EC7"/>
    <w:rsid w:val="001C5228"/>
    <w:rsid w:val="003B0D87"/>
    <w:rsid w:val="0041131B"/>
    <w:rsid w:val="00471A2B"/>
    <w:rsid w:val="004A459B"/>
    <w:rsid w:val="005871B8"/>
    <w:rsid w:val="005A6002"/>
    <w:rsid w:val="006355DB"/>
    <w:rsid w:val="00737861"/>
    <w:rsid w:val="009C7914"/>
    <w:rsid w:val="00CC7525"/>
    <w:rsid w:val="00D81BF4"/>
    <w:rsid w:val="00F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2836"/>
  <w15:docId w15:val="{28BB5D63-84C7-4EC0-A1B9-5581724A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002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11</cp:revision>
  <cp:lastPrinted>2022-04-12T10:17:00Z</cp:lastPrinted>
  <dcterms:created xsi:type="dcterms:W3CDTF">2017-02-10T07:48:00Z</dcterms:created>
  <dcterms:modified xsi:type="dcterms:W3CDTF">2023-04-25T07:04:00Z</dcterms:modified>
</cp:coreProperties>
</file>