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9B" w:rsidRDefault="00942CAE" w:rsidP="008D5D8B">
      <w:pPr>
        <w:pStyle w:val="2"/>
        <w:numPr>
          <w:ilvl w:val="0"/>
          <w:numId w:val="1"/>
        </w:numPr>
      </w:pPr>
      <w:r w:rsidRPr="00942CAE">
        <w:object w:dxaOrig="129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4.5pt;height:42pt" o:ole="">
            <v:imagedata r:id="rId5" o:title=""/>
          </v:shape>
          <o:OLEObject Type="Embed" ProgID="Package" ShapeID="_x0000_i1033" DrawAspect="Content" ObjectID="_1463468205" r:id="rId6"/>
        </w:object>
      </w:r>
      <w:r w:rsidRPr="00942CAE">
        <w:object w:dxaOrig="1216" w:dyaOrig="841">
          <v:shape id="_x0000_i1034" type="#_x0000_t75" style="width:60.75pt;height:42pt" o:ole="">
            <v:imagedata r:id="rId7" o:title=""/>
          </v:shape>
          <o:OLEObject Type="Embed" ProgID="Package" ShapeID="_x0000_i1034" DrawAspect="Content" ObjectID="_1463468206" r:id="rId8"/>
        </w:object>
      </w:r>
      <w:r w:rsidR="00ED505B">
        <w:rPr>
          <w:rFonts w:hint="eastAsia"/>
        </w:rPr>
        <w:t>：</w:t>
      </w:r>
      <w:r w:rsidR="009D2B9B">
        <w:rPr>
          <w:rFonts w:hint="eastAsia"/>
        </w:rPr>
        <w:t>单个</w:t>
      </w:r>
      <w:proofErr w:type="gramStart"/>
      <w:r w:rsidR="009D2B9B">
        <w:t>品种回测程序</w:t>
      </w:r>
      <w:proofErr w:type="gramEnd"/>
      <w:r w:rsidR="009D2B9B">
        <w:t>。</w:t>
      </w:r>
    </w:p>
    <w:p w:rsidR="00EF6B5F" w:rsidRDefault="00ED505B" w:rsidP="004D2B0D">
      <w:pPr>
        <w:ind w:left="420"/>
      </w:pPr>
      <w:bookmarkStart w:id="0" w:name="_GoBack"/>
      <w:r>
        <w:rPr>
          <w:rFonts w:hint="eastAsia"/>
        </w:rPr>
        <w:t>给定期货</w:t>
      </w:r>
      <w:r>
        <w:t>品种</w:t>
      </w:r>
      <w:r>
        <w:rPr>
          <w:rFonts w:hint="eastAsia"/>
        </w:rPr>
        <w:t>和</w:t>
      </w:r>
      <w:r>
        <w:t>K</w:t>
      </w:r>
      <w:r>
        <w:t>线种类，</w:t>
      </w:r>
      <w:r>
        <w:rPr>
          <w:rFonts w:hint="eastAsia"/>
        </w:rPr>
        <w:t>计算</w:t>
      </w:r>
      <w:r>
        <w:t>从开始</w:t>
      </w:r>
      <w:r>
        <w:rPr>
          <w:rFonts w:hint="eastAsia"/>
        </w:rPr>
        <w:t>日期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至</w:t>
      </w:r>
      <w:r>
        <w:t>结束日期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某</w:t>
      </w:r>
      <w:r>
        <w:t>策略</w:t>
      </w:r>
      <w:proofErr w:type="gramStart"/>
      <w:r>
        <w:t>的回测</w:t>
      </w:r>
      <w:r>
        <w:rPr>
          <w:rFonts w:hint="eastAsia"/>
        </w:rPr>
        <w:t>指标</w:t>
      </w:r>
      <w:proofErr w:type="gramEnd"/>
      <w:r>
        <w:rPr>
          <w:rFonts w:hint="eastAsia"/>
        </w:rPr>
        <w:t>。</w:t>
      </w:r>
      <w:r w:rsidR="00EF6B5F">
        <w:rPr>
          <w:rFonts w:hint="eastAsia"/>
        </w:rPr>
        <w:t>单位</w:t>
      </w:r>
      <w:r w:rsidR="00EF6B5F">
        <w:t>为</w:t>
      </w:r>
      <w:r w:rsidR="00EF6B5F">
        <w:rPr>
          <w:rFonts w:hint="eastAsia"/>
        </w:rPr>
        <w:t>每次</w:t>
      </w:r>
      <w:r w:rsidR="00EF6B5F">
        <w:t>交易</w:t>
      </w:r>
      <w:r w:rsidR="00EF6B5F">
        <w:rPr>
          <w:rFonts w:hint="eastAsia"/>
        </w:rPr>
        <w:t>100</w:t>
      </w:r>
      <w:r w:rsidR="00EF6B5F">
        <w:rPr>
          <w:rFonts w:hint="eastAsia"/>
        </w:rPr>
        <w:t>元</w:t>
      </w:r>
      <w:r w:rsidR="00EF6B5F">
        <w:t>保证金的收益</w:t>
      </w:r>
      <w:r w:rsidR="00EF6B5F">
        <w:rPr>
          <w:rFonts w:hint="eastAsia"/>
        </w:rPr>
        <w:t>。并</w:t>
      </w:r>
      <w:r w:rsidR="00EF6B5F">
        <w:t>绘制每月收益</w:t>
      </w:r>
      <w:r w:rsidR="003D04AC">
        <w:rPr>
          <w:rFonts w:hint="eastAsia"/>
        </w:rPr>
        <w:t>柱状图</w:t>
      </w:r>
      <w:r w:rsidR="00EF6B5F">
        <w:t>与</w:t>
      </w:r>
      <w:r w:rsidR="00EF6B5F">
        <w:rPr>
          <w:rFonts w:hint="eastAsia"/>
        </w:rPr>
        <w:t>按</w:t>
      </w:r>
      <w:r w:rsidR="00EF6B5F">
        <w:t>日累计收益曲线。</w:t>
      </w:r>
      <w:bookmarkEnd w:id="0"/>
    </w:p>
    <w:p w:rsidR="003D04AC" w:rsidRDefault="003D04AC"/>
    <w:p w:rsidR="009D2B9B" w:rsidRDefault="00942CAE" w:rsidP="008D5D8B">
      <w:pPr>
        <w:pStyle w:val="2"/>
        <w:numPr>
          <w:ilvl w:val="0"/>
          <w:numId w:val="1"/>
        </w:numPr>
      </w:pPr>
      <w:r w:rsidRPr="00942CAE">
        <w:object w:dxaOrig="1471" w:dyaOrig="841">
          <v:shape id="_x0000_i1035" type="#_x0000_t75" style="width:73.5pt;height:42pt" o:ole="">
            <v:imagedata r:id="rId9" o:title=""/>
          </v:shape>
          <o:OLEObject Type="Embed" ProgID="Package" ShapeID="_x0000_i1035" DrawAspect="Content" ObjectID="_1463468207" r:id="rId10"/>
        </w:object>
      </w:r>
      <w:r w:rsidRPr="00942CAE">
        <w:object w:dxaOrig="1396" w:dyaOrig="841">
          <v:shape id="_x0000_i1036" type="#_x0000_t75" style="width:69.75pt;height:42pt" o:ole="">
            <v:imagedata r:id="rId11" o:title=""/>
          </v:shape>
          <o:OLEObject Type="Embed" ProgID="Package" ShapeID="_x0000_i1036" DrawAspect="Content" ObjectID="_1463468208" r:id="rId12"/>
        </w:object>
      </w:r>
      <w:r w:rsidR="00837A9F">
        <w:rPr>
          <w:rFonts w:hint="eastAsia"/>
        </w:rPr>
        <w:t>：</w:t>
      </w:r>
      <w:r w:rsidR="009D2B9B">
        <w:rPr>
          <w:rFonts w:hint="eastAsia"/>
        </w:rPr>
        <w:t>所有</w:t>
      </w:r>
      <w:r w:rsidR="009D2B9B">
        <w:t>品种</w:t>
      </w:r>
      <w:proofErr w:type="gramStart"/>
      <w:r w:rsidR="009D2B9B">
        <w:t>回测比较</w:t>
      </w:r>
      <w:proofErr w:type="gramEnd"/>
      <w:r w:rsidR="009D2B9B">
        <w:t>程序</w:t>
      </w:r>
      <w:r w:rsidR="009D2B9B">
        <w:rPr>
          <w:rFonts w:hint="eastAsia"/>
        </w:rPr>
        <w:t>。</w:t>
      </w:r>
    </w:p>
    <w:p w:rsidR="00837A9F" w:rsidRDefault="00837A9F" w:rsidP="004D2B0D">
      <w:pPr>
        <w:ind w:left="420"/>
      </w:pPr>
      <w:r>
        <w:rPr>
          <w:rFonts w:hint="eastAsia"/>
        </w:rPr>
        <w:t>给定交易</w:t>
      </w:r>
      <w:r>
        <w:t>策略，起止时间，</w:t>
      </w:r>
      <w:r>
        <w:rPr>
          <w:rFonts w:hint="eastAsia"/>
        </w:rPr>
        <w:t>测试该</w:t>
      </w:r>
      <w:r>
        <w:t>策略在</w:t>
      </w:r>
      <w:r>
        <w:rPr>
          <w:rFonts w:hint="eastAsia"/>
        </w:rPr>
        <w:t>code.</w:t>
      </w:r>
      <w:r>
        <w:t>xls</w:t>
      </w:r>
      <w:r>
        <w:rPr>
          <w:rFonts w:hint="eastAsia"/>
        </w:rPr>
        <w:t>中</w:t>
      </w:r>
      <w:r>
        <w:t>所列</w:t>
      </w:r>
      <w:r>
        <w:rPr>
          <w:rFonts w:hint="eastAsia"/>
        </w:rPr>
        <w:t>所有</w:t>
      </w:r>
      <w:r>
        <w:t>期货品种指定</w:t>
      </w:r>
      <w:r>
        <w:rPr>
          <w:rFonts w:hint="eastAsia"/>
        </w:rPr>
        <w:t>多条</w:t>
      </w:r>
      <w:r>
        <w:t>K</w:t>
      </w:r>
      <w:r>
        <w:t>线上</w:t>
      </w:r>
      <w:proofErr w:type="gramStart"/>
      <w:r>
        <w:t>的回测表现</w:t>
      </w:r>
      <w:proofErr w:type="gramEnd"/>
      <w:r>
        <w:t>，并按照</w:t>
      </w:r>
      <w:r>
        <w:rPr>
          <w:rFonts w:hint="eastAsia"/>
        </w:rPr>
        <w:t>指定</w:t>
      </w:r>
      <w:r>
        <w:t>指标进行排序返回</w:t>
      </w:r>
      <w:r>
        <w:rPr>
          <w:rFonts w:hint="eastAsia"/>
        </w:rPr>
        <w:t>最好</w:t>
      </w:r>
      <w:r>
        <w:t>的</w:t>
      </w:r>
      <w:r>
        <w:t>N</w:t>
      </w:r>
      <w:proofErr w:type="gramStart"/>
      <w:r>
        <w:t>个</w:t>
      </w:r>
      <w:proofErr w:type="gramEnd"/>
      <w:r>
        <w:rPr>
          <w:rFonts w:hint="eastAsia"/>
        </w:rPr>
        <w:t>期货</w:t>
      </w:r>
      <w:r>
        <w:t>品种以及其对应</w:t>
      </w:r>
      <w:r>
        <w:t>K</w:t>
      </w:r>
      <w:r>
        <w:t>线种类。</w:t>
      </w:r>
    </w:p>
    <w:p w:rsidR="00837A9F" w:rsidRDefault="00837A9F"/>
    <w:p w:rsidR="00837A9F" w:rsidRDefault="00942CAE" w:rsidP="008D5D8B">
      <w:pPr>
        <w:pStyle w:val="2"/>
        <w:numPr>
          <w:ilvl w:val="0"/>
          <w:numId w:val="1"/>
        </w:numPr>
      </w:pPr>
      <w:r w:rsidRPr="00942CAE">
        <w:object w:dxaOrig="2221" w:dyaOrig="841">
          <v:shape id="_x0000_i1037" type="#_x0000_t75" style="width:111pt;height:42pt" o:ole="">
            <v:imagedata r:id="rId13" o:title=""/>
          </v:shape>
          <o:OLEObject Type="Embed" ProgID="Package" ShapeID="_x0000_i1037" DrawAspect="Content" ObjectID="_1463468209" r:id="rId14"/>
        </w:object>
      </w:r>
      <w:r w:rsidRPr="00942CAE">
        <w:object w:dxaOrig="2146" w:dyaOrig="841">
          <v:shape id="_x0000_i1038" type="#_x0000_t75" style="width:107.25pt;height:42pt" o:ole="">
            <v:imagedata r:id="rId15" o:title=""/>
          </v:shape>
          <o:OLEObject Type="Embed" ProgID="Package" ShapeID="_x0000_i1038" DrawAspect="Content" ObjectID="_1463468210" r:id="rId16"/>
        </w:object>
      </w:r>
      <w:r w:rsidR="00091DDD">
        <w:rPr>
          <w:rFonts w:hint="eastAsia"/>
        </w:rPr>
        <w:t>：</w:t>
      </w:r>
      <w:r w:rsidR="004A5FBC">
        <w:rPr>
          <w:rFonts w:hint="eastAsia"/>
        </w:rPr>
        <w:t>实时</w:t>
      </w:r>
      <w:r w:rsidR="004A5FBC">
        <w:t>策略</w:t>
      </w:r>
      <w:r w:rsidR="004A5FBC">
        <w:rPr>
          <w:rFonts w:hint="eastAsia"/>
        </w:rPr>
        <w:t>监测</w:t>
      </w:r>
      <w:r w:rsidR="004A5FBC">
        <w:t>程序。</w:t>
      </w:r>
    </w:p>
    <w:p w:rsidR="004A5FBC" w:rsidRDefault="00453441" w:rsidP="004D2B0D">
      <w:pPr>
        <w:ind w:left="420"/>
      </w:pPr>
      <w:r>
        <w:rPr>
          <w:rFonts w:hint="eastAsia"/>
        </w:rPr>
        <w:t>给定期货</w:t>
      </w:r>
      <w:r>
        <w:t>品种与</w:t>
      </w:r>
      <w:r>
        <w:rPr>
          <w:rFonts w:hint="eastAsia"/>
        </w:rPr>
        <w:t>K</w:t>
      </w:r>
      <w:r>
        <w:t>线种类</w:t>
      </w:r>
      <w:r>
        <w:rPr>
          <w:rFonts w:hint="eastAsia"/>
        </w:rPr>
        <w:t>，实时</w:t>
      </w:r>
      <w:r>
        <w:t>显示最新的交易信号，</w:t>
      </w:r>
      <w:r>
        <w:rPr>
          <w:rFonts w:hint="eastAsia"/>
        </w:rPr>
        <w:t>与</w:t>
      </w:r>
      <w:r>
        <w:t>各项指标</w:t>
      </w:r>
      <w:r>
        <w:rPr>
          <w:rFonts w:hint="eastAsia"/>
        </w:rPr>
        <w:t>，</w:t>
      </w:r>
      <w:r>
        <w:t>并绘制</w:t>
      </w:r>
      <w:r>
        <w:rPr>
          <w:rFonts w:hint="eastAsia"/>
        </w:rPr>
        <w:t>给定</w:t>
      </w:r>
      <w:r>
        <w:t>策略对应的</w:t>
      </w:r>
      <w:r>
        <w:t>K</w:t>
      </w:r>
      <w:r>
        <w:t>线。</w:t>
      </w:r>
    </w:p>
    <w:p w:rsidR="00EE212A" w:rsidRDefault="00EE212A"/>
    <w:p w:rsidR="00622A3A" w:rsidRDefault="00942CAE" w:rsidP="008D5D8B">
      <w:pPr>
        <w:pStyle w:val="2"/>
        <w:numPr>
          <w:ilvl w:val="0"/>
          <w:numId w:val="1"/>
        </w:numPr>
      </w:pPr>
      <w:r w:rsidRPr="00942CAE">
        <w:object w:dxaOrig="2251" w:dyaOrig="841">
          <v:shape id="_x0000_i1025" type="#_x0000_t75" style="width:112.5pt;height:42pt" o:ole="">
            <v:imagedata r:id="rId17" o:title=""/>
          </v:shape>
          <o:OLEObject Type="Embed" ProgID="Package" ShapeID="_x0000_i1025" DrawAspect="Content" ObjectID="_1463468211" r:id="rId18"/>
        </w:object>
      </w:r>
      <w:r w:rsidRPr="00942CAE">
        <w:object w:dxaOrig="1876" w:dyaOrig="841">
          <v:shape id="_x0000_i1026" type="#_x0000_t75" style="width:93.75pt;height:42pt" o:ole="">
            <v:imagedata r:id="rId19" o:title=""/>
          </v:shape>
          <o:OLEObject Type="Embed" ProgID="Package" ShapeID="_x0000_i1026" DrawAspect="Content" ObjectID="_1463468212" r:id="rId20"/>
        </w:object>
      </w:r>
      <w:r w:rsidRPr="00942CAE">
        <w:object w:dxaOrig="2430" w:dyaOrig="841">
          <v:shape id="_x0000_i1027" type="#_x0000_t75" style="width:121.5pt;height:42pt" o:ole="">
            <v:imagedata r:id="rId21" o:title=""/>
          </v:shape>
          <o:OLEObject Type="Embed" ProgID="Package" ShapeID="_x0000_i1027" DrawAspect="Content" ObjectID="_1463468213" r:id="rId22"/>
        </w:object>
      </w:r>
      <w:r w:rsidRPr="00942CAE">
        <w:object w:dxaOrig="1696" w:dyaOrig="841">
          <v:shape id="_x0000_i1028" type="#_x0000_t75" style="width:84.75pt;height:42pt" o:ole="">
            <v:imagedata r:id="rId23" o:title=""/>
          </v:shape>
          <o:OLEObject Type="Embed" ProgID="Package" ShapeID="_x0000_i1028" DrawAspect="Content" ObjectID="_1463468214" r:id="rId24"/>
        </w:object>
      </w:r>
      <w:r w:rsidRPr="00942CAE">
        <w:object w:dxaOrig="2551" w:dyaOrig="841">
          <v:shape id="_x0000_i1029" type="#_x0000_t75" style="width:127.5pt;height:42pt" o:ole="">
            <v:imagedata r:id="rId25" o:title=""/>
          </v:shape>
          <o:OLEObject Type="Embed" ProgID="Package" ShapeID="_x0000_i1029" DrawAspect="Content" ObjectID="_1463468215" r:id="rId26"/>
        </w:object>
      </w:r>
      <w:r w:rsidRPr="00942CAE">
        <w:object w:dxaOrig="2791" w:dyaOrig="841">
          <v:shape id="_x0000_i1030" type="#_x0000_t75" style="width:139.5pt;height:42pt" o:ole="">
            <v:imagedata r:id="rId27" o:title=""/>
          </v:shape>
          <o:OLEObject Type="Embed" ProgID="Package" ShapeID="_x0000_i1030" DrawAspect="Content" ObjectID="_1463468216" r:id="rId28"/>
        </w:object>
      </w:r>
      <w:r w:rsidRPr="00942CAE">
        <w:object w:dxaOrig="2521" w:dyaOrig="841">
          <v:shape id="_x0000_i1031" type="#_x0000_t75" style="width:126pt;height:42pt" o:ole="">
            <v:imagedata r:id="rId29" o:title=""/>
          </v:shape>
          <o:OLEObject Type="Embed" ProgID="Package" ShapeID="_x0000_i1031" DrawAspect="Content" ObjectID="_1463468217" r:id="rId30"/>
        </w:object>
      </w:r>
      <w:r w:rsidRPr="00942CAE">
        <w:object w:dxaOrig="2221" w:dyaOrig="841">
          <v:shape id="_x0000_i1032" type="#_x0000_t75" style="width:111pt;height:42pt" o:ole="">
            <v:imagedata r:id="rId31" o:title=""/>
          </v:shape>
          <o:OLEObject Type="Embed" ProgID="Package" ShapeID="_x0000_i1032" DrawAspect="Content" ObjectID="_1463468218" r:id="rId32"/>
        </w:object>
      </w:r>
      <w:r w:rsidR="00622A3A">
        <w:rPr>
          <w:rFonts w:hint="eastAsia"/>
        </w:rPr>
        <w:t>：</w:t>
      </w:r>
      <w:r w:rsidR="00622A3A">
        <w:t>原</w:t>
      </w:r>
      <w:r w:rsidR="00622A3A">
        <w:rPr>
          <w:rFonts w:hint="eastAsia"/>
        </w:rPr>
        <w:t>股指</w:t>
      </w:r>
      <w:r w:rsidR="00622A3A">
        <w:t>期货策略开发接口的升级版本，以适应所有</w:t>
      </w:r>
      <w:r w:rsidR="00622A3A">
        <w:rPr>
          <w:rFonts w:hint="eastAsia"/>
        </w:rPr>
        <w:t>商品期货</w:t>
      </w:r>
      <w:r w:rsidR="00622A3A">
        <w:t>品种。</w:t>
      </w:r>
    </w:p>
    <w:p w:rsidR="00026734" w:rsidRPr="00026734" w:rsidRDefault="00026734" w:rsidP="004D2B0D">
      <w:pPr>
        <w:autoSpaceDE w:val="0"/>
        <w:autoSpaceDN w:val="0"/>
        <w:adjustRightInd w:val="0"/>
        <w:ind w:left="420"/>
        <w:jc w:val="left"/>
        <w:rPr>
          <w:rFonts w:hint="eastAsia"/>
        </w:rPr>
      </w:pPr>
      <w:r>
        <w:rPr>
          <w:rFonts w:hint="eastAsia"/>
        </w:rPr>
        <w:t>其中</w:t>
      </w:r>
      <w:r>
        <w:t>，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ADT_GetMonthlyReturn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；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ADT_GetDataByCode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；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ADT_GetData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；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ADT_GetDailyReturn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；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ADT_EvalIFPerf</w:t>
      </w:r>
      <w:proofErr w:type="spellEnd"/>
      <w:r w:rsidRPr="00026734">
        <w:rPr>
          <w:rFonts w:hint="eastAsia"/>
        </w:rPr>
        <w:t>的</w:t>
      </w:r>
      <w:r w:rsidRPr="00026734">
        <w:t>输入参数中，原</w:t>
      </w:r>
      <w:r w:rsidRPr="00026734">
        <w:rPr>
          <w:rFonts w:hint="eastAsia"/>
        </w:rPr>
        <w:t>代表</w:t>
      </w:r>
      <w:r w:rsidRPr="00026734">
        <w:t>交易费率</w:t>
      </w:r>
      <w:proofErr w:type="spellStart"/>
      <w:r w:rsidRPr="00026734">
        <w:rPr>
          <w:rFonts w:hint="eastAsia"/>
        </w:rPr>
        <w:t>feetio</w:t>
      </w:r>
      <w:proofErr w:type="spellEnd"/>
      <w:r>
        <w:rPr>
          <w:rFonts w:hint="eastAsia"/>
        </w:rPr>
        <w:t>升级成</w:t>
      </w:r>
      <w:r>
        <w:t>char</w:t>
      </w:r>
      <w:r>
        <w:t>型参数</w:t>
      </w:r>
      <w:r>
        <w:rPr>
          <w:rFonts w:hint="eastAsia"/>
        </w:rPr>
        <w:t>code</w:t>
      </w:r>
      <w:r>
        <w:rPr>
          <w:rFonts w:hint="eastAsia"/>
        </w:rPr>
        <w:t>，</w:t>
      </w:r>
      <w:r>
        <w:t>代表</w:t>
      </w:r>
      <w:r w:rsidR="003303E5">
        <w:rPr>
          <w:rFonts w:hint="eastAsia"/>
        </w:rPr>
        <w:t>期货</w:t>
      </w:r>
      <w:r w:rsidR="003303E5">
        <w:t>代码</w:t>
      </w:r>
      <w:r w:rsidR="003303E5">
        <w:rPr>
          <w:rFonts w:hint="eastAsia"/>
        </w:rPr>
        <w:t>；</w:t>
      </w:r>
      <w:r w:rsidR="003303E5">
        <w:t>然后调用</w:t>
      </w:r>
      <w:r w:rsidR="003303E5">
        <w:rPr>
          <w:rFonts w:hint="eastAsia"/>
        </w:rPr>
        <w:t>fee</w:t>
      </w:r>
      <w:r w:rsidR="003303E5">
        <w:t>tio.xls</w:t>
      </w:r>
      <w:r w:rsidR="003303E5">
        <w:rPr>
          <w:rFonts w:hint="eastAsia"/>
        </w:rPr>
        <w:t>查询</w:t>
      </w:r>
      <w:r w:rsidR="003303E5">
        <w:t>其对应的交易费率；调用</w:t>
      </w:r>
      <w:r w:rsidR="003303E5">
        <w:rPr>
          <w:rFonts w:hint="eastAsia"/>
        </w:rPr>
        <w:t>leverage</w:t>
      </w:r>
      <w:r w:rsidR="003303E5">
        <w:t>.xls</w:t>
      </w:r>
      <w:r w:rsidR="003303E5">
        <w:rPr>
          <w:rFonts w:hint="eastAsia"/>
        </w:rPr>
        <w:t>查询</w:t>
      </w:r>
      <w:r w:rsidR="003303E5">
        <w:t>其对应的交易杠杆。</w:t>
      </w:r>
    </w:p>
    <w:p w:rsidR="00026734" w:rsidRPr="00EF6B5F" w:rsidRDefault="00026734">
      <w:pPr>
        <w:rPr>
          <w:rFonts w:hint="eastAsia"/>
        </w:rPr>
      </w:pPr>
    </w:p>
    <w:sectPr w:rsidR="00026734" w:rsidRPr="00EF6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105222"/>
    <w:multiLevelType w:val="hybridMultilevel"/>
    <w:tmpl w:val="ADFE9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74"/>
    <w:rsid w:val="00026734"/>
    <w:rsid w:val="00091DDD"/>
    <w:rsid w:val="003303E5"/>
    <w:rsid w:val="003D04AC"/>
    <w:rsid w:val="00453441"/>
    <w:rsid w:val="004A5FBC"/>
    <w:rsid w:val="004D2B0D"/>
    <w:rsid w:val="00622A3A"/>
    <w:rsid w:val="00710874"/>
    <w:rsid w:val="00837A9F"/>
    <w:rsid w:val="008D5D8B"/>
    <w:rsid w:val="00942CAE"/>
    <w:rsid w:val="009D2B9B"/>
    <w:rsid w:val="00E76BB3"/>
    <w:rsid w:val="00ED505B"/>
    <w:rsid w:val="00EE212A"/>
    <w:rsid w:val="00EF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932F9-538F-460E-B1C9-6003F673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5D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5D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5D8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D5D8B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8D5D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</dc:creator>
  <cp:keywords/>
  <dc:description/>
  <cp:lastModifiedBy>Val</cp:lastModifiedBy>
  <cp:revision>16</cp:revision>
  <dcterms:created xsi:type="dcterms:W3CDTF">2014-06-05T01:54:00Z</dcterms:created>
  <dcterms:modified xsi:type="dcterms:W3CDTF">2014-06-05T02:09:00Z</dcterms:modified>
</cp:coreProperties>
</file>