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60" w:before="0"/>
      </w:pPr>
      <w:r>
        <w:rPr>
          <w:rFonts w:ascii="Calibri" w:cs="Calibri" w:eastAsia="Calibri" w:hAnsi="Calibri"/>
          <w:color w:val="4A6278"/>
          <w:sz w:val="19"/>
          <w:szCs w:val="19"/>
        </w:rPr>
        <w:t xml:space="preserve">2 April 2026</w:t>
      </w:r>
      <w:r>
        <w:rPr>
          <w:rFonts w:ascii="Calibri" w:cs="Calibri" w:eastAsia="Calibri" w:hAnsi="Calibri"/>
          <w:color w:val="4A6278"/>
          <w:sz w:val="19"/>
          <w:szCs w:val="19"/>
        </w:rPr>
        <w:t xml:space="preserve">	Ref: RCVI/OFFER/2026/KC-01</w:t>
      </w:r>
    </w:p>
    <w:p>
      <w:pPr>
        <w:spacing w:after="0" w:before="120"/>
      </w:pPr>
      <w:r>
        <w:rPr>
          <w:rFonts w:ascii="Calibri" w:cs="Calibri" w:eastAsia="Calibri" w:hAnsi="Calibri"/>
          <w:b/>
          <w:bCs/>
          <w:color w:val="1A1A1A"/>
          <w:sz w:val="20"/>
          <w:szCs w:val="20"/>
        </w:rPr>
        <w:t xml:space="preserve">Koushik Chatterjee</w:t>
      </w:r>
    </w:p>
    <w:p>
      <w:pPr>
        <w:spacing w:after="180" w:before="0"/>
      </w:pPr>
      <w:r>
        <w:rPr>
          <w:rFonts w:ascii="Calibri" w:cs="Calibri" w:eastAsia="Calibri" w:hAnsi="Calibri"/>
          <w:i/>
          <w:iCs/>
          <w:color w:val="4A6278"/>
          <w:sz w:val="18"/>
          <w:szCs w:val="18"/>
        </w:rPr>
        <w:t xml:space="preserve">(Address on file)</w:t>
      </w:r>
    </w:p>
    <w:p>
      <w:pPr>
        <w:spacing w:after="60" w:before="0"/>
      </w:pPr>
      <w:r>
        <w:rPr>
          <w:rFonts w:ascii="Calibri" w:cs="Calibri" w:eastAsia="Calibri" w:hAnsi="Calibri"/>
          <w:b/>
          <w:bCs/>
          <w:color w:val="1A3C5E"/>
          <w:sz w:val="20"/>
          <w:szCs w:val="20"/>
        </w:rPr>
        <w:t xml:space="preserve">Subject: </w:t>
      </w:r>
      <w:r>
        <w:rPr>
          <w:rFonts w:ascii="Calibri" w:cs="Calibri" w:eastAsia="Calibri" w:hAnsi="Calibri"/>
          <w:b/>
          <w:bCs/>
          <w:color w:val="1A1A1A"/>
          <w:sz w:val="20"/>
          <w:szCs w:val="20"/>
        </w:rPr>
        <w:t xml:space="preserve">Letter of Intent — Fixed-Term Engagement leading to Permanent Employment</w:t>
      </w:r>
    </w:p>
    <w:p>
      <w:pPr>
        <w:pBdr>
          <w:bottom w:val="single" w:color="C8102E" w:sz="6" w:space="1"/>
        </w:pBdr>
        <w:spacing w:after="0" w:before="0"/>
      </w:pPr>
    </w:p>
    <w:p>
      <w:pPr>
        <w:spacing w:after="80" w:before="180"/>
      </w:pPr>
      <w:r>
        <w:rPr>
          <w:rFonts w:ascii="Calibri" w:cs="Calibri" w:eastAsia="Calibri" w:hAnsi="Calibri"/>
          <w:b/>
          <w:bCs/>
          <w:color w:val="1A1A1A"/>
          <w:sz w:val="20"/>
          <w:szCs w:val="20"/>
        </w:rPr>
        <w:t xml:space="preserve">Dear Koushik,</w:t>
      </w:r>
    </w:p>
    <w:p>
      <w:pPr>
        <w:spacing w:after="60" w:before="60"/>
      </w:pPr>
      <w:r>
        <w:rPr>
          <w:rFonts w:ascii="Calibri" w:cs="Calibri" w:eastAsia="Calibri" w:hAnsi="Calibri"/>
          <w:color w:val="1A1A1A"/>
          <w:sz w:val="20"/>
          <w:szCs w:val="20"/>
        </w:rPr>
        <w:t xml:space="preserve">We are pleased to extend this offer of engagement to you at RCV Innovations Private Limited (“the Company”). This letter sets out the terms under which you will join as a key business leader, with a clear and mutually agreed pathway to a permanent role.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pPr>
              <w:spacing w:after="0" w:before="0"/>
            </w:pPr>
            <w:r>
              <w:rPr>
                <w:rFonts w:ascii="Calibri" w:cs="Calibri" w:eastAsia="Calibri" w:hAnsi="Calibri"/>
                <w:b/>
                <w:bCs/>
                <w:caps/>
                <w:color w:val="FFFFFF"/>
                <w:sz w:val="20"/>
                <w:szCs w:val="20"/>
              </w:rPr>
              <w:t xml:space="preserve">01  —  Engagement Structure</w:t>
            </w:r>
          </w:p>
        </w:tc>
      </w:tr>
    </w:tbl>
    <w:p>
      <w:pPr>
        <w:spacing w:after="60" w:before="120"/>
      </w:pPr>
      <w:r>
        <w:rPr>
          <w:rFonts w:ascii="Calibri" w:cs="Calibri" w:eastAsia="Calibri" w:hAnsi="Calibri"/>
          <w:color w:val="1A1A1A"/>
          <w:sz w:val="20"/>
          <w:szCs w:val="20"/>
        </w:rPr>
        <w:t xml:space="preserve">You will commence on a </w:t>
      </w:r>
      <w:r>
        <w:rPr>
          <w:rFonts w:ascii="Calibri" w:cs="Calibri" w:eastAsia="Calibri" w:hAnsi="Calibri"/>
          <w:b/>
          <w:bCs/>
          <w:color w:val="1A3C5E"/>
          <w:sz w:val="20"/>
          <w:szCs w:val="20"/>
        </w:rPr>
        <w:t xml:space="preserve">fixed-term engagement</w:t>
      </w:r>
      <w:r>
        <w:rPr>
          <w:rFonts w:ascii="Calibri" w:cs="Calibri" w:eastAsia="Calibri" w:hAnsi="Calibri"/>
          <w:color w:val="1A1A1A"/>
          <w:sz w:val="20"/>
          <w:szCs w:val="20"/>
        </w:rPr>
        <w:t xml:space="preserve"> effective </w:t>
      </w:r>
      <w:r>
        <w:rPr>
          <w:rFonts w:ascii="Calibri" w:cs="Calibri" w:eastAsia="Calibri" w:hAnsi="Calibri"/>
          <w:b/>
          <w:bCs/>
          <w:color w:val="1A1A1A"/>
          <w:sz w:val="20"/>
          <w:szCs w:val="20"/>
        </w:rPr>
        <w:t xml:space="preserve">2 April 2026</w:t>
      </w:r>
      <w:r>
        <w:rPr>
          <w:rFonts w:ascii="Calibri" w:cs="Calibri" w:eastAsia="Calibri" w:hAnsi="Calibri"/>
          <w:color w:val="1A1A1A"/>
          <w:sz w:val="20"/>
          <w:szCs w:val="20"/>
        </w:rPr>
        <w:t xml:space="preserve">, subject to the conversion conditions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D6E0" w:sz="1"/>
              <w:left w:val="single" w:color="C8D6E0" w:sz="1"/>
              <w:bottom w:val="single" w:color="C8D6E0" w:sz="1"/>
              <w:right w:val="single" w:color="C8D6E0" w:sz="1"/>
            </w:tcBorders>
            <w:shd w:fill="1A3C5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Condition</w:t>
            </w:r>
          </w:p>
        </w:tc>
        <w:tc>
          <w:tcPr>
            <w:tcW w:type="dxa" w:w="5160"/>
            <w:tcBorders>
              <w:top w:val="single" w:color="C8D6E0" w:sz="1"/>
              <w:left w:val="single" w:color="C8D6E0" w:sz="1"/>
              <w:bottom w:val="single" w:color="C8D6E0" w:sz="1"/>
              <w:right w:val="single" w:color="C8D6E0" w:sz="1"/>
            </w:tcBorders>
            <w:shd w:fill="1A3C5E" w:val="clear"/>
            <w:tcMar>
              <w:top w:type="dxa" w:w="80"/>
              <w:left w:type="dxa" w:w="140"/>
              <w:bottom w:type="dxa" w:w="80"/>
              <w:right w:type="dxa" w:w="140"/>
            </w:tcMar>
          </w:tcPr>
          <w:p>
            <w:pPr>
              <w:spacing w:after="0" w:before="0"/>
            </w:pPr>
            <w:r>
              <w:rPr>
                <w:rFonts w:ascii="Calibri" w:cs="Calibri" w:eastAsia="Calibri" w:hAnsi="Calibri"/>
                <w:b/>
                <w:bCs/>
                <w:color w:val="FFFFFF"/>
                <w:sz w:val="19"/>
                <w:szCs w:val="19"/>
              </w:rPr>
              <w:t xml:space="preserve">Detail</w:t>
            </w:r>
          </w:p>
        </w:tc>
      </w:tr>
      <w:tr>
        <w:tc>
          <w:tcPr>
            <w:tcW w:type="dxa" w:w="4200"/>
            <w:tcBorders>
              <w:top w:val="single" w:color="C8D6E0" w:sz="1"/>
              <w:left w:val="single" w:color="C8D6E0" w:sz="1"/>
              <w:bottom w:val="single" w:color="C8D6E0" w:sz="1"/>
              <w:right w:val="single" w:color="C8D6E0" w:sz="1"/>
            </w:tcBorders>
            <w:shd w:fill="EBF0F5" w:val="clear"/>
            <w:tcMar>
              <w:top w:type="dxa" w:w="80"/>
              <w:left w:type="dxa" w:w="140"/>
              <w:bottom w:type="dxa" w:w="80"/>
              <w:right w:type="dxa" w:w="140"/>
            </w:tcMar>
          </w:tcPr>
          <w:p>
            <w:pPr>
              <w:spacing w:after="0" w:before="0"/>
            </w:pPr>
            <w:r>
              <w:rPr>
                <w:rFonts w:ascii="Calibri" w:cs="Calibri" w:eastAsia="Calibri" w:hAnsi="Calibri"/>
                <w:b/>
                <w:bCs/>
                <w:color w:val="1A3C5E"/>
                <w:sz w:val="19"/>
                <w:szCs w:val="19"/>
              </w:rPr>
              <w:t xml:space="preserve">Milestone A</w:t>
            </w:r>
          </w:p>
        </w:tc>
        <w:tc>
          <w:tcPr>
            <w:tcW w:type="dxa" w:w="5160"/>
            <w:tcBorders>
              <w:top w:val="single" w:color="C8D6E0" w:sz="1"/>
              <w:left w:val="single" w:color="C8D6E0" w:sz="1"/>
              <w:bottom w:val="single" w:color="C8D6E0" w:sz="1"/>
              <w:right w:val="single" w:color="C8D6E0" w:sz="1"/>
            </w:tcBorders>
            <w:tcMar>
              <w:top w:type="dxa" w:w="80"/>
              <w:left w:type="dxa" w:w="140"/>
              <w:bottom w:type="dxa" w:w="80"/>
              <w:right w:type="dxa" w:w="140"/>
            </w:tcMar>
          </w:tcPr>
          <w:p>
            <w:pPr>
              <w:spacing w:after="0" w:before="0"/>
            </w:pPr>
            <w:r>
              <w:rPr>
                <w:rFonts w:ascii="Calibri" w:cs="Calibri" w:eastAsia="Calibri" w:hAnsi="Calibri"/>
                <w:color w:val="1A1A1A"/>
                <w:sz w:val="19"/>
                <w:szCs w:val="19"/>
              </w:rPr>
              <w:t xml:space="preserve">Achievement of </w:t>
            </w:r>
            <w:r>
              <w:rPr>
                <w:rFonts w:ascii="Calibri" w:cs="Calibri" w:eastAsia="Calibri" w:hAnsi="Calibri"/>
                <w:b/>
                <w:bCs/>
                <w:color w:val="C8102E"/>
                <w:sz w:val="19"/>
                <w:szCs w:val="19"/>
              </w:rPr>
              <w:t xml:space="preserve">₹1 Crore</w:t>
            </w:r>
            <w:r>
              <w:rPr>
                <w:rFonts w:ascii="Calibri" w:cs="Calibri" w:eastAsia="Calibri" w:hAnsi="Calibri"/>
                <w:color w:val="1A1A1A"/>
                <w:sz w:val="19"/>
                <w:szCs w:val="19"/>
              </w:rPr>
              <w:t xml:space="preserve"> in invoiced and collected revenue across the Services and OEM business lines. Upon hitting this milestone, the fixed-term automatically converts to a </w:t>
            </w:r>
            <w:r>
              <w:rPr>
                <w:rFonts w:ascii="Calibri" w:cs="Calibri" w:eastAsia="Calibri" w:hAnsi="Calibri"/>
                <w:b/>
                <w:bCs/>
                <w:color w:val="1A1A1A"/>
                <w:sz w:val="19"/>
                <w:szCs w:val="19"/>
              </w:rPr>
              <w:t xml:space="preserve">permanent role</w:t>
            </w:r>
            <w:r>
              <w:rPr>
                <w:rFonts w:ascii="Calibri" w:cs="Calibri" w:eastAsia="Calibri" w:hAnsi="Calibri"/>
                <w:color w:val="1A1A1A"/>
                <w:sz w:val="19"/>
                <w:szCs w:val="19"/>
              </w:rPr>
              <w:t xml:space="preserve">.</w:t>
            </w:r>
          </w:p>
        </w:tc>
      </w:tr>
      <w:tr>
        <w:tc>
          <w:tcPr>
            <w:tcW w:type="dxa" w:w="4200"/>
            <w:tcBorders>
              <w:top w:val="single" w:color="C8D6E0" w:sz="1"/>
              <w:left w:val="single" w:color="C8D6E0" w:sz="1"/>
              <w:bottom w:val="single" w:color="C8D6E0" w:sz="1"/>
              <w:right w:val="single" w:color="C8D6E0" w:sz="1"/>
            </w:tcBorders>
            <w:shd w:fill="EBF0F5" w:val="clear"/>
            <w:tcMar>
              <w:top w:type="dxa" w:w="80"/>
              <w:left w:type="dxa" w:w="140"/>
              <w:bottom w:type="dxa" w:w="80"/>
              <w:right w:type="dxa" w:w="140"/>
            </w:tcMar>
          </w:tcPr>
          <w:p>
            <w:pPr>
              <w:spacing w:after="0" w:before="0"/>
            </w:pPr>
            <w:r>
              <w:rPr>
                <w:rFonts w:ascii="Calibri" w:cs="Calibri" w:eastAsia="Calibri" w:hAnsi="Calibri"/>
                <w:b/>
                <w:bCs/>
                <w:color w:val="1A3C5E"/>
                <w:sz w:val="19"/>
                <w:szCs w:val="19"/>
              </w:rPr>
              <w:t xml:space="preserve">Milestone B</w:t>
            </w:r>
          </w:p>
        </w:tc>
        <w:tc>
          <w:tcPr>
            <w:tcW w:type="dxa" w:w="5160"/>
            <w:tcBorders>
              <w:top w:val="single" w:color="C8D6E0" w:sz="1"/>
              <w:left w:val="single" w:color="C8D6E0" w:sz="1"/>
              <w:bottom w:val="single" w:color="C8D6E0" w:sz="1"/>
              <w:right w:val="single" w:color="C8D6E0" w:sz="1"/>
            </w:tcBorders>
            <w:tcMar>
              <w:top w:type="dxa" w:w="80"/>
              <w:left w:type="dxa" w:w="140"/>
              <w:bottom w:type="dxa" w:w="80"/>
              <w:right w:type="dxa" w:w="140"/>
            </w:tcMar>
          </w:tcPr>
          <w:p>
            <w:pPr>
              <w:spacing w:after="0" w:before="0"/>
            </w:pPr>
            <w:r>
              <w:rPr>
                <w:rFonts w:ascii="Calibri" w:cs="Calibri" w:eastAsia="Calibri" w:hAnsi="Calibri"/>
                <w:color w:val="1A1A1A"/>
                <w:sz w:val="19"/>
                <w:szCs w:val="19"/>
              </w:rPr>
              <w:t xml:space="preserve">Completion of </w:t>
            </w:r>
            <w:r>
              <w:rPr>
                <w:rFonts w:ascii="Calibri" w:cs="Calibri" w:eastAsia="Calibri" w:hAnsi="Calibri"/>
                <w:b/>
                <w:bCs/>
                <w:color w:val="C8102E"/>
                <w:sz w:val="19"/>
                <w:szCs w:val="19"/>
              </w:rPr>
              <w:t xml:space="preserve">6 continuous months</w:t>
            </w:r>
            <w:r>
              <w:rPr>
                <w:rFonts w:ascii="Calibri" w:cs="Calibri" w:eastAsia="Calibri" w:hAnsi="Calibri"/>
                <w:color w:val="1A1A1A"/>
                <w:sz w:val="19"/>
                <w:szCs w:val="19"/>
              </w:rPr>
              <w:t xml:space="preserve"> of engagement, if Milestone A has not already been reached. The role converts to permanent at the end of the sixth month.</w:t>
            </w:r>
          </w:p>
        </w:tc>
      </w:tr>
      <w:tr>
        <w:tc>
          <w:tcPr>
            <w:tcW w:type="dxa" w:w="4200"/>
            <w:tcBorders>
              <w:top w:val="single" w:color="C8D6E0" w:sz="1"/>
              <w:left w:val="single" w:color="C8D6E0" w:sz="1"/>
              <w:bottom w:val="single" w:color="C8D6E0" w:sz="1"/>
              <w:right w:val="single" w:color="C8D6E0" w:sz="1"/>
            </w:tcBorders>
            <w:shd w:fill="FFF8E1" w:val="clear"/>
            <w:tcMar>
              <w:top w:type="dxa" w:w="80"/>
              <w:left w:type="dxa" w:w="140"/>
              <w:bottom w:type="dxa" w:w="80"/>
              <w:right w:type="dxa" w:w="140"/>
            </w:tcMar>
          </w:tcPr>
          <w:p>
            <w:pPr>
              <w:spacing w:after="0" w:before="0"/>
            </w:pPr>
            <w:r>
              <w:rPr>
                <w:rFonts w:ascii="Calibri" w:cs="Calibri" w:eastAsia="Calibri" w:hAnsi="Calibri"/>
                <w:b/>
                <w:bCs/>
                <w:color w:val="7B5800"/>
                <w:sz w:val="19"/>
                <w:szCs w:val="19"/>
              </w:rPr>
              <w:t xml:space="preserve">In all cases</w:t>
            </w:r>
          </w:p>
        </w:tc>
        <w:tc>
          <w:tcPr>
            <w:tcW w:type="dxa" w:w="5160"/>
            <w:tcBorders>
              <w:top w:val="single" w:color="C8D6E0" w:sz="1"/>
              <w:left w:val="single" w:color="C8D6E0" w:sz="1"/>
              <w:bottom w:val="single" w:color="C8D6E0" w:sz="1"/>
              <w:right w:val="single" w:color="C8D6E0" w:sz="1"/>
            </w:tcBorders>
            <w:shd w:fill="FFF8E1" w:val="clear"/>
            <w:tcMar>
              <w:top w:type="dxa" w:w="80"/>
              <w:left w:type="dxa" w:w="140"/>
              <w:bottom w:type="dxa" w:w="80"/>
              <w:right w:type="dxa" w:w="140"/>
            </w:tcMar>
          </w:tcPr>
          <w:p>
            <w:pPr>
              <w:spacing w:after="0" w:before="0"/>
            </w:pPr>
            <w:r>
              <w:rPr>
                <w:rFonts w:ascii="Calibri" w:cs="Calibri" w:eastAsia="Calibri" w:hAnsi="Calibri"/>
                <w:color w:val="7B5800"/>
                <w:sz w:val="19"/>
                <w:szCs w:val="19"/>
              </w:rPr>
              <w:t xml:space="preserve">Whichever condition is satisfied first triggers the permanent conversion. All other terms of this letter remain unchanged upon conversion.</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pPr>
              <w:spacing w:after="0" w:before="0"/>
            </w:pPr>
            <w:r>
              <w:rPr>
                <w:rFonts w:ascii="Calibri" w:cs="Calibri" w:eastAsia="Calibri" w:hAnsi="Calibri"/>
                <w:b/>
                <w:bCs/>
                <w:caps/>
                <w:color w:val="FFFFFF"/>
                <w:sz w:val="20"/>
                <w:szCs w:val="20"/>
              </w:rPr>
              <w:t xml:space="preserve">02  —  Compensation</w:t>
            </w:r>
          </w:p>
        </w:tc>
      </w:tr>
    </w:tbl>
    <w:p>
      <w:pPr>
        <w:spacing w:after="80" w:before="120"/>
      </w:pPr>
      <w:r>
        <w:rPr>
          <w:rFonts w:ascii="Calibri" w:cs="Calibri" w:eastAsia="Calibri" w:hAnsi="Calibri"/>
          <w:b/>
          <w:bCs/>
          <w:color w:val="1A3C5E"/>
          <w:sz w:val="20"/>
          <w:szCs w:val="20"/>
        </w:rPr>
        <w:t xml:space="preserve">Fixed Monthly Compensation: </w:t>
      </w:r>
      <w:r>
        <w:rPr>
          <w:rFonts w:ascii="Calibri" w:cs="Calibri" w:eastAsia="Calibri" w:hAnsi="Calibri"/>
          <w:b/>
          <w:bCs/>
          <w:color w:val="C8102E"/>
          <w:sz w:val="22"/>
          <w:szCs w:val="22"/>
        </w:rPr>
        <w:t xml:space="preserve">₹5,00,000</w:t>
      </w:r>
      <w:r>
        <w:rPr>
          <w:rFonts w:ascii="Calibri" w:cs="Calibri" w:eastAsia="Calibri" w:hAnsi="Calibri"/>
          <w:color w:val="1A1A1A"/>
          <w:sz w:val="20"/>
          <w:szCs w:val="20"/>
        </w:rPr>
        <w:t xml:space="preserve"> per month (all-inclusive of TDS obligations on the Company)</w:t>
      </w:r>
    </w:p>
    <w:p>
      <w:pPr>
        <w:spacing w:after="60" w:before="60"/>
      </w:pPr>
      <w:r>
        <w:rPr>
          <w:rFonts w:ascii="Calibri" w:cs="Calibri" w:eastAsia="Calibri" w:hAnsi="Calibri"/>
          <w:color w:val="1A1A1A"/>
          <w:sz w:val="20"/>
          <w:szCs w:val="20"/>
        </w:rPr>
        <w:t xml:space="preserve">Annual fixed compensation: ₹60,00,000 (Sixty Lakhs Rupees) per annum.</w:t>
      </w:r>
    </w:p>
    <w:p>
      <w:pPr>
        <w:spacing w:after="60" w:before="120"/>
      </w:pPr>
      <w:r>
        <w:rPr>
          <w:rFonts w:ascii="Calibri" w:cs="Calibri" w:eastAsia="Calibri" w:hAnsi="Calibri"/>
          <w:b/>
          <w:bCs/>
          <w:color w:val="1A3C5E"/>
          <w:sz w:val="20"/>
          <w:szCs w:val="20"/>
        </w:rPr>
        <w:t xml:space="preserve">Performance Incentive — Commission: </w:t>
      </w:r>
      <w:r>
        <w:rPr>
          <w:rFonts w:ascii="Calibri" w:cs="Calibri" w:eastAsia="Calibri" w:hAnsi="Calibri"/>
          <w:b/>
          <w:bCs/>
          <w:color w:val="C8102E"/>
          <w:sz w:val="20"/>
          <w:szCs w:val="20"/>
        </w:rPr>
        <w:t xml:space="preserve">10% of gross revenue</w:t>
      </w:r>
      <w:r>
        <w:rPr>
          <w:rFonts w:ascii="Calibri" w:cs="Calibri" w:eastAsia="Calibri" w:hAnsi="Calibri"/>
          <w:color w:val="1A1A1A"/>
          <w:sz w:val="20"/>
          <w:szCs w:val="20"/>
        </w:rPr>
        <w:t xml:space="preserve"> on all closed, invoiced, and collected deals across the </w:t>
      </w:r>
      <w:r>
        <w:rPr>
          <w:rFonts w:ascii="Calibri" w:cs="Calibri" w:eastAsia="Calibri" w:hAnsi="Calibri"/>
          <w:b/>
          <w:bCs/>
          <w:color w:val="1A1A1A"/>
          <w:sz w:val="20"/>
          <w:szCs w:val="20"/>
        </w:rPr>
        <w:t xml:space="preserve">Services</w:t>
      </w:r>
      <w:r>
        <w:rPr>
          <w:rFonts w:ascii="Calibri" w:cs="Calibri" w:eastAsia="Calibri" w:hAnsi="Calibri"/>
          <w:color w:val="1A1A1A"/>
          <w:sz w:val="20"/>
          <w:szCs w:val="20"/>
        </w:rPr>
        <w:t xml:space="preserve"> and </w:t>
      </w:r>
      <w:r>
        <w:rPr>
          <w:rFonts w:ascii="Calibri" w:cs="Calibri" w:eastAsia="Calibri" w:hAnsi="Calibri"/>
          <w:b/>
          <w:bCs/>
          <w:color w:val="1A1A1A"/>
          <w:sz w:val="20"/>
          <w:szCs w:val="20"/>
        </w:rPr>
        <w:t xml:space="preserve">OEM</w:t>
      </w:r>
      <w:r>
        <w:rPr>
          <w:rFonts w:ascii="Calibri" w:cs="Calibri" w:eastAsia="Calibri" w:hAnsi="Calibri"/>
          <w:color w:val="1A1A1A"/>
          <w:sz w:val="20"/>
          <w:szCs w:val="20"/>
        </w:rPr>
        <w:t xml:space="preserve"> business lines.</w:t>
      </w:r>
    </w:p>
    <w:p>
      <w:pPr>
        <w:pStyle w:val="ListParagraph"/>
        <w:numPr>
          <w:ilvl w:val="0"/>
          <w:numId w:val="2"/>
        </w:numPr>
        <w:spacing w:after="40" w:before="40"/>
      </w:pPr>
      <w:r>
        <w:rPr>
          <w:rFonts w:ascii="Calibri" w:cs="Calibri" w:eastAsia="Calibri" w:hAnsi="Calibri"/>
          <w:color w:val="1A1A1A"/>
          <w:sz w:val="20"/>
          <w:szCs w:val="20"/>
        </w:rPr>
        <w:t xml:space="preserve">Commission is calculated on gross revenue, net of direct third-party pass-throughs agreed in writing.</w:t>
      </w:r>
    </w:p>
    <w:p>
      <w:pPr>
        <w:pStyle w:val="ListParagraph"/>
        <w:numPr>
          <w:ilvl w:val="0"/>
          <w:numId w:val="2"/>
        </w:numPr>
        <w:spacing w:after="40" w:before="40"/>
      </w:pPr>
      <w:r>
        <w:rPr>
          <w:rFonts w:ascii="Calibri" w:cs="Calibri" w:eastAsia="Calibri" w:hAnsi="Calibri"/>
          <w:color w:val="1A1A1A"/>
          <w:sz w:val="20"/>
          <w:szCs w:val="20"/>
        </w:rPr>
        <w:t xml:space="preserve">Payment is triggered upon receipt of customer funds, within 30 days of collection.</w:t>
      </w:r>
    </w:p>
    <w:p>
      <w:pPr>
        <w:pStyle w:val="ListParagraph"/>
        <w:numPr>
          <w:ilvl w:val="0"/>
          <w:numId w:val="2"/>
        </w:numPr>
        <w:spacing w:after="40" w:before="40"/>
      </w:pPr>
      <w:r>
        <w:rPr>
          <w:rFonts w:ascii="Calibri" w:cs="Calibri" w:eastAsia="Calibri" w:hAnsi="Calibri"/>
          <w:color w:val="1A1A1A"/>
          <w:sz w:val="20"/>
          <w:szCs w:val="20"/>
        </w:rPr>
        <w:t xml:space="preserve">The Resell business line is excluded, as mutually agreed.</w:t>
      </w:r>
    </w:p>
    <w:p>
      <w:pPr>
        <w:spacing w:after="60" w:before="60"/>
      </w:pPr>
      <w:r>
        <w:rPr>
          <w:rFonts w:ascii="Calibri" w:cs="Calibri" w:eastAsia="Calibri" w:hAnsi="Calibri"/>
          <w:color w:val="1A1A1A"/>
          <w:sz w:val="20"/>
          <w:szCs w:val="20"/>
        </w:rPr>
        <w:t xml:space="preserve">This incentive structure is designed to bridge to your prior compensation level and aligns both parties towards revenue growth.</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pPr>
              <w:spacing w:after="0" w:before="0"/>
            </w:pPr>
            <w:r>
              <w:rPr>
                <w:rFonts w:ascii="Calibri" w:cs="Calibri" w:eastAsia="Calibri" w:hAnsi="Calibri"/>
                <w:b/>
                <w:bCs/>
                <w:caps/>
                <w:color w:val="FFFFFF"/>
                <w:sz w:val="20"/>
                <w:szCs w:val="20"/>
              </w:rPr>
              <w:t xml:space="preserve">03  —  Travel &amp; Expenses</w:t>
            </w:r>
          </w:p>
        </w:tc>
      </w:tr>
    </w:tbl>
    <w:p>
      <w:pPr>
        <w:spacing w:after="60" w:before="120"/>
      </w:pPr>
      <w:r>
        <w:rPr>
          <w:rFonts w:ascii="Calibri" w:cs="Calibri" w:eastAsia="Calibri" w:hAnsi="Calibri"/>
          <w:b/>
          <w:bCs/>
          <w:color w:val="1A1A1A"/>
          <w:sz w:val="20"/>
          <w:szCs w:val="20"/>
        </w:rPr>
        <w:t xml:space="preserve">Routine Travel (Bangalore – Hyderabad):</w:t>
      </w:r>
      <w:r>
        <w:rPr>
          <w:rFonts w:ascii="Calibri" w:cs="Calibri" w:eastAsia="Calibri" w:hAnsi="Calibri"/>
          <w:color w:val="1A1A1A"/>
          <w:sz w:val="20"/>
          <w:szCs w:val="20"/>
        </w:rPr>
        <w:t xml:space="preserve">  Costs for routine Bangalore–Hyderabad travel and stay (up to two weeks per calendar month in Hyderabad) will be borne personally by you, as reflected in the fixed compensation.</w:t>
      </w:r>
    </w:p>
    <w:p>
      <w:pPr>
        <w:spacing w:after="60" w:before="100"/>
      </w:pPr>
      <w:r>
        <w:rPr>
          <w:rFonts w:ascii="Calibri" w:cs="Calibri" w:eastAsia="Calibri" w:hAnsi="Calibri"/>
          <w:b/>
          <w:bCs/>
          <w:color w:val="1A1A1A"/>
          <w:sz w:val="20"/>
          <w:szCs w:val="20"/>
        </w:rPr>
        <w:t xml:space="preserve">Official Travel (outside Bangalore and Hyderabad):</w:t>
      </w:r>
      <w:r>
        <w:rPr>
          <w:rFonts w:ascii="Calibri" w:cs="Calibri" w:eastAsia="Calibri" w:hAnsi="Calibri"/>
          <w:color w:val="1A1A1A"/>
          <w:sz w:val="20"/>
          <w:szCs w:val="20"/>
        </w:rPr>
        <w:t xml:space="preserve">  The Company will cover:</w:t>
      </w:r>
    </w:p>
    <w:p>
      <w:pPr>
        <w:pStyle w:val="ListParagraph"/>
        <w:numPr>
          <w:ilvl w:val="0"/>
          <w:numId w:val="2"/>
        </w:numPr>
        <w:spacing w:after="40" w:before="40"/>
      </w:pPr>
      <w:r>
        <w:rPr>
          <w:rFonts w:ascii="Calibri" w:cs="Calibri" w:eastAsia="Calibri" w:hAnsi="Calibri"/>
          <w:color w:val="1A1A1A"/>
          <w:sz w:val="20"/>
          <w:szCs w:val="20"/>
        </w:rPr>
        <w:t xml:space="preserve">Round-trip economy airfare</w:t>
      </w:r>
    </w:p>
    <w:p>
      <w:pPr>
        <w:pStyle w:val="ListParagraph"/>
        <w:numPr>
          <w:ilvl w:val="0"/>
          <w:numId w:val="2"/>
        </w:numPr>
        <w:spacing w:after="40" w:before="40"/>
      </w:pPr>
      <w:r>
        <w:rPr>
          <w:rFonts w:ascii="Calibri" w:cs="Calibri" w:eastAsia="Calibri" w:hAnsi="Calibri"/>
          <w:color w:val="1A1A1A"/>
          <w:sz w:val="20"/>
          <w:szCs w:val="20"/>
        </w:rPr>
        <w:t xml:space="preserve">Business-appropriate hotel accommodation</w:t>
      </w:r>
    </w:p>
    <w:p>
      <w:pPr>
        <w:pStyle w:val="ListParagraph"/>
        <w:numPr>
          <w:ilvl w:val="0"/>
          <w:numId w:val="2"/>
        </w:numPr>
        <w:spacing w:after="40" w:before="40"/>
      </w:pPr>
      <w:r>
        <w:rPr>
          <w:rFonts w:ascii="Calibri" w:cs="Calibri" w:eastAsia="Calibri" w:hAnsi="Calibri"/>
          <w:color w:val="1A1A1A"/>
          <w:sz w:val="20"/>
          <w:szCs w:val="20"/>
        </w:rPr>
        <w:t xml:space="preserve">Local conveyance for official engagements</w:t>
      </w:r>
    </w:p>
    <w:p>
      <w:pPr>
        <w:spacing w:after="60" w:before="100"/>
      </w:pPr>
      <w:r>
        <w:rPr>
          <w:rFonts w:ascii="Calibri" w:cs="Calibri" w:eastAsia="Calibri" w:hAnsi="Calibri"/>
          <w:b/>
          <w:bCs/>
          <w:color w:val="1A1A1A"/>
          <w:sz w:val="20"/>
          <w:szCs w:val="20"/>
        </w:rPr>
        <w:t xml:space="preserve">Local Conveyance within Bangalore and Hyderabad:</w:t>
      </w:r>
      <w:r>
        <w:rPr>
          <w:rFonts w:ascii="Calibri" w:cs="Calibri" w:eastAsia="Calibri" w:hAnsi="Calibri"/>
          <w:color w:val="1A1A1A"/>
          <w:sz w:val="20"/>
          <w:szCs w:val="20"/>
        </w:rPr>
        <w:t xml:space="preserve">  Reimbursed against actuals for official customer or partner meetings, upon submission of receipts.</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pPr>
              <w:spacing w:after="0" w:before="0"/>
            </w:pPr>
            <w:r>
              <w:rPr>
                <w:rFonts w:ascii="Calibri" w:cs="Calibri" w:eastAsia="Calibri" w:hAnsi="Calibri"/>
                <w:b/>
                <w:bCs/>
                <w:caps/>
                <w:color w:val="FFFFFF"/>
                <w:sz w:val="20"/>
                <w:szCs w:val="20"/>
              </w:rPr>
              <w:t xml:space="preserve">04  —  Work Location</w:t>
            </w:r>
          </w:p>
        </w:tc>
      </w:tr>
    </w:tbl>
    <w:p>
      <w:pPr>
        <w:spacing w:after="60" w:before="60"/>
      </w:pPr>
      <w:r>
        <w:rPr>
          <w:rFonts w:ascii="Calibri" w:cs="Calibri" w:eastAsia="Calibri" w:hAnsi="Calibri"/>
          <w:color w:val="1A1A1A"/>
          <w:sz w:val="20"/>
          <w:szCs w:val="20"/>
        </w:rPr>
        <w:t xml:space="preserve">Your primary work locations will be Bangalore (home base) and Hyderabad, with up to two continuous weeks per calendar month in Hyderabad. Any variation from this arrangement may be agreed upon mutually based on business requirements.</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pPr>
              <w:spacing w:after="0" w:before="0"/>
            </w:pPr>
            <w:r>
              <w:rPr>
                <w:rFonts w:ascii="Calibri" w:cs="Calibri" w:eastAsia="Calibri" w:hAnsi="Calibri"/>
                <w:b/>
                <w:bCs/>
                <w:caps/>
                <w:color w:val="FFFFFF"/>
                <w:sz w:val="20"/>
                <w:szCs w:val="20"/>
              </w:rPr>
              <w:t xml:space="preserve">05  —  Notice Period</w:t>
            </w:r>
          </w:p>
        </w:tc>
      </w:tr>
    </w:tbl>
    <w:p>
      <w:pPr>
        <w:spacing w:after="60" w:before="60"/>
      </w:pPr>
      <w:r>
        <w:rPr>
          <w:rFonts w:ascii="Calibri" w:cs="Calibri" w:eastAsia="Calibri" w:hAnsi="Calibri"/>
          <w:color w:val="1A1A1A"/>
          <w:sz w:val="20"/>
          <w:szCs w:val="20"/>
        </w:rPr>
        <w:t xml:space="preserve">Either party may terminate this engagement by providing 30 (thirty) days’ written notice. This notice period applies during both the fixed-term phase and the permanent phase. During the fixed-term phase, either party may also exit by mutual written agreement at any time.</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pPr>
              <w:spacing w:after="0" w:before="0"/>
            </w:pPr>
            <w:r>
              <w:rPr>
                <w:rFonts w:ascii="Calibri" w:cs="Calibri" w:eastAsia="Calibri" w:hAnsi="Calibri"/>
                <w:b/>
                <w:bCs/>
                <w:caps/>
                <w:color w:val="FFFFFF"/>
                <w:sz w:val="20"/>
                <w:szCs w:val="20"/>
              </w:rPr>
              <w:t xml:space="preserve">06  —  Services Business — Future Success Arrangement</w:t>
            </w:r>
          </w:p>
        </w:tc>
      </w:tr>
    </w:tbl>
    <w:p>
      <w:pPr>
        <w:spacing w:after="60" w:before="60"/>
      </w:pPr>
      <w:r>
        <w:rPr>
          <w:rFonts w:ascii="Calibri" w:cs="Calibri" w:eastAsia="Calibri" w:hAnsi="Calibri"/>
          <w:color w:val="1A1A1A"/>
          <w:sz w:val="20"/>
          <w:szCs w:val="20"/>
        </w:rPr>
        <w:t xml:space="preserve">Given the strategic focus on growing and positioning the Services business for a potential transaction within an 18–24 month horizon, both parties acknowledge the intent to have a separate, dedicated conversation — at the appropriate time — regarding a success-linked arrangement tied to that outcome.</w:t>
      </w:r>
    </w:p>
    <w:p>
      <w:pPr>
        <w:spacing w:after="60" w:before="60"/>
      </w:pPr>
      <w:r>
        <w:rPr>
          <w:rFonts w:ascii="Calibri" w:cs="Calibri" w:eastAsia="Calibri" w:hAnsi="Calibri"/>
          <w:color w:val="1A1A1A"/>
          <w:sz w:val="20"/>
          <w:szCs w:val="20"/>
        </w:rPr>
        <w:t xml:space="preserve">This clause does not constitute a binding commitment. It is recorded here to align intent and to ensure that a meaningful conversation takes place when the business conditions are right.</w:t>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160"/>
              <w:bottom w:type="dxa" w:w="100"/>
              <w:right w:type="dxa" w:w="160"/>
            </w:tcMar>
          </w:tcPr>
          <w:p>
            <w:pPr>
              <w:spacing w:after="0" w:before="0"/>
            </w:pPr>
            <w:r>
              <w:rPr>
                <w:rFonts w:ascii="Calibri" w:cs="Calibri" w:eastAsia="Calibri" w:hAnsi="Calibri"/>
                <w:b/>
                <w:bCs/>
                <w:caps/>
                <w:color w:val="FFFFFF"/>
                <w:sz w:val="20"/>
                <w:szCs w:val="20"/>
              </w:rPr>
              <w:t xml:space="preserve">07  —  General Conditions</w:t>
            </w:r>
          </w:p>
        </w:tc>
      </w:tr>
    </w:tbl>
    <w:p>
      <w:pPr>
        <w:pStyle w:val="ListParagraph"/>
        <w:numPr>
          <w:ilvl w:val="0"/>
          <w:numId w:val="2"/>
        </w:numPr>
        <w:spacing w:after="40" w:before="40"/>
      </w:pPr>
      <w:r>
        <w:rPr>
          <w:rFonts w:ascii="Calibri" w:cs="Calibri" w:eastAsia="Calibri" w:hAnsi="Calibri"/>
          <w:color w:val="1A1A1A"/>
          <w:sz w:val="20"/>
          <w:szCs w:val="20"/>
        </w:rPr>
        <w:t xml:space="preserve">This offer is subject to satisfactory completion of reference and background checks.</w:t>
      </w:r>
    </w:p>
    <w:p>
      <w:pPr>
        <w:pStyle w:val="ListParagraph"/>
        <w:numPr>
          <w:ilvl w:val="0"/>
          <w:numId w:val="2"/>
        </w:numPr>
        <w:spacing w:after="40" w:before="40"/>
      </w:pPr>
      <w:r>
        <w:rPr>
          <w:rFonts w:ascii="Calibri" w:cs="Calibri" w:eastAsia="Calibri" w:hAnsi="Calibri"/>
          <w:color w:val="1A1A1A"/>
          <w:sz w:val="20"/>
          <w:szCs w:val="20"/>
        </w:rPr>
        <w:t xml:space="preserve">You will be required to execute a formal Employment Agreement upon or before commencement, incorporating these terms together with standard confidentiality and IP assignment provisions.</w:t>
      </w:r>
    </w:p>
    <w:p>
      <w:pPr>
        <w:pStyle w:val="ListParagraph"/>
        <w:numPr>
          <w:ilvl w:val="0"/>
          <w:numId w:val="2"/>
        </w:numPr>
        <w:spacing w:after="40" w:before="40"/>
      </w:pPr>
      <w:r>
        <w:rPr>
          <w:rFonts w:ascii="Calibri" w:cs="Calibri" w:eastAsia="Calibri" w:hAnsi="Calibri"/>
          <w:color w:val="1A1A1A"/>
          <w:sz w:val="20"/>
          <w:szCs w:val="20"/>
        </w:rPr>
        <w:t xml:space="preserve">This letter supersedes all prior verbal or written discussions regarding the terms of your engagement.</w:t>
      </w:r>
    </w:p>
    <w:p>
      <w:pPr>
        <w:pStyle w:val="ListParagraph"/>
        <w:numPr>
          <w:ilvl w:val="0"/>
          <w:numId w:val="2"/>
        </w:numPr>
        <w:spacing w:after="40" w:before="40"/>
      </w:pPr>
      <w:r>
        <w:rPr>
          <w:rFonts w:ascii="Calibri" w:cs="Calibri" w:eastAsia="Calibri" w:hAnsi="Calibri"/>
          <w:color w:val="1A1A1A"/>
          <w:sz w:val="20"/>
          <w:szCs w:val="20"/>
        </w:rPr>
        <w:t xml:space="preserve">The terms herein are confidential and must not be disclosed to any third party without prior written consent from the Company.</w:t>
      </w:r>
    </w:p>
    <w:p>
      <w:pPr>
        <w:spacing w:after="80" w:before="240"/>
      </w:pPr>
      <w:r>
        <w:rPr>
          <w:rFonts w:ascii="Calibri" w:cs="Calibri" w:eastAsia="Calibri" w:hAnsi="Calibri"/>
          <w:color w:val="1A1A1A"/>
          <w:sz w:val="20"/>
          <w:szCs w:val="20"/>
        </w:rPr>
        <w:t xml:space="preserve">We look forward to welcoming you to RCV Innovations and to building something meaningful together. Please sign and return one copy of this letter by </w:t>
      </w:r>
      <w:r>
        <w:rPr>
          <w:rFonts w:ascii="Calibri" w:cs="Calibri" w:eastAsia="Calibri" w:hAnsi="Calibri"/>
          <w:b/>
          <w:bCs/>
          <w:color w:val="1A1A1A"/>
          <w:sz w:val="20"/>
          <w:szCs w:val="20"/>
        </w:rPr>
        <w:t xml:space="preserve">5 April 2026</w:t>
      </w:r>
      <w:r>
        <w:rPr>
          <w:rFonts w:ascii="Calibri" w:cs="Calibri" w:eastAsia="Calibri" w:hAnsi="Calibri"/>
          <w:color w:val="1A1A1A"/>
          <w:sz w:val="20"/>
          <w:szCs w:val="20"/>
        </w:rPr>
        <w:t xml:space="preserve"> to confirm your acceptance.</w:t>
      </w:r>
    </w:p>
    <w:p>
      <w:pPr>
        <w:spacing w:after="60" w:before="60"/>
      </w:pPr>
      <w:r>
        <w:rPr>
          <w:rFonts w:ascii="Calibri" w:cs="Calibri" w:eastAsia="Calibri" w:hAnsi="Calibri"/>
          <w:color w:val="1A1A1A"/>
          <w:sz w:val="20"/>
          <w:szCs w:val="20"/>
        </w:rPr>
        <w:t xml:space="preserve">Should you have any questions, please do not hesitate to reach out.</w:t>
      </w:r>
    </w:p>
    <w:p>
      <w:pPr>
        <w:spacing w:after="160" w:before="60"/>
      </w:pPr>
      <w:r>
        <w:rPr>
          <w:rFonts w:ascii="Calibri" w:cs="Calibri" w:eastAsia="Calibri" w:hAnsi="Calibri"/>
          <w:i/>
          <w:iCs/>
          <w:color w:val="1A1A1A"/>
          <w:sz w:val="20"/>
          <w:szCs w:val="20"/>
        </w:rPr>
        <w:t xml:space="preserve">Warm regards,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80"/>
              <w:right w:type="dxa" w:w="0"/>
            </w:tcMar>
          </w:tcPr>
          <w:p>
            <w:pPr>
              <w:pBdr>
                <w:top w:val="single" w:color="888888" w:sz="4" w:space="2"/>
              </w:pBdr>
              <w:spacing w:after="0" w:before="480"/>
            </w:pPr>
            <w:r>
              <w:rPr>
                <w:rFonts w:ascii="Calibri" w:cs="Calibri" w:eastAsia="Calibri" w:hAnsi="Calibri"/>
                <w:b/>
                <w:bCs/>
                <w:color w:val="4A6278"/>
                <w:sz w:val="18"/>
                <w:szCs w:val="18"/>
              </w:rPr>
              <w:t xml:space="preserve">For RCV Innovations Private Limited</w:t>
            </w:r>
          </w:p>
          <w:p>
            <w:pPr>
              <w:spacing w:after="0" w:before="40"/>
            </w:pPr>
            <w:r>
              <w:rPr>
                <w:rFonts w:ascii="Calibri" w:cs="Calibri" w:eastAsia="Calibri" w:hAnsi="Calibri"/>
                <w:color w:val="1A1A1A"/>
                <w:sz w:val="20"/>
                <w:szCs w:val="20"/>
              </w:rPr>
              <w:t xml:space="preserve">Authorised Signatory</w:t>
            </w:r>
          </w:p>
        </w:tc>
        <w:tc>
          <w:tcPr>
            <w:tcW w:type="dxa" w:w="4680"/>
            <w:tcBorders>
              <w:top w:val="none" w:color="FFFFFF" w:sz="0"/>
              <w:left w:val="none" w:color="FFFFFF" w:sz="0"/>
              <w:bottom w:val="none" w:color="FFFFFF" w:sz="0"/>
              <w:right w:val="none" w:color="FFFFFF" w:sz="0"/>
            </w:tcBorders>
            <w:tcMar>
              <w:top w:type="dxa" w:w="0"/>
              <w:left w:type="dxa" w:w="0"/>
              <w:bottom w:type="dxa" w:w="80"/>
              <w:right w:type="dxa" w:w="0"/>
            </w:tcMar>
          </w:tcPr>
          <w:p>
            <w:pPr>
              <w:pBdr>
                <w:top w:val="single" w:color="888888" w:sz="4" w:space="2"/>
              </w:pBdr>
              <w:spacing w:after="0" w:before="480"/>
            </w:pPr>
            <w:r>
              <w:rPr>
                <w:rFonts w:ascii="Calibri" w:cs="Calibri" w:eastAsia="Calibri" w:hAnsi="Calibri"/>
                <w:b/>
                <w:bCs/>
                <w:color w:val="4A6278"/>
                <w:sz w:val="18"/>
                <w:szCs w:val="18"/>
              </w:rPr>
              <w:t xml:space="preserve">Accepted by</w:t>
            </w:r>
          </w:p>
          <w:p>
            <w:pPr>
              <w:spacing w:after="0" w:before="40"/>
            </w:pPr>
            <w:r>
              <w:rPr>
                <w:rFonts w:ascii="Calibri" w:cs="Calibri" w:eastAsia="Calibri" w:hAnsi="Calibri"/>
                <w:color w:val="1A1A1A"/>
                <w:sz w:val="20"/>
                <w:szCs w:val="20"/>
              </w:rPr>
              <w:t xml:space="preserve">Koushik Chatterjee</w:t>
            </w:r>
          </w:p>
        </w:tc>
      </w:tr>
    </w:tbl>
    <w:p>
      <w:pPr>
        <w:spacing w:after="0" w:before="180"/>
      </w:pPr>
    </w:p>
    <w:p>
      <w:pPr>
        <w:pBdr>
          <w:bottom w:val="single" w:color="C8D6E0" w:sz="4" w:space="1"/>
        </w:pBdr>
        <w:spacing w:after="0" w:before="0"/>
      </w:pPr>
    </w:p>
    <w:p>
      <w:pPr>
        <w:spacing w:after="0" w:before="80"/>
        <w:jc w:val="center"/>
      </w:pPr>
      <w:r>
        <w:rPr>
          <w:rFonts w:ascii="Calibri" w:cs="Calibri" w:eastAsia="Calibri" w:hAnsi="Calibri"/>
          <w:i/>
          <w:iCs/>
          <w:color w:val="4A6278"/>
          <w:sz w:val="17"/>
          <w:szCs w:val="17"/>
        </w:rPr>
        <w:t xml:space="preserve">RCV Innovations Private Limited  |  Bengaluru, Karnataka  |  India</w:t>
      </w:r>
    </w:p>
    <w:sectPr>
      <w:headerReference w:type="default" r:id="rId7"/>
      <w:footerReference w:type="default" r:id="rId8"/>
      <w:pgSz w:w="12240" w:h="15840" w:orient="portrait"/>
      <w:pgMar w:top="9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8D6E0" w:sz="4" w:space="1"/>
      </w:pBdr>
      <w:spacing w:after="0" w:before="0"/>
    </w:pPr>
  </w:p>
  <w:p>
    <w:pPr>
      <w:tabs>
        <w:tab w:val="right" w:pos="9026"/>
      </w:tabs>
      <w:spacing w:after="0" w:before="80"/>
    </w:pPr>
    <w:r>
      <w:rPr>
        <w:rFonts w:ascii="Calibri" w:cs="Calibri" w:eastAsia="Calibri" w:hAnsi="Calibri"/>
        <w:color w:val="4A6278"/>
        <w:sz w:val="16"/>
        <w:szCs w:val="16"/>
      </w:rPr>
      <w:t xml:space="preserve">RCV Innovations Private Limited  |  Bengaluru, Karnataka</w:t>
    </w:r>
    <w:r>
      <w:rPr>
        <w:rFonts w:ascii="Calibri" w:cs="Calibri" w:eastAsia="Calibri" w:hAnsi="Calibri"/>
        <w:color w:val="4A6278"/>
        <w:sz w:val="16"/>
        <w:szCs w:val="16"/>
      </w:rPr>
      <w:t xml:space="preserve">	Page </w:t>
    </w:r>
    <w:r>
      <w:rPr>
        <w:rFonts w:ascii="Calibri" w:cs="Calibri" w:eastAsia="Calibri" w:hAnsi="Calibri"/>
        <w:color w:val="4A62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Calibri" w:cs="Calibri" w:eastAsia="Calibri" w:hAnsi="Calibri"/>
        <w:b/>
        <w:bCs/>
        <w:color w:val="1A3C5E"/>
        <w:sz w:val="22"/>
        <w:szCs w:val="22"/>
      </w:rPr>
      <w:t xml:space="preserve">RCV Innovations Private Limited</w:t>
    </w:r>
    <w:r>
      <w:rPr>
        <w:rFonts w:ascii="Calibri" w:cs="Calibri" w:eastAsia="Calibri" w:hAnsi="Calibri"/>
        <w:sz w:val="18"/>
        <w:szCs w:val="18"/>
      </w:rPr>
      <w:t xml:space="preserve">	</w:t>
    </w:r>
    <w:r>
      <w:rPr>
        <w:rFonts w:ascii="Calibri" w:cs="Calibri" w:eastAsia="Calibri" w:hAnsi="Calibri"/>
        <w:b/>
        <w:bCs/>
        <w:caps/>
        <w:color w:val="C8102E"/>
        <w:sz w:val="16"/>
        <w:szCs w:val="16"/>
      </w:rPr>
      <w:t xml:space="preserve">CONFIDENTIAL</w:t>
    </w:r>
  </w:p>
  <w:p>
    <w:pPr>
      <w:pBdr>
        <w:bottom w:val="single" w:color="C8102E" w:sz="8"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2026-03-20T14:03:11.616Z</dcterms:created>
  <dcterms:modified xsi:type="dcterms:W3CDTF">2026-03-20T14:03:11.617Z</dcterms:modified>
</cp:coreProperties>
</file>

<file path=docProps/custom.xml><?xml version="1.0" encoding="utf-8"?>
<Properties xmlns="http://schemas.openxmlformats.org/officeDocument/2006/custom-properties" xmlns:vt="http://schemas.openxmlformats.org/officeDocument/2006/docPropsVTypes"/>
</file>