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center"/>
      </w:pPr>
      <w:r>
        <w:t>PayPulse — AI Prompt Catalogue</w:t>
      </w:r>
    </w:p>
    <w:p>
      <w:pPr>
        <w:jc w:val="center"/>
      </w:pPr>
      <w:r>
        <w:rPr>
          <w:color w:val="666666"/>
          <w:sz w:val="28"/>
        </w:rPr>
        <w:t>All LLM and AI prompts used throughout the project</w:t>
      </w:r>
    </w:p>
    <w:p>
      <w:pPr>
        <w:jc w:val="center"/>
      </w:pPr>
      <w:r>
        <w:rPr>
          <w:color w:val="999999"/>
          <w:sz w:val="22"/>
        </w:rPr>
        <w:t>Hackathon Finale Submission  •  Generated 01 May 2026</w:t>
      </w:r>
    </w:p>
    <w:p>
      <w:r>
        <w:br w:type="page"/>
      </w:r>
    </w:p>
    <w:p>
      <w:pPr>
        <w:pStyle w:val="Heading1"/>
      </w:pPr>
      <w:r>
        <w:t>Table of Contents</w:t>
      </w:r>
    </w:p>
    <w:p>
      <w:pPr>
        <w:pStyle w:val="ListNumber"/>
      </w:pPr>
      <w:r>
        <w:t>1. Overview</w:t>
      </w:r>
    </w:p>
    <w:p>
      <w:pPr>
        <w:pStyle w:val="ListNumber"/>
      </w:pPr>
      <w:r>
        <w:t>2. LLM Integration Architecture</w:t>
      </w:r>
    </w:p>
    <w:p>
      <w:pPr>
        <w:pStyle w:val="ListNumber"/>
      </w:pPr>
      <w:r>
        <w:t>3. Prompt 1 — SME Behavioural Insights (System Prompt)</w:t>
      </w:r>
    </w:p>
    <w:p>
      <w:pPr>
        <w:pStyle w:val="ListNumber"/>
      </w:pPr>
      <w:r>
        <w:t>4. Prompt 2 — Bank RM Action Recommendations (System Prompt)</w:t>
      </w:r>
    </w:p>
    <w:p>
      <w:pPr>
        <w:pStyle w:val="ListNumber"/>
      </w:pPr>
      <w:r>
        <w:t>5. Prompt 3 — Dynamic User Prompt (Data Prompt)</w:t>
      </w:r>
    </w:p>
    <w:p>
      <w:pPr>
        <w:pStyle w:val="ListNumber"/>
      </w:pPr>
      <w:r>
        <w:t>6. API Configuration &amp; Parameters</w:t>
      </w:r>
    </w:p>
    <w:p>
      <w:pPr>
        <w:pStyle w:val="ListNumber"/>
      </w:pPr>
      <w:r>
        <w:t>7. Heuristic Fallback Logic</w:t>
      </w:r>
    </w:p>
    <w:p>
      <w:pPr>
        <w:pStyle w:val="ListNumber"/>
      </w:pPr>
      <w:r>
        <w:t>8. Prompt Design Principles</w:t>
      </w:r>
    </w:p>
    <w:p>
      <w:r>
        <w:br w:type="page"/>
      </w:r>
    </w:p>
    <w:p>
      <w:pPr>
        <w:pStyle w:val="Heading1"/>
      </w:pPr>
      <w:r>
        <w:t>1. Overview</w:t>
      </w:r>
    </w:p>
    <w:p>
      <w:r>
        <w:t>PayPulse uses Groq's free-tier LLM API (Llama 3.3 70B Versatile) to generate real-time behavioural insights for SME payment patterns. The system serves two distinct audiences — SME business owners and NatWest Relationship Managers — each receiving tailored, role-appropriate guidance from the same underlying data.</w:t>
      </w:r>
    </w:p>
    <w:p>
      <w:r>
        <w:t>All prompts are defined in src/api/insights.py and are called via the /api/insights/{sme_id} endpoint. The system includes a complete heuristic fallback that activates when the Groq API is unreachable, ensuring the application never fails silently.</w:t>
      </w:r>
    </w:p>
    <w:p>
      <w:pPr>
        <w:pStyle w:val="Heading1"/>
      </w:pPr>
      <w:r>
        <w:t>2. LLM Integration Architecture</w:t>
      </w:r>
    </w:p>
    <w:p>
      <w:pPr>
        <w:pStyle w:val="Heading2"/>
      </w:pPr>
      <w:r>
        <w:t>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Value</w:t>
            </w:r>
          </w:p>
        </w:tc>
      </w:tr>
      <w:tr>
        <w:tc>
          <w:tcPr>
            <w:tcW w:type="dxa" w:w="4320"/>
          </w:tcPr>
          <w:p>
            <w:r>
              <w:t>LLM Provider</w:t>
            </w:r>
          </w:p>
        </w:tc>
        <w:tc>
          <w:tcPr>
            <w:tcW w:type="dxa" w:w="4320"/>
          </w:tcPr>
          <w:p>
            <w:r>
              <w:t>Groq (free tier)</w:t>
            </w:r>
          </w:p>
        </w:tc>
      </w:tr>
      <w:tr>
        <w:tc>
          <w:tcPr>
            <w:tcW w:type="dxa" w:w="4320"/>
          </w:tcPr>
          <w:p>
            <w:r>
              <w:t>Model</w:t>
            </w:r>
          </w:p>
        </w:tc>
        <w:tc>
          <w:tcPr>
            <w:tcW w:type="dxa" w:w="4320"/>
          </w:tcPr>
          <w:p>
            <w:r>
              <w:t>llama-3.3-70b-versatile</w:t>
            </w:r>
          </w:p>
        </w:tc>
      </w:tr>
      <w:tr>
        <w:tc>
          <w:tcPr>
            <w:tcW w:type="dxa" w:w="4320"/>
          </w:tcPr>
          <w:p>
            <w:r>
              <w:t>API Endpoint</w:t>
            </w:r>
          </w:p>
        </w:tc>
        <w:tc>
          <w:tcPr>
            <w:tcW w:type="dxa" w:w="4320"/>
          </w:tcPr>
          <w:p>
            <w:r>
              <w:t>https://api.groq.com/openai/v1/chat/completions</w:t>
            </w:r>
          </w:p>
        </w:tc>
      </w:tr>
      <w:tr>
        <w:tc>
          <w:tcPr>
            <w:tcW w:type="dxa" w:w="4320"/>
          </w:tcPr>
          <w:p>
            <w:r>
              <w:t>HTTP Client</w:t>
            </w:r>
          </w:p>
        </w:tc>
        <w:tc>
          <w:tcPr>
            <w:tcW w:type="dxa" w:w="4320"/>
          </w:tcPr>
          <w:p>
            <w:r>
              <w:t>httpx (async)</w:t>
            </w:r>
          </w:p>
        </w:tc>
      </w:tr>
      <w:tr>
        <w:tc>
          <w:tcPr>
            <w:tcW w:type="dxa" w:w="4320"/>
          </w:tcPr>
          <w:p>
            <w:r>
              <w:t>Temperature</w:t>
            </w:r>
          </w:p>
        </w:tc>
        <w:tc>
          <w:tcPr>
            <w:tcW w:type="dxa" w:w="4320"/>
          </w:tcPr>
          <w:p>
            <w:r>
              <w:t>0.4</w:t>
            </w:r>
          </w:p>
        </w:tc>
      </w:tr>
      <w:tr>
        <w:tc>
          <w:tcPr>
            <w:tcW w:type="dxa" w:w="4320"/>
          </w:tcPr>
          <w:p>
            <w:r>
              <w:t>Max Tokens</w:t>
            </w:r>
          </w:p>
        </w:tc>
        <w:tc>
          <w:tcPr>
            <w:tcW w:type="dxa" w:w="4320"/>
          </w:tcPr>
          <w:p>
            <w:r>
              <w:t>600</w:t>
            </w:r>
          </w:p>
        </w:tc>
      </w:tr>
      <w:tr>
        <w:tc>
          <w:tcPr>
            <w:tcW w:type="dxa" w:w="4320"/>
          </w:tcPr>
          <w:p>
            <w:r>
              <w:t>Response Format</w:t>
            </w:r>
          </w:p>
        </w:tc>
        <w:tc>
          <w:tcPr>
            <w:tcW w:type="dxa" w:w="4320"/>
          </w:tcPr>
          <w:p>
            <w:r>
              <w:t>Strict JSON (json_object mode)</w:t>
            </w:r>
          </w:p>
        </w:tc>
      </w:tr>
      <w:tr>
        <w:tc>
          <w:tcPr>
            <w:tcW w:type="dxa" w:w="4320"/>
          </w:tcPr>
          <w:p>
            <w:r>
              <w:t>Caching</w:t>
            </w:r>
          </w:p>
        </w:tc>
        <w:tc>
          <w:tcPr>
            <w:tcW w:type="dxa" w:w="4320"/>
          </w:tcPr>
          <w:p>
            <w:r>
              <w:t>In-memory per (sme_id, viewer) pair</w:t>
            </w:r>
          </w:p>
        </w:tc>
      </w:tr>
      <w:tr>
        <w:tc>
          <w:tcPr>
            <w:tcW w:type="dxa" w:w="4320"/>
          </w:tcPr>
          <w:p>
            <w:r>
              <w:t>Fallback</w:t>
            </w:r>
          </w:p>
        </w:tc>
        <w:tc>
          <w:tcPr>
            <w:tcW w:type="dxa" w:w="4320"/>
          </w:tcPr>
          <w:p>
            <w:r>
              <w:t>Rule-based heuristic generator</w:t>
            </w:r>
          </w:p>
        </w:tc>
      </w:tr>
      <w:tr>
        <w:tc>
          <w:tcPr>
            <w:tcW w:type="dxa" w:w="4320"/>
          </w:tcPr>
          <w:p>
            <w:r>
              <w:t>Source File</w:t>
            </w:r>
          </w:p>
        </w:tc>
        <w:tc>
          <w:tcPr>
            <w:tcW w:type="dxa" w:w="4320"/>
          </w:tcPr>
          <w:p>
            <w:r>
              <w:t>src/api/insights.py</w:t>
            </w:r>
          </w:p>
        </w:tc>
      </w:tr>
    </w:tbl>
    <w:p/>
    <w:p>
      <w:pPr>
        <w:pStyle w:val="Heading2"/>
      </w:pPr>
      <w:r>
        <w:t>Request Flow</w:t>
      </w:r>
    </w:p>
    <w:p>
      <w:r>
        <w:t>1. Frontend calls GET /api/insights/{sme_id}?viewer=sme|bank</w:t>
        <w:br/>
        <w:t>2. Server checks in-memory cache for (sme_id, viewer) key</w:t>
        <w:br/>
        <w:t>3. If cache miss → _build_user_prompt() constructs the data prompt</w:t>
        <w:br/>
        <w:t>4. _call_groq() sends system + user prompt to Groq API</w:t>
        <w:br/>
        <w:t>5. Response is parsed as JSON, validated for required keys</w:t>
        <w:br/>
        <w:t>6. On failure → _generate_fallback() produces rule-based output</w:t>
        <w:br/>
        <w:t>7. Result is cached and returned with source metadata (groq/heuristic)</w:t>
      </w:r>
    </w:p>
    <w:p>
      <w:r>
        <w:br w:type="page"/>
      </w:r>
    </w:p>
    <w:p>
      <w:pPr>
        <w:pStyle w:val="Heading1"/>
      </w:pPr>
      <w:r>
        <w:t>3. Prompt 1 — SME Behavioural Insights (System Prompt)</w:t>
      </w:r>
    </w:p>
    <w:p>
      <w:pPr>
        <w:pStyle w:val="Heading2"/>
      </w:pPr>
      <w:r>
        <w:t>Purpose</w:t>
      </w:r>
    </w:p>
    <w:p>
      <w:r>
        <w:t>This system prompt is used when an SME business owner views their own dashboard. It instructs the LLM to act as a supportive financial behaviour assistant, providing non-prescriptive, behavioural guidance the owner can act on.</w:t>
      </w:r>
    </w:p>
    <w:p>
      <w:pPr>
        <w:pStyle w:val="Heading2"/>
      </w:pPr>
      <w:r>
        <w:t>Variable Name</w:t>
      </w:r>
    </w:p>
    <w:p>
      <w:r>
        <w:t>_SYSTEM_PROMPT_SME  (src/api/insights.py, line 85)</w:t>
      </w:r>
    </w:p>
    <w:p>
      <w:pPr>
        <w:pStyle w:val="Heading2"/>
      </w:pPr>
      <w:r>
        <w:t>Full Prompt Text</w:t>
      </w:r>
    </w:p>
    <w:p>
      <w:pPr>
        <w:ind w:left="432"/>
      </w:pPr>
      <w:r>
        <w:rPr>
          <w:rFonts w:ascii="Consolas" w:hAnsi="Consolas"/>
          <w:color w:val="2D2D2D"/>
          <w:sz w:val="18"/>
        </w:rPr>
        <w:t>You are a financial behaviour insights assistant helping an SME business owner understand their payment patterns.</w:t>
        <w:br/>
        <w:br/>
        <w:t>Your role is to analyse supplier payment data and give high-level, non-prescriptive guidance so the owner can improve their cash flow behaviour.</w:t>
        <w:br/>
        <w:br/>
        <w:t>IMPORTANT RULES:</w:t>
        <w:br/>
        <w:t>* Speak directly to the business owner (use "you" / "your business")</w:t>
        <w:br/>
        <w:t>* Do NOT provide financial advice or exact instructions</w:t>
        <w:br/>
        <w:t>* Do NOT suggest specific payment amounts</w:t>
        <w:br/>
        <w:t>* Use neutral, supportive language: "consider", "may help", "could improve"</w:t>
        <w:br/>
        <w:t>* Focus on behavioural patterns the owner can act on</w:t>
        <w:br/>
        <w:t>* Keep output concise, clear, and non-judgmental</w:t>
        <w:br/>
        <w:br/>
        <w:t>OUTPUT FORMAT (STRICT JSON ONLY — no markdown, no explanation, just the JSON object):</w:t>
        <w:br/>
        <w:t>{</w:t>
        <w:br/>
        <w:t xml:space="preserve">  "summary": "One-line explanation of current payment behaviour and risk for the business owner",</w:t>
        <w:br/>
        <w:t xml:space="preserve">  "key_issues": ["Issue 1 from the owner's perspective", "Issue 2", "Issue 3"],</w:t>
        <w:br/>
        <w:t xml:space="preserve">  "suggestions": ["Action the owner could consider", "Another behavioural suggestion", "Third suggestion"],</w:t>
        <w:br/>
        <w:t xml:space="preserve">  "priority_focus": ["Which supplier relationship to focus on", "Area needing stabilisation"],</w:t>
        <w:br/>
        <w:t xml:space="preserve">  "expected_impact": "How improving this behaviour may reduce risk for your business over time"</w:t>
        <w:br/>
        <w:t>}</w:t>
      </w:r>
    </w:p>
    <w:p>
      <w:pPr>
        <w:pStyle w:val="Heading2"/>
      </w:pPr>
      <w:r>
        <w:t>Design Rationale</w:t>
      </w:r>
    </w:p>
    <w:p>
      <w:r>
        <w:t>• Non-prescriptive language avoids regulatory risk (not financial advice)</w:t>
        <w:br/>
        <w:t>• Direct second-person voice ("you"/"your") creates engagement</w:t>
        <w:br/>
        <w:t>• Strict JSON output ensures reliable frontend parsing</w:t>
        <w:br/>
        <w:t>• Behavioural framing aligns with the product's early-warning mission</w:t>
      </w:r>
    </w:p>
    <w:p>
      <w:r>
        <w:br w:type="page"/>
      </w:r>
    </w:p>
    <w:p>
      <w:pPr>
        <w:pStyle w:val="Heading1"/>
      </w:pPr>
      <w:r>
        <w:t>4. Prompt 2 — Bank RM Action Recommendations (System Prompt)</w:t>
      </w:r>
    </w:p>
    <w:p>
      <w:pPr>
        <w:pStyle w:val="Heading2"/>
      </w:pPr>
      <w:r>
        <w:t>Purpose</w:t>
      </w:r>
    </w:p>
    <w:p>
      <w:r>
        <w:t>This system prompt is used when a NatWest Relationship Manager drills into an SME from the bank's portfolio view. It instructs the LLM to act as a risk intelligence assistant, providing concrete, action-oriented recommendations the RM should take.</w:t>
      </w:r>
    </w:p>
    <w:p>
      <w:pPr>
        <w:pStyle w:val="Heading2"/>
      </w:pPr>
      <w:r>
        <w:t>Variable Name</w:t>
      </w:r>
    </w:p>
    <w:p>
      <w:r>
        <w:t>_SYSTEM_PROMPT_BANK  (src/api/insights.py, line 107)</w:t>
      </w:r>
    </w:p>
    <w:p>
      <w:pPr>
        <w:pStyle w:val="Heading2"/>
      </w:pPr>
      <w:r>
        <w:t>Full Prompt Text</w:t>
      </w:r>
    </w:p>
    <w:p>
      <w:pPr>
        <w:ind w:left="432"/>
      </w:pPr>
      <w:r>
        <w:rPr>
          <w:rFonts w:ascii="Consolas" w:hAnsi="Consolas"/>
          <w:color w:val="2D2D2D"/>
          <w:sz w:val="18"/>
        </w:rPr>
        <w:t>You are a risk intelligence assistant for a NatWest Relationship Manager reviewing an SME client's payment behaviour.</w:t>
        <w:br/>
        <w:br/>
        <w:t>Your role is to analyse supplier payment data and recommend concrete actions the RM should take to support the client and protect the bank's lending position.</w:t>
        <w:br/>
        <w:br/>
        <w:t>IMPORTANT RULES:</w:t>
        <w:br/>
        <w:t>* Speak directly to the RM (use "you should", "we recommend", "consider scheduling")</w:t>
        <w:br/>
        <w:t>* Be specific and action-oriented — the RM needs to know what to DO, not just what the SME is doing</w:t>
        <w:br/>
        <w:t>* Actions should be professional banking steps: outreach, credit review, escalation, support products</w:t>
        <w:br/>
        <w:t>* Keep output concise, clear, and decision-ready</w:t>
        <w:br/>
        <w:br/>
        <w:t>OUTPUT FORMAT (STRICT JSON ONLY — no markdown, no explanation, just the JSON object):</w:t>
        <w:br/>
        <w:t>{</w:t>
        <w:br/>
        <w:t xml:space="preserve">  "summary": "One-line assessment of this SME's risk status for the RM",</w:t>
        <w:br/>
        <w:t xml:space="preserve">  "key_issues": ["Risk signal 1 the RM should be aware of", "Risk signal 2", "Risk signal 3"],</w:t>
        <w:br/>
        <w:t xml:space="preserve">  "suggestions": ["Concrete RM action 1 (e.g. schedule outreach call)", "RM action 2 (e.g. review credit facility)", "RM action 3 (e.g. offer cash flow advisory)"],</w:t>
        <w:br/>
        <w:t xml:space="preserve">  "priority_focus": ["Most urgent RM action", "Secondary priority"],</w:t>
        <w:br/>
        <w:t xml:space="preserve">  "expected_impact": "How early RM intervention may prevent default and protect the lending relationship"</w:t>
        <w:br/>
        <w:t>}</w:t>
      </w:r>
    </w:p>
    <w:p>
      <w:pPr>
        <w:pStyle w:val="Heading2"/>
      </w:pPr>
      <w:r>
        <w:t>Design Rationale</w:t>
      </w:r>
    </w:p>
    <w:p>
      <w:r>
        <w:t>• Action-oriented imperative voice ("you should", "schedule") matches RM workflows</w:t>
        <w:br/>
        <w:t>• Banking-specific vocabulary: outreach, credit facility, escalation, Credit Committee</w:t>
        <w:br/>
        <w:t>• Same JSON schema as SME prompt enables shared frontend rendering</w:t>
        <w:br/>
        <w:t>• Focus on protecting the bank's lending position aligns with institutional priorities</w:t>
      </w:r>
    </w:p>
    <w:p>
      <w:r>
        <w:br w:type="page"/>
      </w:r>
    </w:p>
    <w:p>
      <w:pPr>
        <w:pStyle w:val="Heading1"/>
      </w:pPr>
      <w:r>
        <w:t>5. Prompt 3 — Dynamic User Prompt (Data Prompt)</w:t>
      </w:r>
    </w:p>
    <w:p>
      <w:pPr>
        <w:pStyle w:val="Heading2"/>
      </w:pPr>
      <w:r>
        <w:t>Purpose</w:t>
      </w:r>
    </w:p>
    <w:p>
      <w:r>
        <w:t>This is the user message sent alongside either system prompt. It is dynamically constructed from real supplier payment data for each SME, providing the LLM with all the quantitative context it needs to generate its analysis.</w:t>
      </w:r>
    </w:p>
    <w:p>
      <w:pPr>
        <w:pStyle w:val="Heading2"/>
      </w:pPr>
      <w:r>
        <w:t>Function</w:t>
      </w:r>
    </w:p>
    <w:p>
      <w:r>
        <w:t>_build_user_prompt(sme_id, sme)  (src/api/insights.py, line 172)</w:t>
      </w:r>
    </w:p>
    <w:p>
      <w:pPr>
        <w:pStyle w:val="Heading2"/>
      </w:pPr>
      <w:r>
        <w:t>Prompt Template</w:t>
      </w:r>
    </w:p>
    <w:p>
      <w:pPr>
        <w:ind w:left="432"/>
      </w:pPr>
      <w:r>
        <w:rPr>
          <w:rFonts w:ascii="Consolas" w:hAnsi="Consolas"/>
          <w:color w:val="2D2D2D"/>
          <w:sz w:val="18"/>
        </w:rPr>
        <w:t>Analyse the following SME and produce the JSON output.</w:t>
        <w:br/>
        <w:br/>
        <w:t>SME: {sme['name']} (ID: {sme_id})</w:t>
        <w:br/>
        <w:t>Current Risk Level: {metrics['risk_level']}</w:t>
        <w:br/>
        <w:br/>
        <w:t>SUPPLIER-LEVEL DATA:</w:t>
        <w:br/>
        <w:t xml:space="preserve">  - {supplier_name}: delay={delay}d, terms={terms}d, excess={excess:+.0f}d, severity={severity}, trend={trend}, slope={slope:+.1f}d/week</w:t>
        <w:br/>
        <w:t xml:space="preserve">  [... repeated for each supplier ...]</w:t>
        <w:br/>
        <w:br/>
        <w:t>AGGREGATE INDICATORS:</w:t>
        <w:br/>
        <w:t>- Average payment delay: {avg_delay} days</w:t>
        <w:br/>
        <w:t>- Payment spread (max − min): {spread} days</w:t>
        <w:br/>
        <w:t>- Suppliers in critical status: {critical_count}/{total_suppliers}</w:t>
        <w:br/>
        <w:t>- Suppliers with accelerating delays: {accelerating_count}</w:t>
        <w:br/>
        <w:t>- Suppliers with upward drift: {drifting_count}</w:t>
        <w:br/>
        <w:t>- Payment triage detected: {Yes/No}</w:t>
        <w:br/>
        <w:t>- Delayed suppliers (&gt;30d): {names or None}</w:t>
        <w:br/>
        <w:t>- On-time suppliers (≤10d): {names or None}</w:t>
        <w:br/>
        <w:br/>
        <w:t>Respond with ONLY the JSON object, no other text.</w:t>
      </w:r>
    </w:p>
    <w:p>
      <w:pPr>
        <w:pStyle w:val="Heading2"/>
      </w:pPr>
      <w:r>
        <w:t>Computed Metrics Injected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Type</w:t>
            </w:r>
          </w:p>
        </w:tc>
        <w:tc>
          <w:tcPr>
            <w:tcW w:type="dxa" w:w="2880"/>
          </w:tcPr>
          <w:p>
            <w:r>
              <w:t>Derivation</w:t>
            </w:r>
          </w:p>
        </w:tc>
      </w:tr>
      <w:tr>
        <w:tc>
          <w:tcPr>
            <w:tcW w:type="dxa" w:w="2880"/>
          </w:tcPr>
          <w:p>
            <w:r>
              <w:t>risk_level</w:t>
            </w:r>
          </w:p>
        </w:tc>
        <w:tc>
          <w:tcPr>
            <w:tcW w:type="dxa" w:w="2880"/>
          </w:tcPr>
          <w:p>
            <w:r>
              <w:t>HIGH / MEDIUM / LOW</w:t>
            </w:r>
          </w:p>
        </w:tc>
        <w:tc>
          <w:tcPr>
            <w:tcW w:type="dxa" w:w="2880"/>
          </w:tcPr>
          <w:p>
            <w:r>
              <w:t>Based on average delay thresholds (&gt;40d, &gt;20d, ≤20d)</w:t>
            </w:r>
          </w:p>
        </w:tc>
      </w:tr>
      <w:tr>
        <w:tc>
          <w:tcPr>
            <w:tcW w:type="dxa" w:w="2880"/>
          </w:tcPr>
          <w:p>
            <w:r>
              <w:t>avg_delay</w:t>
            </w:r>
          </w:p>
        </w:tc>
        <w:tc>
          <w:tcPr>
            <w:tcW w:type="dxa" w:w="2880"/>
          </w:tcPr>
          <w:p>
            <w:r>
              <w:t>Float (1 decimal)</w:t>
            </w:r>
          </w:p>
        </w:tc>
        <w:tc>
          <w:tcPr>
            <w:tcW w:type="dxa" w:w="2880"/>
          </w:tcPr>
          <w:p>
            <w:r>
              <w:t>Mean delay across all suppliers</w:t>
            </w:r>
          </w:p>
        </w:tc>
      </w:tr>
      <w:tr>
        <w:tc>
          <w:tcPr>
            <w:tcW w:type="dxa" w:w="2880"/>
          </w:tcPr>
          <w:p>
            <w:r>
              <w:t>max_delay / min_delay</w:t>
            </w:r>
          </w:p>
        </w:tc>
        <w:tc>
          <w:tcPr>
            <w:tcW w:type="dxa" w:w="2880"/>
          </w:tcPr>
          <w:p>
            <w:r>
              <w:t>Integer</w:t>
            </w:r>
          </w:p>
        </w:tc>
        <w:tc>
          <w:tcPr>
            <w:tcW w:type="dxa" w:w="2880"/>
          </w:tcPr>
          <w:p>
            <w:r>
              <w:t>Extremes of payment delay range</w:t>
            </w:r>
          </w:p>
        </w:tc>
      </w:tr>
      <w:tr>
        <w:tc>
          <w:tcPr>
            <w:tcW w:type="dxa" w:w="2880"/>
          </w:tcPr>
          <w:p>
            <w:r>
              <w:t>spread</w:t>
            </w:r>
          </w:p>
        </w:tc>
        <w:tc>
          <w:tcPr>
            <w:tcW w:type="dxa" w:w="2880"/>
          </w:tcPr>
          <w:p>
            <w:r>
              <w:t>Integer</w:t>
            </w:r>
          </w:p>
        </w:tc>
        <w:tc>
          <w:tcPr>
            <w:tcW w:type="dxa" w:w="2880"/>
          </w:tcPr>
          <w:p>
            <w:r>
              <w:t>max_delay − min_delay</w:t>
            </w:r>
          </w:p>
        </w:tc>
      </w:tr>
      <w:tr>
        <w:tc>
          <w:tcPr>
            <w:tcW w:type="dxa" w:w="2880"/>
          </w:tcPr>
          <w:p>
            <w:r>
              <w:t>critical_count</w:t>
            </w:r>
          </w:p>
        </w:tc>
        <w:tc>
          <w:tcPr>
            <w:tcW w:type="dxa" w:w="2880"/>
          </w:tcPr>
          <w:p>
            <w:r>
              <w:t>Integer</w:t>
            </w:r>
          </w:p>
        </w:tc>
        <w:tc>
          <w:tcPr>
            <w:tcW w:type="dxa" w:w="2880"/>
          </w:tcPr>
          <w:p>
            <w:r>
              <w:t>Suppliers with severity = critical</w:t>
            </w:r>
          </w:p>
        </w:tc>
      </w:tr>
      <w:tr>
        <w:tc>
          <w:tcPr>
            <w:tcW w:type="dxa" w:w="2880"/>
          </w:tcPr>
          <w:p>
            <w:r>
              <w:t>warning_count</w:t>
            </w:r>
          </w:p>
        </w:tc>
        <w:tc>
          <w:tcPr>
            <w:tcW w:type="dxa" w:w="2880"/>
          </w:tcPr>
          <w:p>
            <w:r>
              <w:t>Integer</w:t>
            </w:r>
          </w:p>
        </w:tc>
        <w:tc>
          <w:tcPr>
            <w:tcW w:type="dxa" w:w="2880"/>
          </w:tcPr>
          <w:p>
            <w:r>
              <w:t>Suppliers with severity = warning</w:t>
            </w:r>
          </w:p>
        </w:tc>
      </w:tr>
      <w:tr>
        <w:tc>
          <w:tcPr>
            <w:tcW w:type="dxa" w:w="2880"/>
          </w:tcPr>
          <w:p>
            <w:r>
              <w:t>accelerating_count</w:t>
            </w:r>
          </w:p>
        </w:tc>
        <w:tc>
          <w:tcPr>
            <w:tcW w:type="dxa" w:w="2880"/>
          </w:tcPr>
          <w:p>
            <w:r>
              <w:t>Integer</w:t>
            </w:r>
          </w:p>
        </w:tc>
        <w:tc>
          <w:tcPr>
            <w:tcW w:type="dxa" w:w="2880"/>
          </w:tcPr>
          <w:p>
            <w:r>
              <w:t>Suppliers with trend = accelerating</w:t>
            </w:r>
          </w:p>
        </w:tc>
      </w:tr>
      <w:tr>
        <w:tc>
          <w:tcPr>
            <w:tcW w:type="dxa" w:w="2880"/>
          </w:tcPr>
          <w:p>
            <w:r>
              <w:t>drifting_count</w:t>
            </w:r>
          </w:p>
        </w:tc>
        <w:tc>
          <w:tcPr>
            <w:tcW w:type="dxa" w:w="2880"/>
          </w:tcPr>
          <w:p>
            <w:r>
              <w:t>Integer</w:t>
            </w:r>
          </w:p>
        </w:tc>
        <w:tc>
          <w:tcPr>
            <w:tcW w:type="dxa" w:w="2880"/>
          </w:tcPr>
          <w:p>
            <w:r>
              <w:t>Suppliers with trend = drifting</w:t>
            </w:r>
          </w:p>
        </w:tc>
      </w:tr>
      <w:tr>
        <w:tc>
          <w:tcPr>
            <w:tcW w:type="dxa" w:w="2880"/>
          </w:tcPr>
          <w:p>
            <w:r>
              <w:t>triage_detected</w:t>
            </w:r>
          </w:p>
        </w:tc>
        <w:tc>
          <w:tcPr>
            <w:tcW w:type="dxa" w:w="2880"/>
          </w:tcPr>
          <w:p>
            <w:r>
              <w:t>Boolean</w:t>
            </w:r>
          </w:p>
        </w:tc>
        <w:tc>
          <w:tcPr>
            <w:tcW w:type="dxa" w:w="2880"/>
          </w:tcPr>
          <w:p>
            <w:r>
              <w:t>≥2 suppliers &gt;30d AND ≥1 supplier ≤10d</w:t>
            </w:r>
          </w:p>
        </w:tc>
      </w:tr>
    </w:tbl>
    <w:p>
      <w:pPr>
        <w:pStyle w:val="Heading2"/>
      </w:pPr>
      <w:r>
        <w:t>Example — Populated Prompt (Meridian Engineering)</w:t>
      </w:r>
    </w:p>
    <w:p>
      <w:r>
        <w:rPr>
          <w:b/>
          <w:color w:val="555555"/>
          <w:sz w:val="20"/>
        </w:rPr>
        <w:t>Concrete example for Meridian Engineering:</w:t>
      </w:r>
    </w:p>
    <w:p>
      <w:pPr>
        <w:ind w:left="432"/>
      </w:pPr>
      <w:r>
        <w:rPr>
          <w:rFonts w:ascii="Consolas" w:hAnsi="Consolas"/>
          <w:color w:val="2D2D2D"/>
          <w:sz w:val="18"/>
        </w:rPr>
        <w:t>Analyse the following SME and produce the JSON output.</w:t>
        <w:br/>
        <w:br/>
        <w:t>SME: Meridian Engineering Ltd (ID: meridian)</w:t>
        <w:br/>
        <w:t>Current Risk Level: HIGH</w:t>
        <w:br/>
        <w:br/>
        <w:t>SUPPLIER-LEVEL DATA:</w:t>
        <w:br/>
        <w:t xml:space="preserve">  - BetaLogistics Ltd: delay=62d, terms=30d, excess=+32d, severity=critical, trend=accelerating, slope=+3.1d/week</w:t>
        <w:br/>
        <w:t xml:space="preserve">  - GammaSupplies Co: delay=40d, terms=21d, excess=+19d, severity=critical, trend=drifting, slope=+1.4d/week</w:t>
        <w:br/>
        <w:t xml:space="preserve">  - DeltaParts Inc: delay=47d, terms=30d, excess=+17d, severity=warning, trend=drifting, slope=+1.1d/week</w:t>
        <w:br/>
        <w:t xml:space="preserve">  - AlphaSteel Corp: delay=15d, terms=21d, excess=-6d, severity=normal, trend=stable, slope=+0.0d/week</w:t>
        <w:br/>
        <w:t xml:space="preserve">  - EpsilonServices: delay=14d, terms=14d, excess=+0d, severity=normal, trend=stable, slope=+0.1d/week</w:t>
        <w:br/>
        <w:br/>
        <w:t>AGGREGATE INDICATORS:</w:t>
        <w:br/>
        <w:t>- Average payment delay: 35.6 days</w:t>
        <w:br/>
        <w:t>- Payment spread (max − min): 48 days</w:t>
        <w:br/>
        <w:t>- Suppliers in critical status: 2/5</w:t>
        <w:br/>
        <w:t>- Suppliers with accelerating delays: 1</w:t>
        <w:br/>
        <w:t>- Suppliers with upward drift: 2</w:t>
        <w:br/>
        <w:t>- Payment triage detected: Yes</w:t>
        <w:br/>
        <w:t>- Delayed suppliers (&gt;30d): BetaLogistics Ltd, GammaSupplies Co, DeltaParts Inc</w:t>
        <w:br/>
        <w:t>- On-time suppliers (≤10d): None</w:t>
        <w:br/>
        <w:br/>
        <w:t>Respond with ONLY the JSON object, no other text.</w:t>
      </w:r>
    </w:p>
    <w:p>
      <w:r>
        <w:br w:type="page"/>
      </w:r>
    </w:p>
    <w:p>
      <w:pPr>
        <w:pStyle w:val="Heading1"/>
      </w:pPr>
      <w:r>
        <w:t>6. API Configuration &amp; Parameters</w:t>
      </w:r>
    </w:p>
    <w:p>
      <w:pPr>
        <w:pStyle w:val="Heading2"/>
      </w:pPr>
      <w:r>
        <w:t>Groq API Call Parameters</w:t>
      </w:r>
    </w:p>
    <w:p>
      <w:pPr>
        <w:ind w:left="432"/>
      </w:pPr>
      <w:r>
        <w:rPr>
          <w:rFonts w:ascii="Consolas" w:hAnsi="Consolas"/>
          <w:color w:val="2D2D2D"/>
          <w:sz w:val="18"/>
        </w:rPr>
        <w:t>{</w:t>
        <w:br/>
        <w:t xml:space="preserve">    "model": "llama-3.3-70b-versatile",</w:t>
        <w:br/>
        <w:t xml:space="preserve">    "messages": [</w:t>
        <w:br/>
        <w:t xml:space="preserve">        {"role": "system", "content": "&lt;system_prompt&gt;"},</w:t>
        <w:br/>
        <w:t xml:space="preserve">        {"role": "user",   "content": "&lt;user_prompt&gt;"}</w:t>
        <w:br/>
        <w:t xml:space="preserve">    ],</w:t>
        <w:br/>
        <w:t xml:space="preserve">    "temperature": 0.4,</w:t>
        <w:br/>
        <w:t xml:space="preserve">    "max_tokens": 600,</w:t>
        <w:br/>
        <w:t xml:space="preserve">    "response_format": {"type": "json_object"}</w:t>
        <w:br/>
        <w:t>}</w:t>
      </w:r>
    </w:p>
    <w:p>
      <w:pPr>
        <w:pStyle w:val="Heading2"/>
      </w:pPr>
      <w:r>
        <w:t>Parameter Rationale</w:t>
      </w:r>
    </w:p>
    <w:p>
      <w:r>
        <w:t>• temperature=0.4 — Low enough for consistent, reliable output; high enough to avoid overly robotic phrasing</w:t>
        <w:br/>
        <w:t>• max_tokens=600 — Sufficient for the 5-field JSON response; prevents runaway generation</w:t>
        <w:br/>
        <w:t>• response_format=json_object — Forces the model to output valid JSON, eliminating markdown wrapper issues</w:t>
        <w:br/>
        <w:t>• timeout=15s — Generous for Groq's typically sub-second latency; covers cold starts</w:t>
      </w:r>
    </w:p>
    <w:p>
      <w:pPr>
        <w:pStyle w:val="Heading2"/>
      </w:pPr>
      <w:r>
        <w:t>Response Validation</w:t>
      </w:r>
    </w:p>
    <w:p>
      <w:r>
        <w:t>After receiving the Groq response, the system validates that all five required keys are present: summary, key_issues, suggestions, priority_focus, expected_impact. If any key is missing, the response is discarded and the heuristic fallback is used.</w:t>
      </w:r>
    </w:p>
    <w:p>
      <w:pPr>
        <w:pStyle w:val="Heading2"/>
      </w:pPr>
      <w:r>
        <w:t>Caching Strategy</w:t>
      </w:r>
    </w:p>
    <w:p>
      <w:r>
        <w:t>Results are cached in-memory per (sme_id, viewer) composite key for the server lifetime. This means each SME gets at most two Groq calls (one for 'sme' viewer, one for 'bank' viewer). The cache is invalidated when a new SME is registered via /api/sme/register.</w:t>
      </w:r>
    </w:p>
    <w:p>
      <w:r>
        <w:br w:type="page"/>
      </w:r>
    </w:p>
    <w:p>
      <w:pPr>
        <w:pStyle w:val="Heading1"/>
      </w:pPr>
      <w:r>
        <w:t>7. Heuristic Fallback Logic</w:t>
      </w:r>
    </w:p>
    <w:p>
      <w:r>
        <w:t>When the Groq API is unavailable (no API key, network failure, rate limit, or invalid response), the system falls back to a deterministic, rule-based generator that produces output in the exact same JSON schema. The frontend renders both sources identically, with a small badge indicating 'Groq AI' or 'Local'.</w:t>
      </w:r>
    </w:p>
    <w:p>
      <w:pPr>
        <w:pStyle w:val="Heading2"/>
      </w:pPr>
      <w:r>
        <w:t>Fallback Decision Tree</w:t>
      </w:r>
    </w:p>
    <w:p>
      <w:r>
        <w:t>The heuristic generator uses the same computed metrics as the LLM prompt and branches on three axes:</w:t>
        <w:br/>
        <w:br/>
        <w:t>1. Risk Level (HIGH / MEDIUM / LOW) — controls tone and urgency</w:t>
        <w:br/>
        <w:t>2. Viewer (sme / bank) — controls voice and recommended actions</w:t>
        <w:br/>
        <w:t>3. Detected Patterns (triage, acceleration, spread) — controls which issues are highlighted</w:t>
        <w:br/>
        <w:br/>
        <w:t>This ensures the application always delivers meaningful insights, even without LLM access.</w:t>
      </w:r>
    </w:p>
    <w:p>
      <w:r>
        <w:br w:type="page"/>
      </w:r>
    </w:p>
    <w:p>
      <w:pPr>
        <w:pStyle w:val="Heading1"/>
      </w:pPr>
      <w:r>
        <w:t>8. Prompt Design Principles</w:t>
      </w:r>
    </w:p>
    <w:p>
      <w:pPr>
        <w:pStyle w:val="Heading2"/>
      </w:pPr>
      <w:r>
        <w:t>Role Separation</w:t>
      </w:r>
    </w:p>
    <w:p>
      <w:r>
        <w:t>Two distinct system prompts ensure the LLM adopts the correct persona. The SME prompt uses supportive, non-prescriptive language; the Bank prompt uses directive, action-oriented language.</w:t>
      </w:r>
    </w:p>
    <w:p>
      <w:pPr>
        <w:pStyle w:val="Heading2"/>
      </w:pPr>
      <w:r>
        <w:t>Structured Output</w:t>
      </w:r>
    </w:p>
    <w:p>
      <w:r>
        <w:t>Strict JSON output format with response_format=json_object eliminates parsing failures. The five fixed keys enable predictable frontend rendering.</w:t>
      </w:r>
    </w:p>
    <w:p>
      <w:pPr>
        <w:pStyle w:val="Heading2"/>
      </w:pPr>
      <w:r>
        <w:t>Data-Rich Context</w:t>
      </w:r>
    </w:p>
    <w:p>
      <w:r>
        <w:t>The user prompt injects both per-supplier granular data AND aggregate indicators, giving the LLM enough context to identify patterns without hallucinating numbers.</w:t>
      </w:r>
    </w:p>
    <w:p>
      <w:pPr>
        <w:pStyle w:val="Heading2"/>
      </w:pPr>
      <w:r>
        <w:t>Regulatory Compliance</w:t>
      </w:r>
    </w:p>
    <w:p>
      <w:r>
        <w:t>The SME prompt explicitly prohibits financial advice and specific payment amounts, keeping the system within behavioural guidance territory.</w:t>
      </w:r>
    </w:p>
    <w:p>
      <w:pPr>
        <w:pStyle w:val="Heading2"/>
      </w:pPr>
      <w:r>
        <w:t>Graceful Degradation</w:t>
      </w:r>
    </w:p>
    <w:p>
      <w:r>
        <w:t>The heuristic fallback produces the same schema, ensuring zero frontend breakage regardless of LLM availability.</w:t>
      </w:r>
    </w:p>
    <w:p>
      <w:pPr>
        <w:pStyle w:val="Heading2"/>
      </w:pPr>
      <w:r>
        <w:t>Minimal Token Usage</w:t>
      </w:r>
    </w:p>
    <w:p>
      <w:r>
        <w:t>max_tokens=600 and concise prompt design keep costs at zero on Groq's free tier while producing complete, actionable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