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A33D" w:sz="6" w:space="4"/>
          <w:bottom w:val="single" w:color="E8A33D" w:sz="6" w:space="4"/>
          <w:left w:val="single" w:color="E8A33D" w:sz="6" w:space="4"/>
          <w:right w:val="single" w:color="E8A33D" w:sz="6" w:space="4"/>
        </w:pBdr>
        <w:shd w:fill="FFF4E5" w:val="clear"/>
        <w:spacing w:after="260"/>
      </w:pPr>
      <w:r>
        <w:rPr>
          <w:i/>
          <w:iCs/>
          <w:color w:val="7A4A00"/>
          <w:sz w:val="18"/>
          <w:szCs w:val="18"/>
        </w:rPr>
        <w:t xml:space="preserve">PORTFOLIO SAMPLE — This document was independently authored for demonstration purposes only. It is not official HPE documentation and is not affiliated with, endorsed by, or sourced from Hewlett Packard Enterprise. Always follow the official HPE ProLiant DL380 Gen11 Setup and Installation Guide and Service Notice/QuickSpecs for the specific unit you are working on.</w:t>
      </w:r>
    </w:p>
    <w:p>
      <w:pPr>
        <w:spacing w:after="40"/>
        <w:jc w:val="center"/>
      </w:pPr>
      <w:r>
        <w:rPr>
          <w:b/>
          <w:bCs/>
          <w:color w:val="666666"/>
          <w:sz w:val="20"/>
          <w:szCs w:val="20"/>
        </w:rPr>
        <w:t xml:space="preserve">SERVER INSTALLATION GUIDE (PORTFOLIO SAMPLE)</w:t>
      </w:r>
    </w:p>
    <w:p>
      <w:pPr>
        <w:spacing w:after="60"/>
        <w:jc w:val="center"/>
      </w:pPr>
      <w:r>
        <w:rPr>
          <w:b/>
          <w:bCs/>
          <w:color w:val="1A1A1A"/>
          <w:sz w:val="32"/>
          <w:szCs w:val="32"/>
        </w:rPr>
        <w:t xml:space="preserve">Installing and Configuring an</w:t>
      </w:r>
    </w:p>
    <w:p>
      <w:pPr>
        <w:spacing w:after="60"/>
        <w:jc w:val="center"/>
      </w:pPr>
      <w:r>
        <w:rPr>
          <w:b/>
          <w:bCs/>
          <w:color w:val="013C5B"/>
          <w:sz w:val="40"/>
          <w:szCs w:val="40"/>
        </w:rPr>
        <w:t xml:space="preserve">HPE ProLiant DL380 Gen11 Server</w:t>
      </w:r>
    </w:p>
    <w:p>
      <w:pPr>
        <w:spacing w:after="300"/>
        <w:jc w:val="center"/>
      </w:pPr>
      <w:r>
        <w:rPr>
          <w:color w:val="666666"/>
          <w:sz w:val="18"/>
          <w:szCs w:val="18"/>
        </w:rPr>
        <w:t xml:space="preserve">IG-SRV-0380   |   Revision 01   |   Effective Date: 2026-07-29</w:t>
      </w:r>
    </w:p>
    <w:p>
      <w:pPr>
        <w:pStyle w:val="Heading1"/>
        <w:spacing w:after="140" w:before="320"/>
      </w:pPr>
      <w:r>
        <w:t xml:space="preserve">Document Control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6720"/>
      </w:tblGrid>
      <w:tr>
        <w:tc>
          <w:tcPr>
            <w:tcW w:type="dxa" w:w="2400"/>
            <w:shd w:fill="013C5B" w:val="clear"/>
            <w:tcMar>
              <w:top w:type="dxa" w:w="80"/>
              <w:left w:type="dxa" w:w="100"/>
              <w:bottom w:type="dxa" w:w="80"/>
              <w:right w:type="dxa" w:w="100"/>
            </w:tcMar>
          </w:tcPr>
          <w:p>
            <w:r>
              <w:rPr>
                <w:b/>
                <w:bCs/>
                <w:color w:val="FFFFFF"/>
                <w:sz w:val="20"/>
                <w:szCs w:val="20"/>
              </w:rPr>
              <w:t xml:space="preserve">Document No.</w:t>
            </w:r>
          </w:p>
        </w:tc>
        <w:tc>
          <w:tcPr>
            <w:tcW w:type="dxa" w:w="6720"/>
            <w:tcMar>
              <w:top w:type="dxa" w:w="80"/>
              <w:left w:type="dxa" w:w="100"/>
              <w:bottom w:type="dxa" w:w="80"/>
              <w:right w:type="dxa" w:w="100"/>
            </w:tcMar>
          </w:tcPr>
          <w:p>
            <w:r>
              <w:rPr>
                <w:b w:val="false"/>
                <w:bCs w:val="false"/>
                <w:sz w:val="20"/>
                <w:szCs w:val="20"/>
              </w:rPr>
              <w:t xml:space="preserve">IG-SRV-0380</w:t>
            </w:r>
          </w:p>
        </w:tc>
      </w:tr>
      <w:tr>
        <w:tc>
          <w:tcPr>
            <w:tcW w:type="dxa" w:w="2400"/>
            <w:shd w:fill="013C5B" w:val="clear"/>
            <w:tcMar>
              <w:top w:type="dxa" w:w="80"/>
              <w:left w:type="dxa" w:w="100"/>
              <w:bottom w:type="dxa" w:w="80"/>
              <w:right w:type="dxa" w:w="100"/>
            </w:tcMar>
          </w:tcPr>
          <w:p>
            <w:r>
              <w:rPr>
                <w:b/>
                <w:bCs/>
                <w:color w:val="FFFFFF"/>
                <w:sz w:val="20"/>
                <w:szCs w:val="20"/>
              </w:rPr>
              <w:t xml:space="preserve">Title</w:t>
            </w:r>
          </w:p>
        </w:tc>
        <w:tc>
          <w:tcPr>
            <w:tcW w:type="dxa" w:w="6720"/>
            <w:tcMar>
              <w:top w:type="dxa" w:w="80"/>
              <w:left w:type="dxa" w:w="100"/>
              <w:bottom w:type="dxa" w:w="80"/>
              <w:right w:type="dxa" w:w="100"/>
            </w:tcMar>
          </w:tcPr>
          <w:p>
            <w:r>
              <w:rPr>
                <w:b w:val="false"/>
                <w:bCs w:val="false"/>
                <w:sz w:val="20"/>
                <w:szCs w:val="20"/>
              </w:rPr>
              <w:t xml:space="preserve">Installing and Configuring an HPE ProLiant DL380 Gen11 Server</w:t>
            </w:r>
          </w:p>
        </w:tc>
      </w:tr>
      <w:tr>
        <w:tc>
          <w:tcPr>
            <w:tcW w:type="dxa" w:w="2400"/>
            <w:shd w:fill="013C5B" w:val="clear"/>
            <w:tcMar>
              <w:top w:type="dxa" w:w="80"/>
              <w:left w:type="dxa" w:w="100"/>
              <w:bottom w:type="dxa" w:w="80"/>
              <w:right w:type="dxa" w:w="100"/>
            </w:tcMar>
          </w:tcPr>
          <w:p>
            <w:r>
              <w:rPr>
                <w:b/>
                <w:bCs/>
                <w:color w:val="FFFFFF"/>
                <w:sz w:val="20"/>
                <w:szCs w:val="20"/>
              </w:rPr>
              <w:t xml:space="preserve">Applies To</w:t>
            </w:r>
          </w:p>
        </w:tc>
        <w:tc>
          <w:tcPr>
            <w:tcW w:type="dxa" w:w="6720"/>
            <w:tcMar>
              <w:top w:type="dxa" w:w="80"/>
              <w:left w:type="dxa" w:w="100"/>
              <w:bottom w:type="dxa" w:w="80"/>
              <w:right w:type="dxa" w:w="100"/>
            </w:tcMar>
          </w:tcPr>
          <w:p>
            <w:r>
              <w:rPr>
                <w:b w:val="false"/>
                <w:bCs w:val="false"/>
                <w:sz w:val="20"/>
                <w:szCs w:val="20"/>
              </w:rPr>
              <w:t xml:space="preserve">HPE ProLiant DL380 Gen11, 2U rack server, iLO 6 management</w:t>
            </w:r>
          </w:p>
        </w:tc>
      </w:tr>
      <w:tr>
        <w:tc>
          <w:tcPr>
            <w:tcW w:type="dxa" w:w="2400"/>
            <w:shd w:fill="013C5B" w:val="clear"/>
            <w:tcMar>
              <w:top w:type="dxa" w:w="80"/>
              <w:left w:type="dxa" w:w="100"/>
              <w:bottom w:type="dxa" w:w="80"/>
              <w:right w:type="dxa" w:w="100"/>
            </w:tcMar>
          </w:tcPr>
          <w:p>
            <w:r>
              <w:rPr>
                <w:b/>
                <w:bCs/>
                <w:color w:val="FFFFFF"/>
                <w:sz w:val="20"/>
                <w:szCs w:val="20"/>
              </w:rPr>
              <w:t xml:space="preserve">Revision</w:t>
            </w:r>
          </w:p>
        </w:tc>
        <w:tc>
          <w:tcPr>
            <w:tcW w:type="dxa" w:w="6720"/>
            <w:tcMar>
              <w:top w:type="dxa" w:w="80"/>
              <w:left w:type="dxa" w:w="100"/>
              <w:bottom w:type="dxa" w:w="80"/>
              <w:right w:type="dxa" w:w="100"/>
            </w:tcMar>
          </w:tcPr>
          <w:p>
            <w:r>
              <w:rPr>
                <w:b w:val="false"/>
                <w:bCs w:val="false"/>
                <w:sz w:val="20"/>
                <w:szCs w:val="20"/>
              </w:rPr>
              <w:t xml:space="preserve">01</w:t>
            </w:r>
          </w:p>
        </w:tc>
      </w:tr>
      <w:tr>
        <w:tc>
          <w:tcPr>
            <w:tcW w:type="dxa" w:w="2400"/>
            <w:shd w:fill="013C5B" w:val="clear"/>
            <w:tcMar>
              <w:top w:type="dxa" w:w="80"/>
              <w:left w:type="dxa" w:w="100"/>
              <w:bottom w:type="dxa" w:w="80"/>
              <w:right w:type="dxa" w:w="100"/>
            </w:tcMar>
          </w:tcPr>
          <w:p>
            <w:r>
              <w:rPr>
                <w:b/>
                <w:bCs/>
                <w:color w:val="FFFFFF"/>
                <w:sz w:val="20"/>
                <w:szCs w:val="20"/>
              </w:rPr>
              <w:t xml:space="preserve">Effective Date</w:t>
            </w:r>
          </w:p>
        </w:tc>
        <w:tc>
          <w:tcPr>
            <w:tcW w:type="dxa" w:w="6720"/>
            <w:tcMar>
              <w:top w:type="dxa" w:w="80"/>
              <w:left w:type="dxa" w:w="100"/>
              <w:bottom w:type="dxa" w:w="80"/>
              <w:right w:type="dxa" w:w="100"/>
            </w:tcMar>
          </w:tcPr>
          <w:p>
            <w:r>
              <w:rPr>
                <w:b w:val="false"/>
                <w:bCs w:val="false"/>
                <w:sz w:val="20"/>
                <w:szCs w:val="20"/>
              </w:rPr>
              <w:t xml:space="preserve">2026-07-29</w:t>
            </w:r>
          </w:p>
        </w:tc>
      </w:tr>
      <w:tr>
        <w:tc>
          <w:tcPr>
            <w:tcW w:type="dxa" w:w="2400"/>
            <w:shd w:fill="013C5B" w:val="clear"/>
            <w:tcMar>
              <w:top w:type="dxa" w:w="80"/>
              <w:left w:type="dxa" w:w="100"/>
              <w:bottom w:type="dxa" w:w="80"/>
              <w:right w:type="dxa" w:w="100"/>
            </w:tcMar>
          </w:tcPr>
          <w:p>
            <w:r>
              <w:rPr>
                <w:b/>
                <w:bCs/>
                <w:color w:val="FFFFFF"/>
                <w:sz w:val="20"/>
                <w:szCs w:val="20"/>
              </w:rPr>
              <w:t xml:space="preserve">Audience</w:t>
            </w:r>
          </w:p>
        </w:tc>
        <w:tc>
          <w:tcPr>
            <w:tcW w:type="dxa" w:w="6720"/>
            <w:tcMar>
              <w:top w:type="dxa" w:w="80"/>
              <w:left w:type="dxa" w:w="100"/>
              <w:bottom w:type="dxa" w:w="80"/>
              <w:right w:type="dxa" w:w="100"/>
            </w:tcMar>
          </w:tcPr>
          <w:p>
            <w:r>
              <w:rPr>
                <w:b w:val="false"/>
                <w:bCs w:val="false"/>
                <w:sz w:val="20"/>
                <w:szCs w:val="20"/>
              </w:rPr>
              <w:t xml:space="preserve">Data center technicians / systems administrators performing new server deployment</w:t>
            </w:r>
          </w:p>
        </w:tc>
      </w:tr>
    </w:tbl>
    <w:p>
      <w:pPr>
        <w:pStyle w:val="Heading1"/>
        <w:spacing w:after="140" w:before="320"/>
      </w:pPr>
      <w:r>
        <w:t xml:space="preserve">1. Purpose and Scope</w:t>
      </w:r>
    </w:p>
    <w:p>
      <w:pPr>
        <w:spacing w:after="120"/>
      </w:pPr>
      <w:r>
        <w:t xml:space="preserve">This guide describes the standard procedure for physically installing an HPE ProLiant DL380 Gen11 rack server and bringing it into service, from rack mounting through operating system deployment and post-install verification.</w:t>
      </w:r>
    </w:p>
    <w:p>
      <w:pPr>
        <w:spacing w:after="120"/>
      </w:pPr>
      <w:r>
        <w:t xml:space="preserve">The DL380 Gen11 is a 2U, dual-processor rack server supporting DDR5 memory, PCIe Gen5 expansion, and HPE Integrated Lights-Out 6 (iLO 6) embedded management. This guide assumes the server, rail kit, and any options (drives, RAID controller, OCP network adapter) have already been racked in the same enclosure or are on hand, and that a supported operating system installation source is available.</w:t>
      </w:r>
    </w:p>
    <w:p>
      <w:pPr>
        <w:pStyle w:val="Heading1"/>
        <w:spacing w:after="140" w:before="320"/>
      </w:pPr>
      <w:r>
        <w:t xml:space="preserve">2. Prerequisites and Required Materials</w:t>
      </w:r>
    </w:p>
    <w:p>
      <w:pPr>
        <w:pStyle w:val="ListParagraph"/>
        <w:numPr>
          <w:ilvl w:val="0"/>
          <w:numId w:val="2"/>
        </w:numPr>
        <w:spacing w:after="60"/>
      </w:pPr>
      <w:r>
        <w:t xml:space="preserve">HPE ProLiant DL380 Gen11 server unit and matching HPE Easy Install Rail Kit</w:t>
      </w:r>
    </w:p>
    <w:p>
      <w:pPr>
        <w:pStyle w:val="ListParagraph"/>
        <w:numPr>
          <w:ilvl w:val="0"/>
          <w:numId w:val="2"/>
        </w:numPr>
        <w:spacing w:after="60"/>
      </w:pPr>
      <w:r>
        <w:t xml:space="preserve">Rack space confirmed: 2U, with adequate front/rear clearance for airflow and cable management</w:t>
      </w:r>
    </w:p>
    <w:p>
      <w:pPr>
        <w:pStyle w:val="ListParagraph"/>
        <w:numPr>
          <w:ilvl w:val="0"/>
          <w:numId w:val="2"/>
        </w:numPr>
        <w:spacing w:after="60"/>
      </w:pPr>
      <w:r>
        <w:t xml:space="preserve">Two people (or a lift) for unracking/racking — a fully configured 2U server can weigh 30–40+ lb (14–18+ kg)</w:t>
      </w:r>
    </w:p>
    <w:p>
      <w:pPr>
        <w:pStyle w:val="ListParagraph"/>
        <w:numPr>
          <w:ilvl w:val="0"/>
          <w:numId w:val="2"/>
        </w:numPr>
        <w:spacing w:after="60"/>
      </w:pPr>
      <w:r>
        <w:t xml:space="preserve">Network cabling (management and data), and console access (laptop, KVM, or crash cart)</w:t>
      </w:r>
    </w:p>
    <w:p>
      <w:pPr>
        <w:pStyle w:val="ListParagraph"/>
        <w:numPr>
          <w:ilvl w:val="0"/>
          <w:numId w:val="2"/>
        </w:numPr>
        <w:spacing w:after="60"/>
      </w:pPr>
      <w:r>
        <w:t xml:space="preserve">Redundant power cables matched to the installed power supply units and site PDU/receptacle type</w:t>
      </w:r>
    </w:p>
    <w:p>
      <w:pPr>
        <w:pStyle w:val="ListParagraph"/>
        <w:numPr>
          <w:ilvl w:val="0"/>
          <w:numId w:val="2"/>
        </w:numPr>
        <w:spacing w:after="60"/>
      </w:pPr>
      <w:r>
        <w:t xml:space="preserve">Operating system installation media or a network-based deployment source (e.g., HPE Intelligent Provisioning, PXE, or USB media)</w:t>
      </w:r>
    </w:p>
    <w:p>
      <w:pPr>
        <w:pStyle w:val="ListParagraph"/>
        <w:numPr>
          <w:ilvl w:val="0"/>
          <w:numId w:val="2"/>
        </w:numPr>
        <w:spacing w:after="60"/>
      </w:pPr>
      <w:r>
        <w:t xml:space="preserve">iLO license information, if advanced iLO features are required</w:t>
      </w:r>
    </w:p>
    <w:p>
      <w:pPr>
        <w:pStyle w:val="ListParagraph"/>
        <w:numPr>
          <w:ilvl w:val="0"/>
          <w:numId w:val="2"/>
        </w:numPr>
        <w:spacing w:after="60"/>
      </w:pPr>
      <w:r>
        <w:t xml:space="preserve">ESD wrist strap and standard antistatic precautions</w:t>
      </w:r>
    </w:p>
    <w:p>
      <w:pPr>
        <w:pStyle w:val="ListParagraph"/>
        <w:numPr>
          <w:ilvl w:val="0"/>
          <w:numId w:val="2"/>
        </w:numPr>
        <w:spacing w:after="60"/>
      </w:pPr>
      <w:r>
        <w:t xml:space="preserve">Asset tag / naming and IP addressing information from the site's change record</w:t>
      </w:r>
    </w:p>
    <w:p>
      <w:pPr>
        <w:pStyle w:val="Heading1"/>
        <w:spacing w:after="140" w:before="320"/>
      </w:pPr>
      <w:r>
        <w:t xml:space="preserve">3. Rack Installation</w:t>
      </w:r>
    </w:p>
    <w:p>
      <w:pPr>
        <w:spacing w:after="120"/>
      </w:pPr>
      <w:r>
        <w:t xml:space="preserve">The DL380 Gen11 uses HPE's tool-less Easy Install Rail Kit for most standard rack types.</w:t>
      </w:r>
    </w:p>
    <w:p>
      <w:pPr>
        <w:pStyle w:val="ListParagraph"/>
        <w:numPr>
          <w:ilvl w:val="0"/>
          <w:numId w:val="3"/>
        </w:numPr>
        <w:spacing w:after="140"/>
      </w:pPr>
      <w:r>
        <w:rPr>
          <w:b/>
          <w:bCs/>
        </w:rPr>
        <w:t xml:space="preserve">Verify rack capacity. </w:t>
      </w:r>
      <w:r>
        <w:t xml:space="preserve">Confirm the target rack has sufficient remaining load capacity and 2U of contiguous free space at the intended mounting location.</w:t>
      </w:r>
    </w:p>
    <w:p>
      <w:pPr>
        <w:pStyle w:val="ListParagraph"/>
        <w:numPr>
          <w:ilvl w:val="0"/>
          <w:numId w:val="3"/>
        </w:numPr>
        <w:spacing w:after="140"/>
      </w:pPr>
      <w:r>
        <w:rPr>
          <w:b/>
          <w:bCs/>
        </w:rPr>
        <w:t xml:space="preserve">Install the rail kit. </w:t>
      </w:r>
      <w:r>
        <w:t xml:space="preserve">Attach the inner rail members to the chassis sides, then mount the outer rail assemblies to the rack posts, adjusting for rack depth per the rail kit instructions.</w:t>
      </w:r>
    </w:p>
    <w:p>
      <w:pPr>
        <w:pStyle w:val="ListParagraph"/>
        <w:numPr>
          <w:ilvl w:val="0"/>
          <w:numId w:val="3"/>
        </w:numPr>
        <w:spacing w:after="140"/>
      </w:pPr>
      <w:r>
        <w:rPr>
          <w:b/>
          <w:bCs/>
        </w:rPr>
        <w:t xml:space="preserve">Lift and engage the chassis. </w:t>
      </w:r>
      <w:r>
        <w:t xml:space="preserve">With adequate lifting support, align the chassis rails with the mounted outer rails and slide the server in until it engages and locks.</w:t>
      </w:r>
    </w:p>
    <w:p>
      <w:pPr>
        <w:pStyle w:val="ListParagraph"/>
        <w:numPr>
          <w:ilvl w:val="0"/>
          <w:numId w:val="3"/>
        </w:numPr>
        <w:spacing w:after="140"/>
      </w:pPr>
      <w:r>
        <w:rPr>
          <w:b/>
          <w:bCs/>
        </w:rPr>
        <w:t xml:space="preserve">Verify secure seating. </w:t>
      </w:r>
      <w:r>
        <w:t xml:space="preserve">Confirm the server is fully seated, level, and that the rail latches are engaged before releasing support.</w:t>
      </w:r>
    </w:p>
    <w:p>
      <w:pPr>
        <w:pStyle w:val="ListParagraph"/>
        <w:numPr>
          <w:ilvl w:val="0"/>
          <w:numId w:val="3"/>
        </w:numPr>
        <w:spacing w:after="140"/>
      </w:pPr>
      <w:r>
        <w:rPr>
          <w:b/>
          <w:bCs/>
        </w:rPr>
        <w:t xml:space="preserve">Install cable management arm (if used). </w:t>
      </w:r>
      <w:r>
        <w:t xml:space="preserve">Attach the cable management arm to the rear of the rails per kit instructions to keep cabling clear of the slide path.</w:t>
      </w:r>
    </w:p>
    <w:p>
      <w:pPr>
        <w:pBdr>
          <w:left w:val="single" w:color="01A982" w:sz="18" w:space="8"/>
        </w:pBdr>
        <w:shd w:fill="EAF7F3" w:val="clear"/>
        <w:spacing w:after="160" w:before="80"/>
        <w:ind w:left="100"/>
      </w:pPr>
      <w:r>
        <w:rPr>
          <w:b/>
          <w:bCs/>
          <w:sz w:val="20"/>
          <w:szCs w:val="20"/>
        </w:rPr>
        <w:t xml:space="preserve">NOTE: </w:t>
      </w:r>
      <w:r>
        <w:rPr>
          <w:sz w:val="20"/>
          <w:szCs w:val="20"/>
        </w:rPr>
        <w:t xml:space="preserve">Do not fully rely on a single technician to rack or unrack a loaded 2U chassis. Follow site lifting/ergonomic policy.</w:t>
      </w:r>
    </w:p>
    <w:p>
      <w:pPr>
        <w:pStyle w:val="Heading1"/>
        <w:spacing w:after="140" w:before="320"/>
      </w:pPr>
      <w:r>
        <w:t xml:space="preserve">4. Cabling</w:t>
      </w:r>
    </w:p>
    <w:p>
      <w:pPr>
        <w:pStyle w:val="ListParagraph"/>
        <w:numPr>
          <w:ilvl w:val="0"/>
          <w:numId w:val="3"/>
        </w:numPr>
        <w:spacing w:after="140"/>
      </w:pPr>
      <w:r>
        <w:rPr>
          <w:b/>
          <w:bCs/>
        </w:rPr>
        <w:t xml:space="preserve">Connect power. </w:t>
      </w:r>
      <w:r>
        <w:t xml:space="preserve">Connect each power supply unit (PSU) to a separate, independently protected power source (separate PDU/circuit) to preserve redundancy. Do not power on yet.</w:t>
      </w:r>
    </w:p>
    <w:p>
      <w:pPr>
        <w:pStyle w:val="ListParagraph"/>
        <w:numPr>
          <w:ilvl w:val="0"/>
          <w:numId w:val="3"/>
        </w:numPr>
        <w:spacing w:after="140"/>
      </w:pPr>
      <w:r>
        <w:rPr>
          <w:b/>
          <w:bCs/>
        </w:rPr>
        <w:t xml:space="preserve">Connect the iLO management port. </w:t>
      </w:r>
      <w:r>
        <w:t xml:space="preserve">Connect a network cable from the dedicated iLO management (NIC) port to the out-of-band management network/VLAN.</w:t>
      </w:r>
    </w:p>
    <w:p>
      <w:pPr>
        <w:pStyle w:val="ListParagraph"/>
        <w:numPr>
          <w:ilvl w:val="0"/>
          <w:numId w:val="3"/>
        </w:numPr>
        <w:spacing w:after="140"/>
      </w:pPr>
      <w:r>
        <w:rPr>
          <w:b/>
          <w:bCs/>
        </w:rPr>
        <w:t xml:space="preserve">Connect data network interfaces. </w:t>
      </w:r>
      <w:r>
        <w:t xml:space="preserve">Connect production network cabling to the embedded or OCP 3 network adapter ports per the site's network design and cabling standard.</w:t>
      </w:r>
    </w:p>
    <w:p>
      <w:pPr>
        <w:pStyle w:val="ListParagraph"/>
        <w:numPr>
          <w:ilvl w:val="0"/>
          <w:numId w:val="3"/>
        </w:numPr>
        <w:spacing w:after="140"/>
      </w:pPr>
      <w:r>
        <w:rPr>
          <w:b/>
          <w:bCs/>
        </w:rPr>
        <w:t xml:space="preserve">Connect console access (if needed). </w:t>
      </w:r>
      <w:r>
        <w:t xml:space="preserve">Attach a KVM cable, crash cart, or direct monitor/keyboard for initial local console access, if not relying solely on iLO remote console.</w:t>
      </w:r>
    </w:p>
    <w:p>
      <w:pPr>
        <w:pStyle w:val="ListParagraph"/>
        <w:numPr>
          <w:ilvl w:val="0"/>
          <w:numId w:val="3"/>
        </w:numPr>
        <w:spacing w:after="140"/>
      </w:pPr>
      <w:r>
        <w:rPr>
          <w:b/>
          <w:bCs/>
        </w:rPr>
        <w:t xml:space="preserve">Dress and label cables. </w:t>
      </w:r>
      <w:r>
        <w:t xml:space="preserve">Route all cables through the cable management arm, and label each cable at both ends per site standards before power-on.</w:t>
      </w:r>
    </w:p>
    <w:p>
      <w:pPr>
        <w:pStyle w:val="ListParagraph"/>
        <w:numPr>
          <w:ilvl w:val="0"/>
          <w:numId w:val="3"/>
        </w:numPr>
        <w:spacing w:after="140"/>
      </w:pPr>
      <w:r>
        <w:rPr>
          <w:b/>
          <w:bCs/>
        </w:rPr>
        <w:t xml:space="preserve">Power on. </w:t>
      </w:r>
      <w:r>
        <w:t xml:space="preserve">Once cabling and rack seating are confirmed, connect power cords last and power on the server.</w:t>
      </w:r>
    </w:p>
    <w:p>
      <w:pPr>
        <w:pStyle w:val="Heading1"/>
        <w:spacing w:after="140" w:before="320"/>
      </w:pPr>
      <w:r>
        <w:t xml:space="preserve">5. BIOS (UEFI System Utilities) Setup</w:t>
      </w:r>
    </w:p>
    <w:p>
      <w:pPr>
        <w:spacing w:after="120"/>
      </w:pPr>
      <w:r>
        <w:t xml:space="preserve">The DL380 Gen11 uses HPE's UEFI-based RBSU (ROM-Based Setup Utility), accessed by pressing F9 during POST, or remotely through the iLO virtual console.</w:t>
      </w:r>
    </w:p>
    <w:p>
      <w:pPr>
        <w:pStyle w:val="ListParagraph"/>
        <w:numPr>
          <w:ilvl w:val="0"/>
          <w:numId w:val="3"/>
        </w:numPr>
        <w:spacing w:after="140"/>
      </w:pPr>
      <w:r>
        <w:rPr>
          <w:b/>
          <w:bCs/>
        </w:rPr>
        <w:t xml:space="preserve">Enter System Utilities. </w:t>
      </w:r>
      <w:r>
        <w:t xml:space="preserve">During POST, press F9 to enter the UEFI System Utilities (or launch a remote console session through iLO and reboot).</w:t>
      </w:r>
    </w:p>
    <w:p>
      <w:pPr>
        <w:pStyle w:val="ListParagraph"/>
        <w:numPr>
          <w:ilvl w:val="0"/>
          <w:numId w:val="3"/>
        </w:numPr>
        <w:spacing w:after="140"/>
      </w:pPr>
      <w:r>
        <w:rPr>
          <w:b/>
          <w:bCs/>
        </w:rPr>
        <w:t xml:space="preserve">Set system date/time. </w:t>
      </w:r>
      <w:r>
        <w:t xml:space="preserve">Under System Configuration, confirm or set the correct date, time, and time zone.</w:t>
      </w:r>
    </w:p>
    <w:p>
      <w:pPr>
        <w:pStyle w:val="ListParagraph"/>
        <w:numPr>
          <w:ilvl w:val="0"/>
          <w:numId w:val="3"/>
        </w:numPr>
        <w:spacing w:after="140"/>
      </w:pPr>
      <w:r>
        <w:rPr>
          <w:b/>
          <w:bCs/>
        </w:rPr>
        <w:t xml:space="preserve">Review boot mode. </w:t>
      </w:r>
      <w:r>
        <w:t xml:space="preserve">Confirm Boot Mode is set to UEFI (recommended for Gen11) unless a specific application requires Legacy BIOS mode.</w:t>
      </w:r>
    </w:p>
    <w:p>
      <w:pPr>
        <w:pStyle w:val="ListParagraph"/>
        <w:numPr>
          <w:ilvl w:val="0"/>
          <w:numId w:val="3"/>
        </w:numPr>
        <w:spacing w:after="140"/>
      </w:pPr>
      <w:r>
        <w:rPr>
          <w:b/>
          <w:bCs/>
        </w:rPr>
        <w:t xml:space="preserve">Configure boot order. </w:t>
      </w:r>
      <w:r>
        <w:t xml:space="preserve">Set the intended boot device order (e.g., RAID logical drive first, followed by removable/network media as needed for OS installation).</w:t>
      </w:r>
    </w:p>
    <w:p>
      <w:pPr>
        <w:pStyle w:val="ListParagraph"/>
        <w:numPr>
          <w:ilvl w:val="0"/>
          <w:numId w:val="3"/>
        </w:numPr>
        <w:spacing w:after="140"/>
      </w:pPr>
      <w:r>
        <w:rPr>
          <w:b/>
          <w:bCs/>
        </w:rPr>
        <w:t xml:space="preserve">Review memory and processor options. </w:t>
      </w:r>
      <w:r>
        <w:t xml:space="preserve">Confirm installed DDR5 DIMMs and both processors (if dual-socket) are recognized with no configuration errors reported.</w:t>
      </w:r>
    </w:p>
    <w:p>
      <w:pPr>
        <w:pStyle w:val="ListParagraph"/>
        <w:numPr>
          <w:ilvl w:val="0"/>
          <w:numId w:val="3"/>
        </w:numPr>
        <w:spacing w:after="140"/>
      </w:pPr>
      <w:r>
        <w:rPr>
          <w:b/>
          <w:bCs/>
        </w:rPr>
        <w:t xml:space="preserve">Save and exit. </w:t>
      </w:r>
      <w:r>
        <w:t xml:space="preserve">Save changes and exit System Utilities; the server will reboot.</w:t>
      </w:r>
    </w:p>
    <w:p>
      <w:pPr>
        <w:pStyle w:val="Heading1"/>
        <w:spacing w:after="140" w:before="320"/>
      </w:pPr>
      <w:r>
        <w:t xml:space="preserve">6. iLO Configuration</w:t>
      </w:r>
    </w:p>
    <w:p>
      <w:pPr>
        <w:spacing w:after="120"/>
      </w:pPr>
      <w:r>
        <w:t xml:space="preserve">HPE iLO 6 provides out-of-band management independent of the host operating system, including remote console, virtual media, and health monitoring.</w:t>
      </w:r>
    </w:p>
    <w:p>
      <w:pPr>
        <w:pStyle w:val="ListParagraph"/>
        <w:numPr>
          <w:ilvl w:val="0"/>
          <w:numId w:val="3"/>
        </w:numPr>
        <w:spacing w:after="140"/>
      </w:pPr>
      <w:r>
        <w:rPr>
          <w:b/>
          <w:bCs/>
        </w:rPr>
        <w:t xml:space="preserve">Access iLO for the first time. </w:t>
      </w:r>
      <w:r>
        <w:t xml:space="preserve">Connect to the iLO management network and browse to the iLO IP address (obtained via DHCP by default, or set statically through the F9 RBSU → Network Options).</w:t>
      </w:r>
    </w:p>
    <w:p>
      <w:pPr>
        <w:pStyle w:val="ListParagraph"/>
        <w:numPr>
          <w:ilvl w:val="0"/>
          <w:numId w:val="3"/>
        </w:numPr>
        <w:spacing w:after="140"/>
      </w:pPr>
      <w:r>
        <w:rPr>
          <w:b/>
          <w:bCs/>
        </w:rPr>
        <w:t xml:space="preserve">Log in with factory credentials. </w:t>
      </w:r>
      <w:r>
        <w:t xml:space="preserve">Use the default administrator account and unique factory password printed on the pull tab on the front of the server; change this password immediately on first login.</w:t>
      </w:r>
    </w:p>
    <w:p>
      <w:pPr>
        <w:pStyle w:val="ListParagraph"/>
        <w:numPr>
          <w:ilvl w:val="0"/>
          <w:numId w:val="3"/>
        </w:numPr>
        <w:spacing w:after="140"/>
      </w:pPr>
      <w:r>
        <w:rPr>
          <w:b/>
          <w:bCs/>
        </w:rPr>
        <w:t xml:space="preserve">Configure network settings. </w:t>
      </w:r>
      <w:r>
        <w:t xml:space="preserve">Set a static IP, subnet, gateway, and DNS for the iLO interface (or confirm DHCP reservation), matching the site's out-of-band management addressing plan.</w:t>
      </w:r>
    </w:p>
    <w:p>
      <w:pPr>
        <w:pStyle w:val="ListParagraph"/>
        <w:numPr>
          <w:ilvl w:val="0"/>
          <w:numId w:val="3"/>
        </w:numPr>
        <w:spacing w:after="140"/>
      </w:pPr>
      <w:r>
        <w:rPr>
          <w:b/>
          <w:bCs/>
        </w:rPr>
        <w:t xml:space="preserve">Set hostname and DNS name. </w:t>
      </w:r>
      <w:r>
        <w:t xml:space="preserve">Assign the iLO hostname per the site naming convention so it resolves correctly in DNS.</w:t>
      </w:r>
    </w:p>
    <w:p>
      <w:pPr>
        <w:pStyle w:val="ListParagraph"/>
        <w:numPr>
          <w:ilvl w:val="0"/>
          <w:numId w:val="3"/>
        </w:numPr>
        <w:spacing w:after="140"/>
      </w:pPr>
      <w:r>
        <w:rPr>
          <w:b/>
          <w:bCs/>
        </w:rPr>
        <w:t xml:space="preserve">Configure administrative accounts. </w:t>
      </w:r>
      <w:r>
        <w:t xml:space="preserve">Create named administrative accounts for each engineer per site policy, and disable or restrict the default account as required by security policy.</w:t>
      </w:r>
    </w:p>
    <w:p>
      <w:pPr>
        <w:pStyle w:val="ListParagraph"/>
        <w:numPr>
          <w:ilvl w:val="0"/>
          <w:numId w:val="3"/>
        </w:numPr>
        <w:spacing w:after="140"/>
      </w:pPr>
      <w:r>
        <w:rPr>
          <w:b/>
          <w:bCs/>
        </w:rPr>
        <w:t xml:space="preserve">Configure alerting. </w:t>
      </w:r>
      <w:r>
        <w:t xml:space="preserve">Set up SNMP traps, email (SMTP) alerting, or Redfish event subscriptions as required for the site's monitoring platform.</w:t>
      </w:r>
    </w:p>
    <w:p>
      <w:pPr>
        <w:pStyle w:val="ListParagraph"/>
        <w:numPr>
          <w:ilvl w:val="0"/>
          <w:numId w:val="3"/>
        </w:numPr>
        <w:spacing w:after="140"/>
      </w:pPr>
      <w:r>
        <w:rPr>
          <w:b/>
          <w:bCs/>
        </w:rPr>
        <w:t xml:space="preserve">Apply licensing. </w:t>
      </w:r>
      <w:r>
        <w:t xml:space="preserve">Install an iLO Advanced license if features such as remote console beyond the included tier, or advanced security features, are required.</w:t>
      </w:r>
    </w:p>
    <w:p>
      <w:pPr>
        <w:pBdr>
          <w:left w:val="single" w:color="01A982" w:sz="18" w:space="8"/>
        </w:pBdr>
        <w:shd w:fill="EAF7F3" w:val="clear"/>
        <w:spacing w:after="160" w:before="80"/>
        <w:ind w:left="100"/>
      </w:pPr>
      <w:r>
        <w:rPr>
          <w:b/>
          <w:bCs/>
          <w:sz w:val="20"/>
          <w:szCs w:val="20"/>
        </w:rPr>
        <w:t xml:space="preserve">NOTE: </w:t>
      </w:r>
      <w:r>
        <w:rPr>
          <w:sz w:val="20"/>
          <w:szCs w:val="20"/>
        </w:rPr>
        <w:t xml:space="preserve">Record the iLO IP address, hostname, and administrative account details in the site's asset/CMDB record before proceeding.</w:t>
      </w:r>
    </w:p>
    <w:p>
      <w:pPr>
        <w:pStyle w:val="Heading1"/>
        <w:spacing w:after="140" w:before="320"/>
      </w:pPr>
      <w:r>
        <w:t xml:space="preserve">7. RAID Configuration</w:t>
      </w:r>
    </w:p>
    <w:p>
      <w:pPr>
        <w:spacing w:after="120"/>
      </w:pPr>
      <w:r>
        <w:t xml:space="preserve">Gen11 servers ship with an HPE MR-series (Smart Array) controller option (e.g., MR408i-o, MR416i-o) or embedded SATA/software RAID, depending on configuration. Configure the array before installing the operating system.</w:t>
      </w:r>
    </w:p>
    <w:p>
      <w:pPr>
        <w:pStyle w:val="ListParagraph"/>
        <w:numPr>
          <w:ilvl w:val="0"/>
          <w:numId w:val="3"/>
        </w:numPr>
        <w:spacing w:after="140"/>
      </w:pPr>
      <w:r>
        <w:rPr>
          <w:b/>
          <w:bCs/>
        </w:rPr>
        <w:t xml:space="preserve">Enter the controller configuration utility. </w:t>
      </w:r>
      <w:r>
        <w:t xml:space="preserve">During POST, use the prompted key sequence to enter the Smart Storage Administrator (SSA), or access it through iLO → UEFI System Utilities → System Configuration → controller name.</w:t>
      </w:r>
    </w:p>
    <w:p>
      <w:pPr>
        <w:pStyle w:val="ListParagraph"/>
        <w:numPr>
          <w:ilvl w:val="0"/>
          <w:numId w:val="3"/>
        </w:numPr>
        <w:spacing w:after="140"/>
      </w:pPr>
      <w:r>
        <w:rPr>
          <w:b/>
          <w:bCs/>
        </w:rPr>
        <w:t xml:space="preserve">Verify physical drives. </w:t>
      </w:r>
      <w:r>
        <w:t xml:space="preserve">Confirm all installed physical drives are detected, show a healthy status, and have no pending firmware or predictive-failure alerts.</w:t>
      </w:r>
    </w:p>
    <w:p>
      <w:pPr>
        <w:pStyle w:val="ListParagraph"/>
        <w:numPr>
          <w:ilvl w:val="0"/>
          <w:numId w:val="3"/>
        </w:numPr>
        <w:spacing w:after="140"/>
      </w:pPr>
      <w:r>
        <w:rPr>
          <w:b/>
          <w:bCs/>
        </w:rPr>
        <w:t xml:space="preserve">Create the array. </w:t>
      </w:r>
      <w:r>
        <w:t xml:space="preserve">Select the physical drives for the array and choose the RAID level appropriate for the workload (e.g., RAID 1 for boot, RAID 5/6 or RAID 10 for data, per the site's build standard).</w:t>
      </w:r>
    </w:p>
    <w:p>
      <w:pPr>
        <w:pStyle w:val="ListParagraph"/>
        <w:numPr>
          <w:ilvl w:val="0"/>
          <w:numId w:val="3"/>
        </w:numPr>
        <w:spacing w:after="140"/>
      </w:pPr>
      <w:r>
        <w:rPr>
          <w:b/>
          <w:bCs/>
        </w:rPr>
        <w:t xml:space="preserve">Create the logical drive. </w:t>
      </w:r>
      <w:r>
        <w:t xml:space="preserve">Define the logical drive size, stripe size, and caching policy as specified in the build standard, then create the logical drive.</w:t>
      </w:r>
    </w:p>
    <w:p>
      <w:pPr>
        <w:pStyle w:val="ListParagraph"/>
        <w:numPr>
          <w:ilvl w:val="0"/>
          <w:numId w:val="3"/>
        </w:numPr>
        <w:spacing w:after="140"/>
      </w:pPr>
      <w:r>
        <w:rPr>
          <w:b/>
          <w:bCs/>
        </w:rPr>
        <w:t xml:space="preserve">Assign a boot volume. </w:t>
      </w:r>
      <w:r>
        <w:t xml:space="preserve">If multiple logical drives are created, confirm which logical drive is set as the boot volume in the controller and RBSU boot order.</w:t>
      </w:r>
    </w:p>
    <w:p>
      <w:pPr>
        <w:pStyle w:val="ListParagraph"/>
        <w:numPr>
          <w:ilvl w:val="0"/>
          <w:numId w:val="3"/>
        </w:numPr>
        <w:spacing w:after="140"/>
      </w:pPr>
      <w:r>
        <w:rPr>
          <w:b/>
          <w:bCs/>
        </w:rPr>
        <w:t xml:space="preserve">Save configuration. </w:t>
      </w:r>
      <w:r>
        <w:t xml:space="preserve">Save the array configuration and exit the utility; the server will return to POST.</w:t>
      </w:r>
    </w:p>
    <w:p>
      <w:pPr>
        <w:pStyle w:val="Heading1"/>
        <w:spacing w:after="140" w:before="320"/>
      </w:pPr>
      <w:r>
        <w:t xml:space="preserve">8. Operating System Installation</w:t>
      </w:r>
    </w:p>
    <w:p>
      <w:pPr>
        <w:pStyle w:val="ListParagraph"/>
        <w:numPr>
          <w:ilvl w:val="0"/>
          <w:numId w:val="3"/>
        </w:numPr>
        <w:spacing w:after="140"/>
      </w:pPr>
      <w:r>
        <w:rPr>
          <w:b/>
          <w:bCs/>
        </w:rPr>
        <w:t xml:space="preserve">Choose an installation method. </w:t>
      </w:r>
      <w:r>
        <w:t xml:space="preserve">Use HPE Intelligent Provisioning (F10 during POST) for a guided local install, or boot from network (PXE)/USB media for a scripted or manual install, per the site's standard deployment method.</w:t>
      </w:r>
    </w:p>
    <w:p>
      <w:pPr>
        <w:pStyle w:val="ListParagraph"/>
        <w:numPr>
          <w:ilvl w:val="0"/>
          <w:numId w:val="3"/>
        </w:numPr>
        <w:spacing w:after="140"/>
      </w:pPr>
      <w:r>
        <w:rPr>
          <w:b/>
          <w:bCs/>
        </w:rPr>
        <w:t xml:space="preserve">Load storage/network drivers if required. </w:t>
      </w:r>
      <w:r>
        <w:t xml:space="preserve">For some OS versions, load the appropriate HPE-provided storage or network drivers during setup if the installer does not natively detect the RAID controller or NIC.</w:t>
      </w:r>
    </w:p>
    <w:p>
      <w:pPr>
        <w:pStyle w:val="ListParagraph"/>
        <w:numPr>
          <w:ilvl w:val="0"/>
          <w:numId w:val="3"/>
        </w:numPr>
        <w:spacing w:after="140"/>
      </w:pPr>
      <w:r>
        <w:rPr>
          <w:b/>
          <w:bCs/>
        </w:rPr>
        <w:t xml:space="preserve">Select the target volume. </w:t>
      </w:r>
      <w:r>
        <w:t xml:space="preserve">Install the operating system to the boot logical drive created during RAID configuration.</w:t>
      </w:r>
    </w:p>
    <w:p>
      <w:pPr>
        <w:pStyle w:val="ListParagraph"/>
        <w:numPr>
          <w:ilvl w:val="0"/>
          <w:numId w:val="3"/>
        </w:numPr>
        <w:spacing w:after="140"/>
      </w:pPr>
      <w:r>
        <w:rPr>
          <w:b/>
          <w:bCs/>
        </w:rPr>
        <w:t xml:space="preserve">Complete OS setup. </w:t>
      </w:r>
      <w:r>
        <w:t xml:space="preserve">Follow the OS installer's prompts for partitioning, hostname, network configuration (production interfaces), and administrative account creation per the site's build standard.</w:t>
      </w:r>
    </w:p>
    <w:p>
      <w:pPr>
        <w:pStyle w:val="ListParagraph"/>
        <w:numPr>
          <w:ilvl w:val="0"/>
          <w:numId w:val="3"/>
        </w:numPr>
        <w:spacing w:after="140"/>
      </w:pPr>
      <w:r>
        <w:rPr>
          <w:b/>
          <w:bCs/>
        </w:rPr>
        <w:t xml:space="preserve">Install management/monitoring agents. </w:t>
      </w:r>
      <w:r>
        <w:t xml:space="preserve">Install HPE's Agentless Management Service prerequisites or in-OS management agents, plus any site-standard monitoring/patching agents.</w:t>
      </w:r>
    </w:p>
    <w:p>
      <w:pPr>
        <w:pStyle w:val="ListParagraph"/>
        <w:numPr>
          <w:ilvl w:val="0"/>
          <w:numId w:val="3"/>
        </w:numPr>
        <w:spacing w:after="140"/>
      </w:pPr>
      <w:r>
        <w:rPr>
          <w:b/>
          <w:bCs/>
        </w:rPr>
        <w:t xml:space="preserve">Apply OS patches. </w:t>
      </w:r>
      <w:r>
        <w:t xml:space="preserve">Apply current OS patches/updates per the site's patch baseline before placing the server into production.</w:t>
      </w:r>
    </w:p>
    <w:p>
      <w:pPr>
        <w:pStyle w:val="Heading1"/>
        <w:spacing w:after="140" w:before="320"/>
      </w:pPr>
      <w:r>
        <w:t xml:space="preserve">9. Verification</w:t>
      </w:r>
    </w:p>
    <w:p>
      <w:pPr>
        <w:spacing w:after="120"/>
      </w:pPr>
      <w:r>
        <w:t xml:space="preserve">Complete the following checks before handing the server off to application/service owners:</w:t>
      </w:r>
    </w:p>
    <w:p>
      <w:pPr>
        <w:pStyle w:val="ListParagraph"/>
        <w:numPr>
          <w:ilvl w:val="0"/>
          <w:numId w:val="4"/>
        </w:numPr>
        <w:spacing w:after="60"/>
      </w:pPr>
      <w:r>
        <w:t xml:space="preserve">Server is level, fully seated, and rail latches engaged</w:t>
      </w:r>
    </w:p>
    <w:p>
      <w:pPr>
        <w:pStyle w:val="ListParagraph"/>
        <w:numPr>
          <w:ilvl w:val="0"/>
          <w:numId w:val="4"/>
        </w:numPr>
        <w:spacing w:after="60"/>
      </w:pPr>
      <w:r>
        <w:t xml:space="preserve">All power supplies show healthy status with redundant feeds connected</w:t>
      </w:r>
    </w:p>
    <w:p>
      <w:pPr>
        <w:pStyle w:val="ListParagraph"/>
        <w:numPr>
          <w:ilvl w:val="0"/>
          <w:numId w:val="4"/>
        </w:numPr>
        <w:spacing w:after="60"/>
      </w:pPr>
      <w:r>
        <w:t xml:space="preserve">iLO is reachable at its assigned address, hostname resolves in DNS, and default password has been changed</w:t>
      </w:r>
    </w:p>
    <w:p>
      <w:pPr>
        <w:pStyle w:val="ListParagraph"/>
        <w:numPr>
          <w:ilvl w:val="0"/>
          <w:numId w:val="4"/>
        </w:numPr>
        <w:spacing w:after="60"/>
      </w:pPr>
      <w:r>
        <w:t xml:space="preserve">iLO health summary shows no active critical or warning alerts</w:t>
      </w:r>
    </w:p>
    <w:p>
      <w:pPr>
        <w:pStyle w:val="ListParagraph"/>
        <w:numPr>
          <w:ilvl w:val="0"/>
          <w:numId w:val="4"/>
        </w:numPr>
        <w:spacing w:after="60"/>
      </w:pPr>
      <w:r>
        <w:t xml:space="preserve">BIOS/RBSU date, time, and boot order match the build standard</w:t>
      </w:r>
    </w:p>
    <w:p>
      <w:pPr>
        <w:pStyle w:val="ListParagraph"/>
        <w:numPr>
          <w:ilvl w:val="0"/>
          <w:numId w:val="4"/>
        </w:numPr>
        <w:spacing w:after="60"/>
      </w:pPr>
      <w:r>
        <w:t xml:space="preserve">RAID array and logical drive(s) report healthy/optimal status</w:t>
      </w:r>
    </w:p>
    <w:p>
      <w:pPr>
        <w:pStyle w:val="ListParagraph"/>
        <w:numPr>
          <w:ilvl w:val="0"/>
          <w:numId w:val="4"/>
        </w:numPr>
        <w:spacing w:after="60"/>
      </w:pPr>
      <w:r>
        <w:t xml:space="preserve">Operating system is installed, patched to baseline, and boots without error from the intended logical drive</w:t>
      </w:r>
    </w:p>
    <w:p>
      <w:pPr>
        <w:pStyle w:val="ListParagraph"/>
        <w:numPr>
          <w:ilvl w:val="0"/>
          <w:numId w:val="4"/>
        </w:numPr>
        <w:spacing w:after="60"/>
      </w:pPr>
      <w:r>
        <w:t xml:space="preserve">Production and management network interfaces are up, correctly VLAN-tagged, and reachable</w:t>
      </w:r>
    </w:p>
    <w:p>
      <w:pPr>
        <w:pStyle w:val="ListParagraph"/>
        <w:numPr>
          <w:ilvl w:val="0"/>
          <w:numId w:val="4"/>
        </w:numPr>
        <w:spacing w:after="60"/>
      </w:pPr>
      <w:r>
        <w:t xml:space="preserve">Hostname, IP addressing, and asset tag match the change record / CMDB entry</w:t>
      </w:r>
    </w:p>
    <w:p>
      <w:pPr>
        <w:pStyle w:val="ListParagraph"/>
        <w:numPr>
          <w:ilvl w:val="0"/>
          <w:numId w:val="4"/>
        </w:numPr>
        <w:spacing w:after="60"/>
      </w:pPr>
      <w:r>
        <w:t xml:space="preserve">Cabling is dressed, labeled at both ends, and routed through the cable management arm</w:t>
      </w:r>
    </w:p>
    <w:p>
      <w:pPr>
        <w:pStyle w:val="ListParagraph"/>
        <w:numPr>
          <w:ilvl w:val="0"/>
          <w:numId w:val="4"/>
        </w:numPr>
        <w:spacing w:after="60"/>
      </w:pPr>
      <w:r>
        <w:t xml:space="preserve">Server has been added to the site's monitoring and patching systems</w:t>
      </w:r>
    </w:p>
    <w:p>
      <w:pPr>
        <w:pStyle w:val="ListParagraph"/>
        <w:numPr>
          <w:ilvl w:val="0"/>
          <w:numId w:val="4"/>
        </w:numPr>
        <w:spacing w:after="60"/>
      </w:pPr>
      <w:r>
        <w:t xml:space="preserve">Change record updated and closed; handoff documentation provided to the service owner</w:t>
      </w:r>
    </w:p>
    <w:p>
      <w:pPr>
        <w:pStyle w:val="Heading1"/>
        <w:spacing w:after="140" w:before="320"/>
      </w:pPr>
      <w:r>
        <w:t xml:space="preserve">10. Revision History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3920"/>
      </w:tblGrid>
      <w:tr>
        <w:trPr>
          <w:tblHeader/>
        </w:trPr>
        <w:tc>
          <w:tcPr>
            <w:tcW w:type="dxa" w:w="1000"/>
            <w:shd w:fill="013C5B" w:val="clear"/>
            <w:tcMar>
              <w:top w:type="dxa" w:w="80"/>
              <w:left w:type="dxa" w:w="100"/>
              <w:bottom w:type="dxa" w:w="80"/>
              <w:right w:type="dxa" w:w="100"/>
            </w:tcMar>
          </w:tcPr>
          <w:p>
            <w:r>
              <w:rPr>
                <w:b/>
                <w:bCs/>
                <w:color w:val="FFFFFF"/>
                <w:sz w:val="20"/>
                <w:szCs w:val="20"/>
              </w:rPr>
              <w:t xml:space="preserve">Rev.</w:t>
            </w:r>
          </w:p>
        </w:tc>
        <w:tc>
          <w:tcPr>
            <w:tcW w:type="dxa" w:w="1600"/>
            <w:shd w:fill="013C5B" w:val="clear"/>
            <w:tcMar>
              <w:top w:type="dxa" w:w="80"/>
              <w:left w:type="dxa" w:w="100"/>
              <w:bottom w:type="dxa" w:w="80"/>
              <w:right w:type="dxa" w:w="100"/>
            </w:tcMar>
          </w:tcPr>
          <w:p>
            <w:r>
              <w:rPr>
                <w:b/>
                <w:bCs/>
                <w:color w:val="FFFFFF"/>
                <w:sz w:val="20"/>
                <w:szCs w:val="20"/>
              </w:rPr>
              <w:t xml:space="preserve">Date</w:t>
            </w:r>
          </w:p>
        </w:tc>
        <w:tc>
          <w:tcPr>
            <w:tcW w:type="dxa" w:w="2600"/>
            <w:shd w:fill="013C5B" w:val="clear"/>
            <w:tcMar>
              <w:top w:type="dxa" w:w="80"/>
              <w:left w:type="dxa" w:w="100"/>
              <w:bottom w:type="dxa" w:w="80"/>
              <w:right w:type="dxa" w:w="100"/>
            </w:tcMar>
          </w:tcPr>
          <w:p>
            <w:r>
              <w:rPr>
                <w:b/>
                <w:bCs/>
                <w:color w:val="FFFFFF"/>
                <w:sz w:val="20"/>
                <w:szCs w:val="20"/>
              </w:rPr>
              <w:t xml:space="preserve">Author</w:t>
            </w:r>
          </w:p>
        </w:tc>
        <w:tc>
          <w:tcPr>
            <w:tcW w:type="dxa" w:w="3920"/>
            <w:shd w:fill="013C5B" w:val="clear"/>
            <w:tcMar>
              <w:top w:type="dxa" w:w="80"/>
              <w:left w:type="dxa" w:w="100"/>
              <w:bottom w:type="dxa" w:w="80"/>
              <w:right w:type="dxa" w:w="100"/>
            </w:tcMar>
          </w:tcPr>
          <w:p>
            <w:r>
              <w:rPr>
                <w:b/>
                <w:bCs/>
                <w:color w:val="FFFFFF"/>
                <w:sz w:val="20"/>
                <w:szCs w:val="20"/>
              </w:rPr>
              <w:t xml:space="preserve">Description of Change</w:t>
            </w:r>
          </w:p>
        </w:tc>
      </w:tr>
      <w:tr>
        <w:trPr>
          <w:tblHeader w:val="false"/>
        </w:trPr>
        <w:tc>
          <w:tcPr>
            <w:tcW w:type="dxa" w:w="1000"/>
            <w:tcMar>
              <w:top w:type="dxa" w:w="80"/>
              <w:left w:type="dxa" w:w="100"/>
              <w:bottom w:type="dxa" w:w="80"/>
              <w:right w:type="dxa" w:w="100"/>
            </w:tcMar>
          </w:tcPr>
          <w:p>
            <w:r>
              <w:rPr>
                <w:b w:val="false"/>
                <w:bCs w:val="false"/>
                <w:sz w:val="20"/>
                <w:szCs w:val="20"/>
              </w:rPr>
              <w:t xml:space="preserve">00</w:t>
            </w:r>
          </w:p>
        </w:tc>
        <w:tc>
          <w:tcPr>
            <w:tcW w:type="dxa" w:w="1600"/>
            <w:tcMar>
              <w:top w:type="dxa" w:w="80"/>
              <w:left w:type="dxa" w:w="100"/>
              <w:bottom w:type="dxa" w:w="80"/>
              <w:right w:type="dxa" w:w="100"/>
            </w:tcMar>
          </w:tcPr>
          <w:p>
            <w:r>
              <w:rPr>
                <w:b w:val="false"/>
                <w:bCs w:val="false"/>
                <w:sz w:val="20"/>
                <w:szCs w:val="20"/>
              </w:rPr>
              <w:t xml:space="preserve">2026-03-18</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Initial release covering rack install through OS deployment.</w:t>
            </w:r>
          </w:p>
        </w:tc>
      </w:tr>
      <w:tr>
        <w:trPr>
          <w:tblHeader w:val="false"/>
        </w:trPr>
        <w:tc>
          <w:tcPr>
            <w:tcW w:type="dxa" w:w="1000"/>
            <w:tcMar>
              <w:top w:type="dxa" w:w="80"/>
              <w:left w:type="dxa" w:w="100"/>
              <w:bottom w:type="dxa" w:w="80"/>
              <w:right w:type="dxa" w:w="100"/>
            </w:tcMar>
          </w:tcPr>
          <w:p>
            <w:r>
              <w:rPr>
                <w:b w:val="false"/>
                <w:bCs w:val="false"/>
                <w:sz w:val="20"/>
                <w:szCs w:val="20"/>
              </w:rPr>
              <w:t xml:space="preserve">01</w:t>
            </w:r>
          </w:p>
        </w:tc>
        <w:tc>
          <w:tcPr>
            <w:tcW w:type="dxa" w:w="1600"/>
            <w:tcMar>
              <w:top w:type="dxa" w:w="80"/>
              <w:left w:type="dxa" w:w="100"/>
              <w:bottom w:type="dxa" w:w="80"/>
              <w:right w:type="dxa" w:w="100"/>
            </w:tcMar>
          </w:tcPr>
          <w:p>
            <w:r>
              <w:rPr>
                <w:b w:val="false"/>
                <w:bCs w:val="false"/>
                <w:sz w:val="20"/>
                <w:szCs w:val="20"/>
              </w:rPr>
              <w:t xml:space="preserve">2026-07-29</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Added RAID configuration detail for MR-series controllers and expanded post-install verification checklist.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abstractNum w:abstractNumId="4"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13C5B" w:sz="6" w:space="4"/>
      </w:pBdr>
      <w:spacing w:after="140" w:before="320"/>
    </w:pPr>
    <w:rPr>
      <w:b/>
      <w:bCs/>
      <w:color w:val="013C5B"/>
      <w:sz w:val="26"/>
      <w:szCs w:val="26"/>
    </w:rPr>
  </w:style>
  <w:style w:type="paragraph" w:styleId="Heading2">
    <w:name w:val="Heading 2"/>
    <w:basedOn w:val="Normal"/>
    <w:next w:val="Normal"/>
    <w:qFormat/>
    <w:pPr>
      <w:spacing w:after="100" w:before="200"/>
    </w:pPr>
    <w:rPr>
      <w:b/>
      <w:bCs/>
      <w:color w:val="01A9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2026-07-29T18:43:03.429Z</dcterms:created>
  <dcterms:modified xsi:type="dcterms:W3CDTF">2026-07-29T18:43:03.499Z</dcterms:modified>
</cp:coreProperties>
</file>

<file path=docProps/custom.xml><?xml version="1.0" encoding="utf-8"?>
<Properties xmlns="http://schemas.openxmlformats.org/officeDocument/2006/custom-properties" xmlns:vt="http://schemas.openxmlformats.org/officeDocument/2006/docPropsVTypes"/>
</file>