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top w:val="single" w:color="E8A33D" w:sz="6" w:space="4"/>
          <w:bottom w:val="single" w:color="E8A33D" w:sz="6" w:space="4"/>
          <w:left w:val="single" w:color="E8A33D" w:sz="6" w:space="4"/>
          <w:right w:val="single" w:color="E8A33D" w:sz="6" w:space="4"/>
        </w:pBdr>
        <w:shd w:fill="FFF4E5" w:val="clear"/>
        <w:spacing w:after="260"/>
      </w:pPr>
      <w:r>
        <w:rPr>
          <w:i/>
          <w:iCs/>
          <w:color w:val="7A4A00"/>
          <w:sz w:val="18"/>
          <w:szCs w:val="18"/>
        </w:rPr>
        <w:t xml:space="preserve">PORTFOLIO SAMPLE — This document was independently authored for demonstration purposes only. It is not an official GE Vernova document and is not affiliated with, endorsed by, or sourced from GE Vernova. All specifications, part numbers, and values are illustrative.</w:t>
      </w:r>
    </w:p>
    <w:p>
      <w:pPr>
        <w:spacing w:after="40"/>
        <w:jc w:val="center"/>
      </w:pPr>
      <w:r>
        <w:rPr>
          <w:b/>
          <w:bCs/>
          <w:color w:val="666666"/>
          <w:sz w:val="20"/>
          <w:szCs w:val="20"/>
        </w:rPr>
        <w:t xml:space="preserve">GE VERNOVA — POWER SEGMENT (PORTFOLIO SAMPLE)</w:t>
      </w:r>
    </w:p>
    <w:p>
      <w:pPr>
        <w:spacing w:after="20"/>
        <w:jc w:val="center"/>
      </w:pPr>
      <w:r>
        <w:rPr>
          <w:b/>
          <w:bCs/>
          <w:color w:val="0078D4"/>
          <w:sz w:val="24"/>
          <w:szCs w:val="24"/>
        </w:rPr>
        <w:t xml:space="preserve">WORK INSTRUCTION</w:t>
      </w:r>
    </w:p>
    <w:p>
      <w:pPr>
        <w:spacing w:after="60"/>
        <w:jc w:val="center"/>
      </w:pPr>
      <w:r>
        <w:rPr>
          <w:b/>
          <w:bCs/>
          <w:color w:val="003057"/>
          <w:sz w:val="40"/>
          <w:szCs w:val="40"/>
        </w:rPr>
        <w:t xml:space="preserve">Gas Turbine Inlet Air Filter Element Replacement</w:t>
      </w:r>
    </w:p>
    <w:p>
      <w:pPr>
        <w:spacing w:after="300"/>
        <w:jc w:val="center"/>
      </w:pPr>
      <w:r>
        <w:rPr>
          <w:color w:val="666666"/>
          <w:sz w:val="18"/>
          <w:szCs w:val="18"/>
        </w:rPr>
        <w:t xml:space="preserve">WI-GT-1042   |   Revision 02   |   Effective Date: 2026-07-29</w:t>
      </w:r>
    </w:p>
    <w:p>
      <w:pPr>
        <w:pStyle w:val="Heading1"/>
        <w:spacing w:after="140" w:before="320"/>
      </w:pPr>
      <w:r>
        <w:t xml:space="preserve">Document Control</w:t>
      </w:r>
    </w:p>
    <w:tbl>
      <w:tblPr>
        <w:tblW w:type="dxa" w:w="9120"/>
        <w:tblBorders>
          <w:top w:val="single" w:color="auto" w:sz="4"/>
          <w:left w:val="single" w:color="auto" w:sz="4"/>
          <w:bottom w:val="single" w:color="auto" w:sz="4"/>
          <w:right w:val="single" w:color="auto" w:sz="4"/>
          <w:insideH w:val="single" w:color="auto" w:sz="4"/>
          <w:insideV w:val="single" w:color="auto" w:sz="4"/>
        </w:tblBorders>
      </w:tblPr>
      <w:tblGrid>
        <w:gridCol w:w="2400"/>
        <w:gridCol w:w="6720"/>
      </w:tblGrid>
      <w:tr>
        <w:tc>
          <w:tcPr>
            <w:tcW w:type="dxa" w:w="2400"/>
            <w:shd w:fill="003057" w:val="clear"/>
            <w:tcMar>
              <w:top w:type="dxa" w:w="80"/>
              <w:left w:type="dxa" w:w="100"/>
              <w:bottom w:type="dxa" w:w="80"/>
              <w:right w:type="dxa" w:w="100"/>
            </w:tcMar>
          </w:tcPr>
          <w:p>
            <w:r>
              <w:rPr>
                <w:b/>
                <w:bCs/>
                <w:color w:val="FFFFFF"/>
                <w:sz w:val="20"/>
                <w:szCs w:val="20"/>
              </w:rPr>
              <w:t xml:space="preserve">Document No.</w:t>
            </w:r>
          </w:p>
        </w:tc>
        <w:tc>
          <w:tcPr>
            <w:tcW w:type="dxa" w:w="6720"/>
            <w:tcMar>
              <w:top w:type="dxa" w:w="80"/>
              <w:left w:type="dxa" w:w="100"/>
              <w:bottom w:type="dxa" w:w="80"/>
              <w:right w:type="dxa" w:w="100"/>
            </w:tcMar>
          </w:tcPr>
          <w:p>
            <w:r>
              <w:rPr>
                <w:b w:val="false"/>
                <w:bCs w:val="false"/>
                <w:sz w:val="20"/>
                <w:szCs w:val="20"/>
              </w:rPr>
              <w:t xml:space="preserve">WI-GT-1042</w:t>
            </w:r>
          </w:p>
        </w:tc>
      </w:tr>
      <w:tr>
        <w:tc>
          <w:tcPr>
            <w:tcW w:type="dxa" w:w="2400"/>
            <w:shd w:fill="003057" w:val="clear"/>
            <w:tcMar>
              <w:top w:type="dxa" w:w="80"/>
              <w:left w:type="dxa" w:w="100"/>
              <w:bottom w:type="dxa" w:w="80"/>
              <w:right w:type="dxa" w:w="100"/>
            </w:tcMar>
          </w:tcPr>
          <w:p>
            <w:r>
              <w:rPr>
                <w:b/>
                <w:bCs/>
                <w:color w:val="FFFFFF"/>
                <w:sz w:val="20"/>
                <w:szCs w:val="20"/>
              </w:rPr>
              <w:t xml:space="preserve">Title</w:t>
            </w:r>
          </w:p>
        </w:tc>
        <w:tc>
          <w:tcPr>
            <w:tcW w:type="dxa" w:w="6720"/>
            <w:tcMar>
              <w:top w:type="dxa" w:w="80"/>
              <w:left w:type="dxa" w:w="100"/>
              <w:bottom w:type="dxa" w:w="80"/>
              <w:right w:type="dxa" w:w="100"/>
            </w:tcMar>
          </w:tcPr>
          <w:p>
            <w:r>
              <w:rPr>
                <w:b w:val="false"/>
                <w:bCs w:val="false"/>
                <w:sz w:val="20"/>
                <w:szCs w:val="20"/>
              </w:rPr>
              <w:t xml:space="preserve">Gas Turbine Inlet Air Filter Element Replacement</w:t>
            </w:r>
          </w:p>
        </w:tc>
      </w:tr>
      <w:tr>
        <w:tc>
          <w:tcPr>
            <w:tcW w:type="dxa" w:w="2400"/>
            <w:shd w:fill="003057" w:val="clear"/>
            <w:tcMar>
              <w:top w:type="dxa" w:w="80"/>
              <w:left w:type="dxa" w:w="100"/>
              <w:bottom w:type="dxa" w:w="80"/>
              <w:right w:type="dxa" w:w="100"/>
            </w:tcMar>
          </w:tcPr>
          <w:p>
            <w:r>
              <w:rPr>
                <w:b/>
                <w:bCs/>
                <w:color w:val="FFFFFF"/>
                <w:sz w:val="20"/>
                <w:szCs w:val="20"/>
              </w:rPr>
              <w:t xml:space="preserve">Equipment Class</w:t>
            </w:r>
          </w:p>
        </w:tc>
        <w:tc>
          <w:tcPr>
            <w:tcW w:type="dxa" w:w="6720"/>
            <w:tcMar>
              <w:top w:type="dxa" w:w="80"/>
              <w:left w:type="dxa" w:w="100"/>
              <w:bottom w:type="dxa" w:w="80"/>
              <w:right w:type="dxa" w:w="100"/>
            </w:tcMar>
          </w:tcPr>
          <w:p>
            <w:r>
              <w:rPr>
                <w:b w:val="false"/>
                <w:bCs w:val="false"/>
                <w:sz w:val="20"/>
                <w:szCs w:val="20"/>
              </w:rPr>
              <w:t xml:space="preserve">Heavy-Duty Industrial Gas Turbine — Inlet Air Filtration System</w:t>
            </w:r>
          </w:p>
        </w:tc>
      </w:tr>
      <w:tr>
        <w:tc>
          <w:tcPr>
            <w:tcW w:type="dxa" w:w="2400"/>
            <w:shd w:fill="003057" w:val="clear"/>
            <w:tcMar>
              <w:top w:type="dxa" w:w="80"/>
              <w:left w:type="dxa" w:w="100"/>
              <w:bottom w:type="dxa" w:w="80"/>
              <w:right w:type="dxa" w:w="100"/>
            </w:tcMar>
          </w:tcPr>
          <w:p>
            <w:r>
              <w:rPr>
                <w:b/>
                <w:bCs/>
                <w:color w:val="FFFFFF"/>
                <w:sz w:val="20"/>
                <w:szCs w:val="20"/>
              </w:rPr>
              <w:t xml:space="preserve">Revision</w:t>
            </w:r>
          </w:p>
        </w:tc>
        <w:tc>
          <w:tcPr>
            <w:tcW w:type="dxa" w:w="6720"/>
            <w:tcMar>
              <w:top w:type="dxa" w:w="80"/>
              <w:left w:type="dxa" w:w="100"/>
              <w:bottom w:type="dxa" w:w="80"/>
              <w:right w:type="dxa" w:w="100"/>
            </w:tcMar>
          </w:tcPr>
          <w:p>
            <w:r>
              <w:rPr>
                <w:b w:val="false"/>
                <w:bCs w:val="false"/>
                <w:sz w:val="20"/>
                <w:szCs w:val="20"/>
              </w:rPr>
              <w:t xml:space="preserve">02</w:t>
            </w:r>
          </w:p>
        </w:tc>
      </w:tr>
      <w:tr>
        <w:tc>
          <w:tcPr>
            <w:tcW w:type="dxa" w:w="2400"/>
            <w:shd w:fill="003057" w:val="clear"/>
            <w:tcMar>
              <w:top w:type="dxa" w:w="80"/>
              <w:left w:type="dxa" w:w="100"/>
              <w:bottom w:type="dxa" w:w="80"/>
              <w:right w:type="dxa" w:w="100"/>
            </w:tcMar>
          </w:tcPr>
          <w:p>
            <w:r>
              <w:rPr>
                <w:b/>
                <w:bCs/>
                <w:color w:val="FFFFFF"/>
                <w:sz w:val="20"/>
                <w:szCs w:val="20"/>
              </w:rPr>
              <w:t xml:space="preserve">Effective Date</w:t>
            </w:r>
          </w:p>
        </w:tc>
        <w:tc>
          <w:tcPr>
            <w:tcW w:type="dxa" w:w="6720"/>
            <w:tcMar>
              <w:top w:type="dxa" w:w="80"/>
              <w:left w:type="dxa" w:w="100"/>
              <w:bottom w:type="dxa" w:w="80"/>
              <w:right w:type="dxa" w:w="100"/>
            </w:tcMar>
          </w:tcPr>
          <w:p>
            <w:r>
              <w:rPr>
                <w:b w:val="false"/>
                <w:bCs w:val="false"/>
                <w:sz w:val="20"/>
                <w:szCs w:val="20"/>
              </w:rPr>
              <w:t xml:space="preserve">2026-07-29</w:t>
            </w:r>
          </w:p>
        </w:tc>
      </w:tr>
      <w:tr>
        <w:tc>
          <w:tcPr>
            <w:tcW w:type="dxa" w:w="2400"/>
            <w:shd w:fill="003057" w:val="clear"/>
            <w:tcMar>
              <w:top w:type="dxa" w:w="80"/>
              <w:left w:type="dxa" w:w="100"/>
              <w:bottom w:type="dxa" w:w="80"/>
              <w:right w:type="dxa" w:w="100"/>
            </w:tcMar>
          </w:tcPr>
          <w:p>
            <w:r>
              <w:rPr>
                <w:b/>
                <w:bCs/>
                <w:color w:val="FFFFFF"/>
                <w:sz w:val="20"/>
                <w:szCs w:val="20"/>
              </w:rPr>
              <w:t xml:space="preserve">Owner</w:t>
            </w:r>
          </w:p>
        </w:tc>
        <w:tc>
          <w:tcPr>
            <w:tcW w:type="dxa" w:w="6720"/>
            <w:tcMar>
              <w:top w:type="dxa" w:w="80"/>
              <w:left w:type="dxa" w:w="100"/>
              <w:bottom w:type="dxa" w:w="80"/>
              <w:right w:type="dxa" w:w="100"/>
            </w:tcMar>
          </w:tcPr>
          <w:p>
            <w:r>
              <w:rPr>
                <w:b w:val="false"/>
                <w:bCs w:val="false"/>
                <w:sz w:val="20"/>
                <w:szCs w:val="20"/>
              </w:rPr>
              <w:t xml:space="preserve">Site Maintenance — Rotating Equipment</w:t>
            </w:r>
          </w:p>
        </w:tc>
      </w:tr>
    </w:tbl>
    <w:p>
      <w:pPr>
        <w:pStyle w:val="Heading1"/>
        <w:spacing w:after="140" w:before="320"/>
      </w:pPr>
      <w:r>
        <w:t xml:space="preserve">1. Purpose and Scope</w:t>
      </w:r>
    </w:p>
    <w:p>
      <w:pPr>
        <w:spacing w:after="120"/>
      </w:pPr>
      <w:r>
        <w:t xml:space="preserve">This work instruction defines the standard method for inspecting and replacing inlet air filter elements on a heavy-duty industrial gas turbine's inlet filtration house, so that compressor inlet air quality and differential pressure are restored within acceptable operating limits.</w:t>
      </w:r>
    </w:p>
    <w:p>
      <w:pPr>
        <w:spacing w:after="120"/>
      </w:pPr>
      <w:r>
        <w:t xml:space="preserve">This instruction applies to scheduled preventive maintenance and condition-based replacement (high differential pressure alarm) of primary and secondary filter elements in a multi-stage self-cleaning or static inlet filter house. It does not cover inlet house structural repair, weather hood replacement, or evaporative cooler media service — refer to the applicable equipment-specific instructions for those tasks.</w:t>
      </w:r>
    </w:p>
    <w:p>
      <w:pPr>
        <w:pStyle w:val="Heading1"/>
        <w:spacing w:after="140" w:before="320"/>
      </w:pPr>
      <w:r>
        <w:t xml:space="preserve">2. Required Personal Protective Equipment (PPE)</w:t>
      </w:r>
    </w:p>
    <w:p>
      <w:pPr>
        <w:pStyle w:val="ListParagraph"/>
        <w:numPr>
          <w:ilvl w:val="0"/>
          <w:numId w:val="2"/>
        </w:numPr>
        <w:spacing w:after="60"/>
      </w:pPr>
      <w:r>
        <w:t xml:space="preserve">Safety glasses with side shields; goggles when handling used filter elements</w:t>
      </w:r>
    </w:p>
    <w:p>
      <w:pPr>
        <w:pStyle w:val="ListParagraph"/>
        <w:numPr>
          <w:ilvl w:val="0"/>
          <w:numId w:val="2"/>
        </w:numPr>
        <w:spacing w:after="60"/>
      </w:pPr>
      <w:r>
        <w:t xml:space="preserve">P2/N95 (or site-specified) dust/particulate respirator when removing loaded filter elements</w:t>
      </w:r>
    </w:p>
    <w:p>
      <w:pPr>
        <w:pStyle w:val="ListParagraph"/>
        <w:numPr>
          <w:ilvl w:val="0"/>
          <w:numId w:val="2"/>
        </w:numPr>
        <w:spacing w:after="60"/>
      </w:pPr>
      <w:r>
        <w:t xml:space="preserve">Cut-resistant gloves for handling filter media and sheet-metal housing edges</w:t>
      </w:r>
    </w:p>
    <w:p>
      <w:pPr>
        <w:pStyle w:val="ListParagraph"/>
        <w:numPr>
          <w:ilvl w:val="0"/>
          <w:numId w:val="2"/>
        </w:numPr>
        <w:spacing w:after="60"/>
      </w:pPr>
      <w:r>
        <w:t xml:space="preserve">Steel-toed safety footwear</w:t>
      </w:r>
    </w:p>
    <w:p>
      <w:pPr>
        <w:pStyle w:val="ListParagraph"/>
        <w:numPr>
          <w:ilvl w:val="0"/>
          <w:numId w:val="2"/>
        </w:numPr>
        <w:spacing w:after="60"/>
      </w:pPr>
      <w:r>
        <w:t xml:space="preserve">Fall protection harness and lanyard when working on elevated filter house platforms</w:t>
      </w:r>
    </w:p>
    <w:p>
      <w:pPr>
        <w:pStyle w:val="ListParagraph"/>
        <w:numPr>
          <w:ilvl w:val="0"/>
          <w:numId w:val="2"/>
        </w:numPr>
        <w:spacing w:after="60"/>
      </w:pPr>
      <w:r>
        <w:t xml:space="preserve">Hearing protection within the gas turbine enclosure hearing-protection-required zone</w:t>
      </w:r>
    </w:p>
    <w:p>
      <w:pPr>
        <w:pStyle w:val="Heading1"/>
        <w:spacing w:after="140" w:before="320"/>
      </w:pPr>
      <w:r>
        <w:t xml:space="preserve">3. Required Tools and Materials</w:t>
      </w:r>
    </w:p>
    <w:p>
      <w:pPr>
        <w:pStyle w:val="ListParagraph"/>
        <w:numPr>
          <w:ilvl w:val="0"/>
          <w:numId w:val="2"/>
        </w:numPr>
        <w:spacing w:after="60"/>
      </w:pPr>
      <w:r>
        <w:t xml:space="preserve">Replacement filter elements matching the equipment bill of materials (primary and secondary stage, correct efficiency class)</w:t>
      </w:r>
    </w:p>
    <w:p>
      <w:pPr>
        <w:pStyle w:val="ListParagraph"/>
        <w:numPr>
          <w:ilvl w:val="0"/>
          <w:numId w:val="2"/>
        </w:numPr>
        <w:spacing w:after="60"/>
      </w:pPr>
      <w:r>
        <w:t xml:space="preserve">Differential pressure gauge or calibrated DP transmitter reference reading</w:t>
      </w:r>
    </w:p>
    <w:p>
      <w:pPr>
        <w:pStyle w:val="ListParagraph"/>
        <w:numPr>
          <w:ilvl w:val="0"/>
          <w:numId w:val="2"/>
        </w:numPr>
        <w:spacing w:after="60"/>
      </w:pPr>
      <w:r>
        <w:t xml:space="preserve">Socket and open-end wrench set for access panel and retention hardware</w:t>
      </w:r>
    </w:p>
    <w:p>
      <w:pPr>
        <w:pStyle w:val="ListParagraph"/>
        <w:numPr>
          <w:ilvl w:val="0"/>
          <w:numId w:val="2"/>
        </w:numPr>
        <w:spacing w:after="60"/>
      </w:pPr>
      <w:r>
        <w:t xml:space="preserve">Torque wrench sized for panel latch and element retention hardware</w:t>
      </w:r>
    </w:p>
    <w:p>
      <w:pPr>
        <w:pStyle w:val="ListParagraph"/>
        <w:numPr>
          <w:ilvl w:val="0"/>
          <w:numId w:val="2"/>
        </w:numPr>
        <w:spacing w:after="60"/>
      </w:pPr>
      <w:r>
        <w:t xml:space="preserve">Vacuum or shop-air blow-down equipment for housing interior cleaning</w:t>
      </w:r>
    </w:p>
    <w:p>
      <w:pPr>
        <w:pStyle w:val="ListParagraph"/>
        <w:numPr>
          <w:ilvl w:val="0"/>
          <w:numId w:val="2"/>
        </w:numPr>
        <w:spacing w:after="60"/>
      </w:pPr>
      <w:r>
        <w:t xml:space="preserve">Lockout/tagout (LOTO) kit and personal lock</w:t>
      </w:r>
    </w:p>
    <w:p>
      <w:pPr>
        <w:pStyle w:val="ListParagraph"/>
        <w:numPr>
          <w:ilvl w:val="0"/>
          <w:numId w:val="2"/>
        </w:numPr>
        <w:spacing w:after="60"/>
      </w:pPr>
      <w:r>
        <w:t xml:space="preserve">Flashlight or inspection light</w:t>
      </w:r>
    </w:p>
    <w:p>
      <w:pPr>
        <w:pStyle w:val="ListParagraph"/>
        <w:numPr>
          <w:ilvl w:val="0"/>
          <w:numId w:val="2"/>
        </w:numPr>
        <w:spacing w:after="60"/>
      </w:pPr>
      <w:r>
        <w:t xml:space="preserve">Waste bags for used filter element disposal per site environmental procedure</w:t>
      </w:r>
    </w:p>
    <w:p>
      <w:pPr>
        <w:pStyle w:val="ListParagraph"/>
        <w:numPr>
          <w:ilvl w:val="0"/>
          <w:numId w:val="2"/>
        </w:numPr>
        <w:spacing w:after="60"/>
      </w:pPr>
      <w:r>
        <w:t xml:space="preserve">Equipment bill of materials / OEM parts reference for the specific unit</w:t>
      </w:r>
    </w:p>
    <w:p>
      <w:pPr>
        <w:pStyle w:val="Heading1"/>
        <w:spacing w:after="140" w:before="320"/>
      </w:pPr>
      <w:r>
        <w:t xml:space="preserve">4. Safety Precautions</w:t>
      </w:r>
    </w:p>
    <w:p>
      <w:pPr>
        <w:pStyle w:val="ListParagraph"/>
        <w:numPr>
          <w:ilvl w:val="0"/>
          <w:numId w:val="2"/>
        </w:numPr>
        <w:spacing w:after="60"/>
      </w:pPr>
      <w:r>
        <w:t xml:space="preserve">Do not begin work until a valid work permit has been issued and reviewed, and the unit is confirmed offline or in an approved maintenance state.</w:t>
      </w:r>
    </w:p>
    <w:p>
      <w:pPr>
        <w:pStyle w:val="ListParagraph"/>
        <w:numPr>
          <w:ilvl w:val="0"/>
          <w:numId w:val="2"/>
        </w:numPr>
        <w:spacing w:after="60"/>
      </w:pPr>
      <w:r>
        <w:t xml:space="preserve">Apply lockout/tagout on the gas turbine per site LOTO procedure before opening any inlet filter house access panel; verify zero energy state, including confirming the turning gear or barring device is engaged where applicable.</w:t>
      </w:r>
    </w:p>
    <w:p>
      <w:pPr>
        <w:pStyle w:val="ListParagraph"/>
        <w:numPr>
          <w:ilvl w:val="0"/>
          <w:numId w:val="2"/>
        </w:numPr>
        <w:spacing w:after="60"/>
      </w:pPr>
      <w:r>
        <w:t xml:space="preserve">Do not open filter house access panels while the unit is running or in a start sequence — rotating compressor inlet presents a serious entanglement and foreign object damage (FOD) hazard.</w:t>
      </w:r>
    </w:p>
    <w:p>
      <w:pPr>
        <w:pStyle w:val="ListParagraph"/>
        <w:numPr>
          <w:ilvl w:val="0"/>
          <w:numId w:val="2"/>
        </w:numPr>
        <w:spacing w:after="60"/>
      </w:pPr>
      <w:r>
        <w:t xml:space="preserve">Treat all removed filter elements as containing accumulated dust and debris; avoid raising airborne particulate, and bag elements promptly per site environmental/waste procedures.</w:t>
      </w:r>
    </w:p>
    <w:p>
      <w:pPr>
        <w:pStyle w:val="ListParagraph"/>
        <w:numPr>
          <w:ilvl w:val="0"/>
          <w:numId w:val="2"/>
        </w:numPr>
        <w:spacing w:after="60"/>
      </w:pPr>
      <w:r>
        <w:t xml:space="preserve">Maintain FOD control at all times — account for all tools and hardware before closing access panels; use a tool control log if required by the site FOD program.</w:t>
      </w:r>
    </w:p>
    <w:p>
      <w:pPr>
        <w:pStyle w:val="ListParagraph"/>
        <w:numPr>
          <w:ilvl w:val="0"/>
          <w:numId w:val="2"/>
        </w:numPr>
        <w:spacing w:after="60"/>
      </w:pPr>
      <w:r>
        <w:t xml:space="preserve">Use fall protection when accessing elevated filter house platforms or ladders per site fall-protection policy.</w:t>
      </w:r>
    </w:p>
    <w:p>
      <w:pPr>
        <w:pStyle w:val="ListParagraph"/>
        <w:numPr>
          <w:ilvl w:val="0"/>
          <w:numId w:val="2"/>
        </w:numPr>
        <w:spacing w:after="60"/>
      </w:pPr>
      <w:r>
        <w:t xml:space="preserve">If evidence of unexpected compressor inlet damage, corrosion, or foreign object ingestion is found during the inspection, stop work and escalate to the responsible engineer before proceeding.</w:t>
      </w:r>
    </w:p>
    <w:p>
      <w:pPr>
        <w:pStyle w:val="Heading1"/>
        <w:spacing w:after="140" w:before="320"/>
      </w:pPr>
      <w:r>
        <w:t xml:space="preserve">5. Step-by-Step Instructions</w:t>
      </w:r>
    </w:p>
    <w:p>
      <w:pPr>
        <w:pStyle w:val="ListParagraph"/>
        <w:numPr>
          <w:ilvl w:val="0"/>
          <w:numId w:val="3"/>
        </w:numPr>
        <w:spacing w:after="140"/>
      </w:pPr>
      <w:r>
        <w:rPr>
          <w:b/>
          <w:bCs/>
        </w:rPr>
        <w:t xml:space="preserve">Review documentation. </w:t>
      </w:r>
      <w:r>
        <w:t xml:space="preserve">Confirm the correct unit tag, review the last filter service record and current differential pressure trend, and verify replacement element part numbers against the equipment bill of materials.</w:t>
      </w:r>
    </w:p>
    <w:p>
      <w:pPr>
        <w:pStyle w:val="ListParagraph"/>
        <w:numPr>
          <w:ilvl w:val="0"/>
          <w:numId w:val="3"/>
        </w:numPr>
        <w:spacing w:after="140"/>
      </w:pPr>
      <w:r>
        <w:rPr>
          <w:b/>
          <w:bCs/>
        </w:rPr>
        <w:t xml:space="preserve">Obtain permit and isolate. </w:t>
      </w:r>
      <w:r>
        <w:t xml:space="preserve">Obtain the work permit, confirm the unit is in an approved maintenance state, apply LOTO per site procedure, and verify zero energy.</w:t>
      </w:r>
    </w:p>
    <w:p>
      <w:pPr>
        <w:pStyle w:val="ListParagraph"/>
        <w:numPr>
          <w:ilvl w:val="0"/>
          <w:numId w:val="3"/>
        </w:numPr>
        <w:spacing w:after="140"/>
      </w:pPr>
      <w:r>
        <w:rPr>
          <w:b/>
          <w:bCs/>
        </w:rPr>
        <w:t xml:space="preserve">Notify control room. </w:t>
      </w:r>
      <w:r>
        <w:t xml:space="preserve">Inform the control room that inlet filter house access panels are being opened and confirm any associated alarms are acknowledged.</w:t>
      </w:r>
    </w:p>
    <w:p>
      <w:pPr>
        <w:pStyle w:val="ListParagraph"/>
        <w:numPr>
          <w:ilvl w:val="0"/>
          <w:numId w:val="3"/>
        </w:numPr>
        <w:spacing w:after="140"/>
      </w:pPr>
      <w:r>
        <w:rPr>
          <w:b/>
          <w:bCs/>
        </w:rPr>
        <w:t xml:space="preserve">Record baseline readings. </w:t>
      </w:r>
      <w:r>
        <w:t xml:space="preserve">Record the current inlet differential pressure reading before beginning work for comparison after element replacement.</w:t>
      </w:r>
    </w:p>
    <w:p>
      <w:pPr>
        <w:pStyle w:val="ListParagraph"/>
        <w:numPr>
          <w:ilvl w:val="0"/>
          <w:numId w:val="3"/>
        </w:numPr>
        <w:spacing w:after="140"/>
      </w:pPr>
      <w:r>
        <w:rPr>
          <w:b/>
          <w:bCs/>
        </w:rPr>
        <w:t xml:space="preserve">Open access panels. </w:t>
      </w:r>
      <w:r>
        <w:t xml:space="preserve">Unlatch and open the filter house access panels in the sequence specified by the OEM manual, supporting panels to prevent damage to hinges or seals.</w:t>
      </w:r>
    </w:p>
    <w:p>
      <w:pPr>
        <w:pStyle w:val="ListParagraph"/>
        <w:numPr>
          <w:ilvl w:val="0"/>
          <w:numId w:val="3"/>
        </w:numPr>
        <w:spacing w:after="140"/>
      </w:pPr>
      <w:r>
        <w:rPr>
          <w:b/>
          <w:bCs/>
        </w:rPr>
        <w:t xml:space="preserve">Remove existing elements. </w:t>
      </w:r>
      <w:r>
        <w:t xml:space="preserve">Withdraw filter elements from their frames, taking care not to dislodge accumulated debris into the housing. Bag elements immediately per site environmental procedure.</w:t>
      </w:r>
    </w:p>
    <w:p>
      <w:pPr>
        <w:pStyle w:val="ListParagraph"/>
        <w:numPr>
          <w:ilvl w:val="0"/>
          <w:numId w:val="3"/>
        </w:numPr>
        <w:spacing w:after="140"/>
      </w:pPr>
      <w:r>
        <w:rPr>
          <w:b/>
          <w:bCs/>
        </w:rPr>
        <w:t xml:space="preserve">Inspect the housing. </w:t>
      </w:r>
      <w:r>
        <w:t xml:space="preserve">Inspect the housing interior, frames, and seals for damage, corrosion, or residual debris. Clean using vacuum or shop-air blow-down as needed. Do not proceed if structural damage to the housing is found — escalate for engineering review.</w:t>
      </w:r>
    </w:p>
    <w:p>
      <w:pPr>
        <w:pStyle w:val="ListParagraph"/>
        <w:numPr>
          <w:ilvl w:val="0"/>
          <w:numId w:val="3"/>
        </w:numPr>
        <w:spacing w:after="140"/>
      </w:pPr>
      <w:r>
        <w:rPr>
          <w:b/>
          <w:bCs/>
        </w:rPr>
        <w:t xml:space="preserve">Inspect seals and frames. </w:t>
      </w:r>
      <w:r>
        <w:t xml:space="preserve">Check element frame gaskets and housing door seals for wear, cracking, or compression set. Replace any degraded seals before installing new elements.</w:t>
      </w:r>
    </w:p>
    <w:p>
      <w:pPr>
        <w:pStyle w:val="ListParagraph"/>
        <w:numPr>
          <w:ilvl w:val="0"/>
          <w:numId w:val="3"/>
        </w:numPr>
        <w:spacing w:after="140"/>
      </w:pPr>
      <w:r>
        <w:rPr>
          <w:b/>
          <w:bCs/>
        </w:rPr>
        <w:t xml:space="preserve">Install new elements. </w:t>
      </w:r>
      <w:r>
        <w:t xml:space="preserve">Install replacement elements in the orientation specified by the OEM manual, ensuring full and even seating against the frame gasket on all sides.</w:t>
      </w:r>
    </w:p>
    <w:p>
      <w:pPr>
        <w:pStyle w:val="ListParagraph"/>
        <w:numPr>
          <w:ilvl w:val="0"/>
          <w:numId w:val="3"/>
        </w:numPr>
        <w:spacing w:after="140"/>
      </w:pPr>
      <w:r>
        <w:rPr>
          <w:b/>
          <w:bCs/>
        </w:rPr>
        <w:t xml:space="preserve">Secure and torque. </w:t>
      </w:r>
      <w:r>
        <w:t xml:space="preserve">Close access panels and torque latch/retention hardware to the specification in the equipment manual, working in the sequence specified to ensure even seal compression.</w:t>
      </w:r>
    </w:p>
    <w:p>
      <w:pPr>
        <w:pStyle w:val="ListParagraph"/>
        <w:numPr>
          <w:ilvl w:val="0"/>
          <w:numId w:val="3"/>
        </w:numPr>
        <w:spacing w:after="140"/>
      </w:pPr>
      <w:r>
        <w:rPr>
          <w:b/>
          <w:bCs/>
        </w:rPr>
        <w:t xml:space="preserve">Remove LOTO and restore. </w:t>
      </w:r>
      <w:r>
        <w:t xml:space="preserve">Once the housing is confirmed closed and secure, remove personal locks per procedure and restore the unit to its normal pre-start state per site procedure.</w:t>
      </w:r>
    </w:p>
    <w:p>
      <w:pPr>
        <w:pStyle w:val="ListParagraph"/>
        <w:numPr>
          <w:ilvl w:val="0"/>
          <w:numId w:val="3"/>
        </w:numPr>
        <w:spacing w:after="140"/>
      </w:pPr>
      <w:r>
        <w:rPr>
          <w:b/>
          <w:bCs/>
        </w:rPr>
        <w:t xml:space="preserve">Verify differential pressure. </w:t>
      </w:r>
      <w:r>
        <w:t xml:space="preserve">During the next available run or approved test, verify inlet differential pressure has returned to the expected baseline range and is trending stably.</w:t>
      </w:r>
    </w:p>
    <w:p>
      <w:pPr>
        <w:pStyle w:val="ListParagraph"/>
        <w:numPr>
          <w:ilvl w:val="0"/>
          <w:numId w:val="3"/>
        </w:numPr>
        <w:spacing w:after="140"/>
      </w:pPr>
      <w:r>
        <w:rPr>
          <w:b/>
          <w:bCs/>
        </w:rPr>
        <w:t xml:space="preserve">Close out documentation. </w:t>
      </w:r>
      <w:r>
        <w:t xml:space="preserve">Update the equipment maintenance record with element part numbers installed, before/after differential pressure readings, and close the work permit.</w:t>
      </w:r>
    </w:p>
    <w:p>
      <w:pPr>
        <w:pStyle w:val="Heading1"/>
        <w:spacing w:after="140" w:before="320"/>
      </w:pPr>
      <w:r>
        <w:t xml:space="preserve">6. Inspection Checklist</w:t>
      </w:r>
    </w:p>
    <w:p>
      <w:pPr>
        <w:spacing w:after="120"/>
      </w:pPr>
      <w:r>
        <w:t xml:space="preserve">Complete before returning the unit to service:</w:t>
      </w:r>
    </w:p>
    <w:p>
      <w:pPr>
        <w:pStyle w:val="ListParagraph"/>
        <w:numPr>
          <w:ilvl w:val="0"/>
          <w:numId w:val="4"/>
        </w:numPr>
        <w:spacing w:after="60"/>
      </w:pPr>
      <w:r>
        <w:t xml:space="preserve">Replacement elements match equipment bill of materials (correct stage and efficiency class)</w:t>
      </w:r>
    </w:p>
    <w:p>
      <w:pPr>
        <w:pStyle w:val="ListParagraph"/>
        <w:numPr>
          <w:ilvl w:val="0"/>
          <w:numId w:val="4"/>
        </w:numPr>
        <w:spacing w:after="60"/>
      </w:pPr>
      <w:r>
        <w:t xml:space="preserve">Housing interior inspected and free of residual debris</w:t>
      </w:r>
    </w:p>
    <w:p>
      <w:pPr>
        <w:pStyle w:val="ListParagraph"/>
        <w:numPr>
          <w:ilvl w:val="0"/>
          <w:numId w:val="4"/>
        </w:numPr>
        <w:spacing w:after="60"/>
      </w:pPr>
      <w:r>
        <w:t xml:space="preserve">Element frame gaskets and housing door seals inspected; degraded seals replaced</w:t>
      </w:r>
    </w:p>
    <w:p>
      <w:pPr>
        <w:pStyle w:val="ListParagraph"/>
        <w:numPr>
          <w:ilvl w:val="0"/>
          <w:numId w:val="4"/>
        </w:numPr>
        <w:spacing w:after="60"/>
      </w:pPr>
      <w:r>
        <w:t xml:space="preserve">New elements seated evenly with no visible gaps</w:t>
      </w:r>
    </w:p>
    <w:p>
      <w:pPr>
        <w:pStyle w:val="ListParagraph"/>
        <w:numPr>
          <w:ilvl w:val="0"/>
          <w:numId w:val="4"/>
        </w:numPr>
        <w:spacing w:after="60"/>
      </w:pPr>
      <w:r>
        <w:t xml:space="preserve">All access panel latches and retention hardware torqued to specification</w:t>
      </w:r>
    </w:p>
    <w:p>
      <w:pPr>
        <w:pStyle w:val="ListParagraph"/>
        <w:numPr>
          <w:ilvl w:val="0"/>
          <w:numId w:val="4"/>
        </w:numPr>
        <w:spacing w:after="60"/>
      </w:pPr>
      <w:r>
        <w:t xml:space="preserve">No tools, hardware, or materials left inside the filter house (FOD check complete)</w:t>
      </w:r>
    </w:p>
    <w:p>
      <w:pPr>
        <w:pStyle w:val="ListParagraph"/>
        <w:numPr>
          <w:ilvl w:val="0"/>
          <w:numId w:val="4"/>
        </w:numPr>
        <w:spacing w:after="60"/>
      </w:pPr>
      <w:r>
        <w:t xml:space="preserve">Baseline and post-service differential pressure readings recorded</w:t>
      </w:r>
    </w:p>
    <w:p>
      <w:pPr>
        <w:pStyle w:val="ListParagraph"/>
        <w:numPr>
          <w:ilvl w:val="0"/>
          <w:numId w:val="4"/>
        </w:numPr>
        <w:spacing w:after="60"/>
      </w:pPr>
      <w:r>
        <w:t xml:space="preserve">LOTO removed only after housing confirmed secure</w:t>
      </w:r>
    </w:p>
    <w:p>
      <w:pPr>
        <w:pStyle w:val="ListParagraph"/>
        <w:numPr>
          <w:ilvl w:val="0"/>
          <w:numId w:val="4"/>
        </w:numPr>
        <w:spacing w:after="60"/>
      </w:pPr>
      <w:r>
        <w:t xml:space="preserve">Control room notified prior to unit restart</w:t>
      </w:r>
    </w:p>
    <w:p>
      <w:pPr>
        <w:pStyle w:val="ListParagraph"/>
        <w:numPr>
          <w:ilvl w:val="0"/>
          <w:numId w:val="4"/>
        </w:numPr>
        <w:spacing w:after="60"/>
      </w:pPr>
      <w:r>
        <w:t xml:space="preserve">Work permit closed and maintenance record updated</w:t>
      </w:r>
    </w:p>
    <w:p>
      <w:pPr>
        <w:pStyle w:val="Heading1"/>
        <w:spacing w:after="140" w:before="320"/>
      </w:pPr>
      <w:r>
        <w:t xml:space="preserve">7. Troubleshooting</w:t>
      </w:r>
    </w:p>
    <w:p>
      <w:pPr>
        <w:spacing w:after="120"/>
      </w:pPr>
      <w:r>
        <w:t xml:space="preserve">If differential pressure, vibration, or performance indications are abnormal after service, use the table below before reopening the filter house.</w:t>
      </w:r>
    </w:p>
    <w:tbl>
      <w:tblPr>
        <w:tblW w:type="dxa" w:w="912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720"/>
      </w:tblGrid>
      <w:tr>
        <w:trPr>
          <w:tblHeader/>
        </w:trPr>
        <w:tc>
          <w:tcPr>
            <w:tcW w:type="dxa" w:w="2400"/>
            <w:shd w:fill="003057" w:val="clear"/>
            <w:tcMar>
              <w:top w:type="dxa" w:w="80"/>
              <w:left w:type="dxa" w:w="100"/>
              <w:bottom w:type="dxa" w:w="80"/>
              <w:right w:type="dxa" w:w="100"/>
            </w:tcMar>
          </w:tcPr>
          <w:p>
            <w:r>
              <w:rPr>
                <w:b/>
                <w:bCs/>
                <w:color w:val="FFFFFF"/>
                <w:sz w:val="20"/>
                <w:szCs w:val="20"/>
              </w:rPr>
              <w:t xml:space="preserve">Symptom</w:t>
            </w:r>
          </w:p>
        </w:tc>
        <w:tc>
          <w:tcPr>
            <w:tcW w:type="dxa" w:w="3000"/>
            <w:shd w:fill="003057" w:val="clear"/>
            <w:tcMar>
              <w:top w:type="dxa" w:w="80"/>
              <w:left w:type="dxa" w:w="100"/>
              <w:bottom w:type="dxa" w:w="80"/>
              <w:right w:type="dxa" w:w="100"/>
            </w:tcMar>
          </w:tcPr>
          <w:p>
            <w:r>
              <w:rPr>
                <w:b/>
                <w:bCs/>
                <w:color w:val="FFFFFF"/>
                <w:sz w:val="20"/>
                <w:szCs w:val="20"/>
              </w:rPr>
              <w:t xml:space="preserve">Probable Cause</w:t>
            </w:r>
          </w:p>
        </w:tc>
        <w:tc>
          <w:tcPr>
            <w:tcW w:type="dxa" w:w="3720"/>
            <w:shd w:fill="003057" w:val="clear"/>
            <w:tcMar>
              <w:top w:type="dxa" w:w="80"/>
              <w:left w:type="dxa" w:w="100"/>
              <w:bottom w:type="dxa" w:w="80"/>
              <w:right w:type="dxa" w:w="100"/>
            </w:tcMar>
          </w:tcPr>
          <w:p>
            <w:r>
              <w:rPr>
                <w:b/>
                <w:bCs/>
                <w:color w:val="FFFFFF"/>
                <w:sz w:val="20"/>
                <w:szCs w:val="20"/>
              </w:rPr>
              <w:t xml:space="preserve">Corrective Action</w:t>
            </w:r>
          </w:p>
        </w:tc>
      </w:tr>
      <w:tr>
        <w:trPr>
          <w:tblHeader w:val="false"/>
        </w:trPr>
        <w:tc>
          <w:tcPr>
            <w:tcW w:type="dxa" w:w="2400"/>
            <w:tcMar>
              <w:top w:type="dxa" w:w="80"/>
              <w:left w:type="dxa" w:w="100"/>
              <w:bottom w:type="dxa" w:w="80"/>
              <w:right w:type="dxa" w:w="100"/>
            </w:tcMar>
          </w:tcPr>
          <w:p>
            <w:r>
              <w:rPr>
                <w:b w:val="false"/>
                <w:bCs w:val="false"/>
                <w:sz w:val="20"/>
                <w:szCs w:val="20"/>
              </w:rPr>
              <w:t xml:space="preserve">High inlet differential pressure alarm persists after replacement</w:t>
            </w:r>
          </w:p>
        </w:tc>
        <w:tc>
          <w:tcPr>
            <w:tcW w:type="dxa" w:w="3000"/>
            <w:tcMar>
              <w:top w:type="dxa" w:w="80"/>
              <w:left w:type="dxa" w:w="100"/>
              <w:bottom w:type="dxa" w:w="80"/>
              <w:right w:type="dxa" w:w="100"/>
            </w:tcMar>
          </w:tcPr>
          <w:p>
            <w:r>
              <w:rPr>
                <w:b w:val="false"/>
                <w:bCs w:val="false"/>
                <w:sz w:val="20"/>
                <w:szCs w:val="20"/>
              </w:rPr>
              <w:t xml:space="preserve">Filter element seated incorrectly; door/access panel not fully latched; wrong element part number installed</w:t>
            </w:r>
          </w:p>
        </w:tc>
        <w:tc>
          <w:tcPr>
            <w:tcW w:type="dxa" w:w="3720"/>
            <w:tcMar>
              <w:top w:type="dxa" w:w="80"/>
              <w:left w:type="dxa" w:w="100"/>
              <w:bottom w:type="dxa" w:w="80"/>
              <w:right w:type="dxa" w:w="100"/>
            </w:tcMar>
          </w:tcPr>
          <w:p>
            <w:r>
              <w:rPr>
                <w:b w:val="false"/>
                <w:bCs w:val="false"/>
                <w:sz w:val="20"/>
                <w:szCs w:val="20"/>
              </w:rPr>
              <w:t xml:space="preserve">Re-check seating and latch on all doors; confirm part number against the equipment BOM; verify DP transmitter zero/calibration.</w:t>
            </w:r>
          </w:p>
        </w:tc>
      </w:tr>
      <w:tr>
        <w:trPr>
          <w:tblHeader w:val="false"/>
        </w:trPr>
        <w:tc>
          <w:tcPr>
            <w:tcW w:type="dxa" w:w="2400"/>
            <w:tcMar>
              <w:top w:type="dxa" w:w="80"/>
              <w:left w:type="dxa" w:w="100"/>
              <w:bottom w:type="dxa" w:w="80"/>
              <w:right w:type="dxa" w:w="100"/>
            </w:tcMar>
          </w:tcPr>
          <w:p>
            <w:r>
              <w:rPr>
                <w:b w:val="false"/>
                <w:bCs w:val="false"/>
                <w:sz w:val="20"/>
                <w:szCs w:val="20"/>
              </w:rPr>
              <w:t xml:space="preserve">Compressor inlet debris or fouling indications after service</w:t>
            </w:r>
          </w:p>
        </w:tc>
        <w:tc>
          <w:tcPr>
            <w:tcW w:type="dxa" w:w="3000"/>
            <w:tcMar>
              <w:top w:type="dxa" w:w="80"/>
              <w:left w:type="dxa" w:w="100"/>
              <w:bottom w:type="dxa" w:w="80"/>
              <w:right w:type="dxa" w:w="100"/>
            </w:tcMar>
          </w:tcPr>
          <w:p>
            <w:r>
              <w:rPr>
                <w:b w:val="false"/>
                <w:bCs w:val="false"/>
                <w:sz w:val="20"/>
                <w:szCs w:val="20"/>
              </w:rPr>
              <w:t xml:space="preserve">Housing not cleaned before new element installed; damaged element allowed bypass</w:t>
            </w:r>
          </w:p>
        </w:tc>
        <w:tc>
          <w:tcPr>
            <w:tcW w:type="dxa" w:w="3720"/>
            <w:tcMar>
              <w:top w:type="dxa" w:w="80"/>
              <w:left w:type="dxa" w:w="100"/>
              <w:bottom w:type="dxa" w:w="80"/>
              <w:right w:type="dxa" w:w="100"/>
            </w:tcMar>
          </w:tcPr>
          <w:p>
            <w:r>
              <w:rPr>
                <w:b w:val="false"/>
                <w:bCs w:val="false"/>
                <w:sz w:val="20"/>
                <w:szCs w:val="20"/>
              </w:rPr>
              <w:t xml:space="preserve">Inspect housing interior for residual debris; inspect removed element for tears or bypass staining; extend cleaning interval if repeat fouling occurs.</w:t>
            </w:r>
          </w:p>
        </w:tc>
      </w:tr>
      <w:tr>
        <w:trPr>
          <w:tblHeader w:val="false"/>
        </w:trPr>
        <w:tc>
          <w:tcPr>
            <w:tcW w:type="dxa" w:w="2400"/>
            <w:tcMar>
              <w:top w:type="dxa" w:w="80"/>
              <w:left w:type="dxa" w:w="100"/>
              <w:bottom w:type="dxa" w:w="80"/>
              <w:right w:type="dxa" w:w="100"/>
            </w:tcMar>
          </w:tcPr>
          <w:p>
            <w:r>
              <w:rPr>
                <w:b w:val="false"/>
                <w:bCs w:val="false"/>
                <w:sz w:val="20"/>
                <w:szCs w:val="20"/>
              </w:rPr>
              <w:t xml:space="preserve">Unexpected compressor performance (efficiency) drop post-service</w:t>
            </w:r>
          </w:p>
        </w:tc>
        <w:tc>
          <w:tcPr>
            <w:tcW w:type="dxa" w:w="3000"/>
            <w:tcMar>
              <w:top w:type="dxa" w:w="80"/>
              <w:left w:type="dxa" w:w="100"/>
              <w:bottom w:type="dxa" w:w="80"/>
              <w:right w:type="dxa" w:w="100"/>
            </w:tcMar>
          </w:tcPr>
          <w:p>
            <w:r>
              <w:rPr>
                <w:b w:val="false"/>
                <w:bCs w:val="false"/>
                <w:sz w:val="20"/>
                <w:szCs w:val="20"/>
              </w:rPr>
              <w:t xml:space="preserve">Air leak past filter house door seals; incorrect element grade (wrong efficiency rating) installed</w:t>
            </w:r>
          </w:p>
        </w:tc>
        <w:tc>
          <w:tcPr>
            <w:tcW w:type="dxa" w:w="3720"/>
            <w:tcMar>
              <w:top w:type="dxa" w:w="80"/>
              <w:left w:type="dxa" w:w="100"/>
              <w:bottom w:type="dxa" w:w="80"/>
              <w:right w:type="dxa" w:w="100"/>
            </w:tcMar>
          </w:tcPr>
          <w:p>
            <w:r>
              <w:rPr>
                <w:b w:val="false"/>
                <w:bCs w:val="false"/>
                <w:sz w:val="20"/>
                <w:szCs w:val="20"/>
              </w:rPr>
              <w:t xml:space="preserve">Smoke-test or visually inspect door gaskets under load; confirm element efficiency class matches OEM specification.</w:t>
            </w:r>
          </w:p>
        </w:tc>
      </w:tr>
      <w:tr>
        <w:trPr>
          <w:tblHeader w:val="false"/>
        </w:trPr>
        <w:tc>
          <w:tcPr>
            <w:tcW w:type="dxa" w:w="2400"/>
            <w:tcMar>
              <w:top w:type="dxa" w:w="80"/>
              <w:left w:type="dxa" w:w="100"/>
              <w:bottom w:type="dxa" w:w="80"/>
              <w:right w:type="dxa" w:w="100"/>
            </w:tcMar>
          </w:tcPr>
          <w:p>
            <w:r>
              <w:rPr>
                <w:b w:val="false"/>
                <w:bCs w:val="false"/>
                <w:sz w:val="20"/>
                <w:szCs w:val="20"/>
              </w:rPr>
              <w:t xml:space="preserve">Vibration or unusual noise from filter house during operation</w:t>
            </w:r>
          </w:p>
        </w:tc>
        <w:tc>
          <w:tcPr>
            <w:tcW w:type="dxa" w:w="3000"/>
            <w:tcMar>
              <w:top w:type="dxa" w:w="80"/>
              <w:left w:type="dxa" w:w="100"/>
              <w:bottom w:type="dxa" w:w="80"/>
              <w:right w:type="dxa" w:w="100"/>
            </w:tcMar>
          </w:tcPr>
          <w:p>
            <w:r>
              <w:rPr>
                <w:b w:val="false"/>
                <w:bCs w:val="false"/>
                <w:sz w:val="20"/>
                <w:szCs w:val="20"/>
              </w:rPr>
              <w:t xml:space="preserve">Loose panel, unsecured element retention hardware, or foreign object left in housing</w:t>
            </w:r>
          </w:p>
        </w:tc>
        <w:tc>
          <w:tcPr>
            <w:tcW w:type="dxa" w:w="3720"/>
            <w:tcMar>
              <w:top w:type="dxa" w:w="80"/>
              <w:left w:type="dxa" w:w="100"/>
              <w:bottom w:type="dxa" w:w="80"/>
              <w:right w:type="dxa" w:w="100"/>
            </w:tcMar>
          </w:tcPr>
          <w:p>
            <w:r>
              <w:rPr>
                <w:b w:val="false"/>
                <w:bCs w:val="false"/>
                <w:sz w:val="20"/>
                <w:szCs w:val="20"/>
              </w:rPr>
              <w:t xml:space="preserve">Shut down per LOTO, re-open housing, verify all retention hardware torqued and no tools/debris left inside.</w:t>
            </w:r>
          </w:p>
        </w:tc>
      </w:tr>
    </w:tbl>
    <w:p>
      <w:pPr>
        <w:pStyle w:val="Heading1"/>
        <w:spacing w:after="140" w:before="320"/>
      </w:pPr>
      <w:r>
        <w:t xml:space="preserve">8. Revision History</w:t>
      </w:r>
    </w:p>
    <w:tbl>
      <w:tblPr>
        <w:tblW w:type="dxa" w:w="9120"/>
        <w:tblBorders>
          <w:top w:val="single" w:color="auto" w:sz="4"/>
          <w:left w:val="single" w:color="auto" w:sz="4"/>
          <w:bottom w:val="single" w:color="auto" w:sz="4"/>
          <w:right w:val="single" w:color="auto" w:sz="4"/>
          <w:insideH w:val="single" w:color="auto" w:sz="4"/>
          <w:insideV w:val="single" w:color="auto" w:sz="4"/>
        </w:tblBorders>
      </w:tblPr>
      <w:tblGrid>
        <w:gridCol w:w="1000"/>
        <w:gridCol w:w="1600"/>
        <w:gridCol w:w="2600"/>
        <w:gridCol w:w="3920"/>
      </w:tblGrid>
      <w:tr>
        <w:trPr>
          <w:tblHeader/>
        </w:trPr>
        <w:tc>
          <w:tcPr>
            <w:tcW w:type="dxa" w:w="1000"/>
            <w:shd w:fill="003057" w:val="clear"/>
            <w:tcMar>
              <w:top w:type="dxa" w:w="80"/>
              <w:left w:type="dxa" w:w="100"/>
              <w:bottom w:type="dxa" w:w="80"/>
              <w:right w:type="dxa" w:w="100"/>
            </w:tcMar>
          </w:tcPr>
          <w:p>
            <w:r>
              <w:rPr>
                <w:b/>
                <w:bCs/>
                <w:color w:val="FFFFFF"/>
                <w:sz w:val="20"/>
                <w:szCs w:val="20"/>
              </w:rPr>
              <w:t xml:space="preserve">Rev.</w:t>
            </w:r>
          </w:p>
        </w:tc>
        <w:tc>
          <w:tcPr>
            <w:tcW w:type="dxa" w:w="1600"/>
            <w:shd w:fill="003057" w:val="clear"/>
            <w:tcMar>
              <w:top w:type="dxa" w:w="80"/>
              <w:left w:type="dxa" w:w="100"/>
              <w:bottom w:type="dxa" w:w="80"/>
              <w:right w:type="dxa" w:w="100"/>
            </w:tcMar>
          </w:tcPr>
          <w:p>
            <w:r>
              <w:rPr>
                <w:b/>
                <w:bCs/>
                <w:color w:val="FFFFFF"/>
                <w:sz w:val="20"/>
                <w:szCs w:val="20"/>
              </w:rPr>
              <w:t xml:space="preserve">Date</w:t>
            </w:r>
          </w:p>
        </w:tc>
        <w:tc>
          <w:tcPr>
            <w:tcW w:type="dxa" w:w="2600"/>
            <w:shd w:fill="003057" w:val="clear"/>
            <w:tcMar>
              <w:top w:type="dxa" w:w="80"/>
              <w:left w:type="dxa" w:w="100"/>
              <w:bottom w:type="dxa" w:w="80"/>
              <w:right w:type="dxa" w:w="100"/>
            </w:tcMar>
          </w:tcPr>
          <w:p>
            <w:r>
              <w:rPr>
                <w:b/>
                <w:bCs/>
                <w:color w:val="FFFFFF"/>
                <w:sz w:val="20"/>
                <w:szCs w:val="20"/>
              </w:rPr>
              <w:t xml:space="preserve">Author</w:t>
            </w:r>
          </w:p>
        </w:tc>
        <w:tc>
          <w:tcPr>
            <w:tcW w:type="dxa" w:w="3920"/>
            <w:shd w:fill="003057" w:val="clear"/>
            <w:tcMar>
              <w:top w:type="dxa" w:w="80"/>
              <w:left w:type="dxa" w:w="100"/>
              <w:bottom w:type="dxa" w:w="80"/>
              <w:right w:type="dxa" w:w="100"/>
            </w:tcMar>
          </w:tcPr>
          <w:p>
            <w:r>
              <w:rPr>
                <w:b/>
                <w:bCs/>
                <w:color w:val="FFFFFF"/>
                <w:sz w:val="20"/>
                <w:szCs w:val="20"/>
              </w:rPr>
              <w:t xml:space="preserve">Description of Change</w:t>
            </w:r>
          </w:p>
        </w:tc>
      </w:tr>
      <w:tr>
        <w:trPr>
          <w:tblHeader w:val="false"/>
        </w:trPr>
        <w:tc>
          <w:tcPr>
            <w:tcW w:type="dxa" w:w="1000"/>
            <w:tcMar>
              <w:top w:type="dxa" w:w="80"/>
              <w:left w:type="dxa" w:w="100"/>
              <w:bottom w:type="dxa" w:w="80"/>
              <w:right w:type="dxa" w:w="100"/>
            </w:tcMar>
          </w:tcPr>
          <w:p>
            <w:r>
              <w:rPr>
                <w:b w:val="false"/>
                <w:bCs w:val="false"/>
                <w:sz w:val="20"/>
                <w:szCs w:val="20"/>
              </w:rPr>
              <w:t xml:space="preserve">00</w:t>
            </w:r>
          </w:p>
        </w:tc>
        <w:tc>
          <w:tcPr>
            <w:tcW w:type="dxa" w:w="1600"/>
            <w:tcMar>
              <w:top w:type="dxa" w:w="80"/>
              <w:left w:type="dxa" w:w="100"/>
              <w:bottom w:type="dxa" w:w="80"/>
              <w:right w:type="dxa" w:w="100"/>
            </w:tcMar>
          </w:tcPr>
          <w:p>
            <w:r>
              <w:rPr>
                <w:b w:val="false"/>
                <w:bCs w:val="false"/>
                <w:sz w:val="20"/>
                <w:szCs w:val="20"/>
              </w:rPr>
              <w:t xml:space="preserve">2025-02-14</w:t>
            </w:r>
          </w:p>
        </w:tc>
        <w:tc>
          <w:tcPr>
            <w:tcW w:type="dxa" w:w="2600"/>
            <w:tcMar>
              <w:top w:type="dxa" w:w="80"/>
              <w:left w:type="dxa" w:w="100"/>
              <w:bottom w:type="dxa" w:w="80"/>
              <w:right w:type="dxa" w:w="100"/>
            </w:tcMar>
          </w:tcPr>
          <w:p>
            <w:r>
              <w:rPr>
                <w:b w:val="false"/>
                <w:bCs w:val="false"/>
                <w:sz w:val="20"/>
                <w:szCs w:val="20"/>
              </w:rPr>
              <w:t xml:space="preserve">M. Langley, Tech. Writer</w:t>
            </w:r>
          </w:p>
        </w:tc>
        <w:tc>
          <w:tcPr>
            <w:tcW w:type="dxa" w:w="3920"/>
            <w:tcMar>
              <w:top w:type="dxa" w:w="80"/>
              <w:left w:type="dxa" w:w="100"/>
              <w:bottom w:type="dxa" w:w="80"/>
              <w:right w:type="dxa" w:w="100"/>
            </w:tcMar>
          </w:tcPr>
          <w:p>
            <w:r>
              <w:rPr>
                <w:b w:val="false"/>
                <w:bCs w:val="false"/>
                <w:sz w:val="20"/>
                <w:szCs w:val="20"/>
              </w:rPr>
              <w:t xml:space="preserve">Initial release.</w:t>
            </w:r>
          </w:p>
        </w:tc>
      </w:tr>
      <w:tr>
        <w:trPr>
          <w:tblHeader w:val="false"/>
        </w:trPr>
        <w:tc>
          <w:tcPr>
            <w:tcW w:type="dxa" w:w="1000"/>
            <w:tcMar>
              <w:top w:type="dxa" w:w="80"/>
              <w:left w:type="dxa" w:w="100"/>
              <w:bottom w:type="dxa" w:w="80"/>
              <w:right w:type="dxa" w:w="100"/>
            </w:tcMar>
          </w:tcPr>
          <w:p>
            <w:r>
              <w:rPr>
                <w:b w:val="false"/>
                <w:bCs w:val="false"/>
                <w:sz w:val="20"/>
                <w:szCs w:val="20"/>
              </w:rPr>
              <w:t xml:space="preserve">01</w:t>
            </w:r>
          </w:p>
        </w:tc>
        <w:tc>
          <w:tcPr>
            <w:tcW w:type="dxa" w:w="1600"/>
            <w:tcMar>
              <w:top w:type="dxa" w:w="80"/>
              <w:left w:type="dxa" w:w="100"/>
              <w:bottom w:type="dxa" w:w="80"/>
              <w:right w:type="dxa" w:w="100"/>
            </w:tcMar>
          </w:tcPr>
          <w:p>
            <w:r>
              <w:rPr>
                <w:b w:val="false"/>
                <w:bCs w:val="false"/>
                <w:sz w:val="20"/>
                <w:szCs w:val="20"/>
              </w:rPr>
              <w:t xml:space="preserve">2025-11-03</w:t>
            </w:r>
          </w:p>
        </w:tc>
        <w:tc>
          <w:tcPr>
            <w:tcW w:type="dxa" w:w="2600"/>
            <w:tcMar>
              <w:top w:type="dxa" w:w="80"/>
              <w:left w:type="dxa" w:w="100"/>
              <w:bottom w:type="dxa" w:w="80"/>
              <w:right w:type="dxa" w:w="100"/>
            </w:tcMar>
          </w:tcPr>
          <w:p>
            <w:r>
              <w:rPr>
                <w:b w:val="false"/>
                <w:bCs w:val="false"/>
                <w:sz w:val="20"/>
                <w:szCs w:val="20"/>
              </w:rPr>
              <w:t xml:space="preserve">M. Langley, Tech. Writer</w:t>
            </w:r>
          </w:p>
        </w:tc>
        <w:tc>
          <w:tcPr>
            <w:tcW w:type="dxa" w:w="3920"/>
            <w:tcMar>
              <w:top w:type="dxa" w:w="80"/>
              <w:left w:type="dxa" w:w="100"/>
              <w:bottom w:type="dxa" w:w="80"/>
              <w:right w:type="dxa" w:w="100"/>
            </w:tcMar>
          </w:tcPr>
          <w:p>
            <w:r>
              <w:rPr>
                <w:b w:val="false"/>
                <w:bCs w:val="false"/>
                <w:sz w:val="20"/>
                <w:szCs w:val="20"/>
              </w:rPr>
              <w:t xml:space="preserve">Added differential pressure acceptance criteria and updated torque spec for access panel hardware.</w:t>
            </w:r>
          </w:p>
        </w:tc>
      </w:tr>
      <w:tr>
        <w:trPr>
          <w:tblHeader w:val="false"/>
        </w:trPr>
        <w:tc>
          <w:tcPr>
            <w:tcW w:type="dxa" w:w="1000"/>
            <w:tcMar>
              <w:top w:type="dxa" w:w="80"/>
              <w:left w:type="dxa" w:w="100"/>
              <w:bottom w:type="dxa" w:w="80"/>
              <w:right w:type="dxa" w:w="100"/>
            </w:tcMar>
          </w:tcPr>
          <w:p>
            <w:r>
              <w:rPr>
                <w:b w:val="false"/>
                <w:bCs w:val="false"/>
                <w:sz w:val="20"/>
                <w:szCs w:val="20"/>
              </w:rPr>
              <w:t xml:space="preserve">02</w:t>
            </w:r>
          </w:p>
        </w:tc>
        <w:tc>
          <w:tcPr>
            <w:tcW w:type="dxa" w:w="1600"/>
            <w:tcMar>
              <w:top w:type="dxa" w:w="80"/>
              <w:left w:type="dxa" w:w="100"/>
              <w:bottom w:type="dxa" w:w="80"/>
              <w:right w:type="dxa" w:w="100"/>
            </w:tcMar>
          </w:tcPr>
          <w:p>
            <w:r>
              <w:rPr>
                <w:b w:val="false"/>
                <w:bCs w:val="false"/>
                <w:sz w:val="20"/>
                <w:szCs w:val="20"/>
              </w:rPr>
              <w:t xml:space="preserve">2026-07-29</w:t>
            </w:r>
          </w:p>
        </w:tc>
        <w:tc>
          <w:tcPr>
            <w:tcW w:type="dxa" w:w="2600"/>
            <w:tcMar>
              <w:top w:type="dxa" w:w="80"/>
              <w:left w:type="dxa" w:w="100"/>
              <w:bottom w:type="dxa" w:w="80"/>
              <w:right w:type="dxa" w:w="100"/>
            </w:tcMar>
          </w:tcPr>
          <w:p>
            <w:r>
              <w:rPr>
                <w:b w:val="false"/>
                <w:bCs w:val="false"/>
                <w:sz w:val="20"/>
                <w:szCs w:val="20"/>
              </w:rPr>
              <w:t xml:space="preserve">M. Langley, Tech. Writer</w:t>
            </w:r>
          </w:p>
        </w:tc>
        <w:tc>
          <w:tcPr>
            <w:tcW w:type="dxa" w:w="3920"/>
            <w:tcMar>
              <w:top w:type="dxa" w:w="80"/>
              <w:left w:type="dxa" w:w="100"/>
              <w:bottom w:type="dxa" w:w="80"/>
              <w:right w:type="dxa" w:w="100"/>
            </w:tcMar>
          </w:tcPr>
          <w:p>
            <w:r>
              <w:rPr>
                <w:b w:val="false"/>
                <w:bCs w:val="false"/>
                <w:sz w:val="20"/>
                <w:szCs w:val="20"/>
              </w:rPr>
              <w:t xml:space="preserve">Reformatted to current work instruction template; added troubleshooting section and inspection checklist.</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50" w:hanging="270"/>
      </w:pPr>
    </w:lvl>
  </w:abstractNum>
  <w:abstractNum w:abstractNumId="3" w15:restartNumberingAfterBreak="0">
    <w:multiLevelType w:val="hybridMultilevel"/>
    <w:lvl w:ilvl="0" w15:tentative="1">
      <w:start w:val="1"/>
      <w:numFmt w:val="decimal"/>
      <w:lvlText w:val="%1."/>
      <w:lvlJc w:val="left"/>
      <w:pPr>
        <w:ind w:left="450" w:hanging="270"/>
      </w:pPr>
    </w:lvl>
  </w:abstractNum>
  <w:abstractNum w:abstractNumId="4" w15:restartNumberingAfterBreak="0">
    <w:multiLevelType w:val="hybridMultilevel"/>
    <w:lvl w:ilvl="0" w15:tentative="1">
      <w:start w:val="1"/>
      <w:numFmt w:val="bullet"/>
      <w:lvlText w:val="☐"/>
      <w:lvlJc w:val="left"/>
      <w:pPr>
        <w:ind w:left="450" w:hanging="27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003057" w:sz="6" w:space="4"/>
      </w:pBdr>
      <w:spacing w:after="140" w:before="320"/>
    </w:pPr>
    <w:rPr>
      <w:b/>
      <w:bCs/>
      <w:color w:val="00305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2026-07-29T18:07:11.928Z</dcterms:created>
  <dcterms:modified xsi:type="dcterms:W3CDTF">2026-07-29T18:07:11.941Z</dcterms:modified>
</cp:coreProperties>
</file>

<file path=docProps/custom.xml><?xml version="1.0" encoding="utf-8"?>
<Properties xmlns="http://schemas.openxmlformats.org/officeDocument/2006/custom-properties" xmlns:vt="http://schemas.openxmlformats.org/officeDocument/2006/docPropsVTypes"/>
</file>