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E8A33D" w:sz="6" w:space="4"/>
          <w:bottom w:val="single" w:color="E8A33D" w:sz="6" w:space="4"/>
          <w:left w:val="single" w:color="E8A33D" w:sz="6" w:space="4"/>
          <w:right w:val="single" w:color="E8A33D" w:sz="6" w:space="4"/>
        </w:pBdr>
        <w:shd w:fill="FFF4E5" w:val="clear"/>
        <w:spacing w:after="260"/>
      </w:pPr>
      <w:r>
        <w:rPr>
          <w:i/>
          <w:iCs/>
          <w:color w:val="7A4A00"/>
          <w:sz w:val="18"/>
          <w:szCs w:val="18"/>
        </w:rPr>
        <w:t xml:space="preserve">PORTFOLIO SAMPLE — This document was independently authored for demonstration purposes only. It is not official HPE Aruba Networking documentation and is not affiliated with, endorsed by, or sourced from Hewlett Packard Enterprise / Aruba Networks. Always follow the official AOS-CX Installation and Getting Started Guide for the specific switch model and software version you are working on.</w:t>
      </w:r>
    </w:p>
    <w:p>
      <w:pPr>
        <w:spacing w:after="40"/>
        <w:jc w:val="center"/>
      </w:pPr>
      <w:r>
        <w:rPr>
          <w:b/>
          <w:bCs/>
          <w:color w:val="666666"/>
          <w:sz w:val="20"/>
          <w:szCs w:val="20"/>
        </w:rPr>
        <w:t xml:space="preserve">NETWORK INSTALLATION GUIDE (PORTFOLIO SAMPLE)</w:t>
      </w:r>
    </w:p>
    <w:p>
      <w:pPr>
        <w:spacing w:after="60"/>
        <w:jc w:val="center"/>
      </w:pPr>
      <w:r>
        <w:rPr>
          <w:b/>
          <w:bCs/>
          <w:color w:val="0B2545"/>
          <w:sz w:val="40"/>
          <w:szCs w:val="40"/>
        </w:rPr>
        <w:t xml:space="preserve">HPE Aruba CX Switch</w:t>
      </w:r>
    </w:p>
    <w:p>
      <w:pPr>
        <w:spacing w:after="60"/>
        <w:jc w:val="center"/>
      </w:pPr>
      <w:r>
        <w:rPr>
          <w:b/>
          <w:bCs/>
          <w:color w:val="FF8300"/>
          <w:sz w:val="32"/>
          <w:szCs w:val="32"/>
        </w:rPr>
        <w:t xml:space="preserve">Installation and Initial Configuration Guide</w:t>
      </w:r>
    </w:p>
    <w:p>
      <w:pPr>
        <w:spacing w:after="300"/>
        <w:jc w:val="center"/>
      </w:pPr>
      <w:r>
        <w:rPr>
          <w:color w:val="666666"/>
          <w:sz w:val="18"/>
          <w:szCs w:val="18"/>
        </w:rPr>
        <w:t xml:space="preserve">IG-NET-6300   |   Revision 01   |   Effective Date: 2026-07-29</w:t>
      </w:r>
    </w:p>
    <w:p>
      <w:pPr>
        <w:pStyle w:val="Heading1"/>
        <w:spacing w:after="140" w:before="320"/>
      </w:pPr>
      <w:r>
        <w:t xml:space="preserve">Document Control</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400"/>
        <w:gridCol w:w="6720"/>
      </w:tblGrid>
      <w:tr>
        <w:tc>
          <w:tcPr>
            <w:tcW w:type="dxa" w:w="2400"/>
            <w:shd w:fill="0B2545" w:val="clear"/>
            <w:tcMar>
              <w:top w:type="dxa" w:w="80"/>
              <w:left w:type="dxa" w:w="100"/>
              <w:bottom w:type="dxa" w:w="80"/>
              <w:right w:type="dxa" w:w="100"/>
            </w:tcMar>
          </w:tcPr>
          <w:p>
            <w:r>
              <w:rPr>
                <w:b/>
                <w:bCs/>
                <w:color w:val="FFFFFF"/>
                <w:sz w:val="20"/>
                <w:szCs w:val="20"/>
              </w:rPr>
              <w:t xml:space="preserve">Document No.</w:t>
            </w:r>
          </w:p>
        </w:tc>
        <w:tc>
          <w:tcPr>
            <w:tcW w:type="dxa" w:w="6720"/>
            <w:tcMar>
              <w:top w:type="dxa" w:w="80"/>
              <w:left w:type="dxa" w:w="100"/>
              <w:bottom w:type="dxa" w:w="80"/>
              <w:right w:type="dxa" w:w="100"/>
            </w:tcMar>
          </w:tcPr>
          <w:p>
            <w:r>
              <w:rPr>
                <w:b w:val="false"/>
                <w:bCs w:val="false"/>
                <w:sz w:val="20"/>
                <w:szCs w:val="20"/>
              </w:rPr>
              <w:t xml:space="preserve">IG-NET-6300</w:t>
            </w:r>
          </w:p>
        </w:tc>
      </w:tr>
      <w:tr>
        <w:tc>
          <w:tcPr>
            <w:tcW w:type="dxa" w:w="2400"/>
            <w:shd w:fill="0B2545" w:val="clear"/>
            <w:tcMar>
              <w:top w:type="dxa" w:w="80"/>
              <w:left w:type="dxa" w:w="100"/>
              <w:bottom w:type="dxa" w:w="80"/>
              <w:right w:type="dxa" w:w="100"/>
            </w:tcMar>
          </w:tcPr>
          <w:p>
            <w:r>
              <w:rPr>
                <w:b/>
                <w:bCs/>
                <w:color w:val="FFFFFF"/>
                <w:sz w:val="20"/>
                <w:szCs w:val="20"/>
              </w:rPr>
              <w:t xml:space="preserve">Title</w:t>
            </w:r>
          </w:p>
        </w:tc>
        <w:tc>
          <w:tcPr>
            <w:tcW w:type="dxa" w:w="6720"/>
            <w:tcMar>
              <w:top w:type="dxa" w:w="80"/>
              <w:left w:type="dxa" w:w="100"/>
              <w:bottom w:type="dxa" w:w="80"/>
              <w:right w:type="dxa" w:w="100"/>
            </w:tcMar>
          </w:tcPr>
          <w:p>
            <w:r>
              <w:rPr>
                <w:b w:val="false"/>
                <w:bCs w:val="false"/>
                <w:sz w:val="20"/>
                <w:szCs w:val="20"/>
              </w:rPr>
              <w:t xml:space="preserve">HPE Aruba CX Switch Installation and Initial Configuration Guide</w:t>
            </w:r>
          </w:p>
        </w:tc>
      </w:tr>
      <w:tr>
        <w:tc>
          <w:tcPr>
            <w:tcW w:type="dxa" w:w="2400"/>
            <w:shd w:fill="0B2545" w:val="clear"/>
            <w:tcMar>
              <w:top w:type="dxa" w:w="80"/>
              <w:left w:type="dxa" w:w="100"/>
              <w:bottom w:type="dxa" w:w="80"/>
              <w:right w:type="dxa" w:w="100"/>
            </w:tcMar>
          </w:tcPr>
          <w:p>
            <w:r>
              <w:rPr>
                <w:b/>
                <w:bCs/>
                <w:color w:val="FFFFFF"/>
                <w:sz w:val="20"/>
                <w:szCs w:val="20"/>
              </w:rPr>
              <w:t xml:space="preserve">Applies To</w:t>
            </w:r>
          </w:p>
        </w:tc>
        <w:tc>
          <w:tcPr>
            <w:tcW w:type="dxa" w:w="6720"/>
            <w:tcMar>
              <w:top w:type="dxa" w:w="80"/>
              <w:left w:type="dxa" w:w="100"/>
              <w:bottom w:type="dxa" w:w="80"/>
              <w:right w:type="dxa" w:w="100"/>
            </w:tcMar>
          </w:tcPr>
          <w:p>
            <w:r>
              <w:rPr>
                <w:b w:val="false"/>
                <w:bCs w:val="false"/>
                <w:sz w:val="20"/>
                <w:szCs w:val="20"/>
              </w:rPr>
              <w:t xml:space="preserve">HPE Aruba Networking CX Series switches (AOS-CX), e.g. 6200/6300/6400 family</w:t>
            </w:r>
          </w:p>
        </w:tc>
      </w:tr>
      <w:tr>
        <w:tc>
          <w:tcPr>
            <w:tcW w:type="dxa" w:w="2400"/>
            <w:shd w:fill="0B2545" w:val="clear"/>
            <w:tcMar>
              <w:top w:type="dxa" w:w="80"/>
              <w:left w:type="dxa" w:w="100"/>
              <w:bottom w:type="dxa" w:w="80"/>
              <w:right w:type="dxa" w:w="100"/>
            </w:tcMar>
          </w:tcPr>
          <w:p>
            <w:r>
              <w:rPr>
                <w:b/>
                <w:bCs/>
                <w:color w:val="FFFFFF"/>
                <w:sz w:val="20"/>
                <w:szCs w:val="20"/>
              </w:rPr>
              <w:t xml:space="preserve">Revision</w:t>
            </w:r>
          </w:p>
        </w:tc>
        <w:tc>
          <w:tcPr>
            <w:tcW w:type="dxa" w:w="6720"/>
            <w:tcMar>
              <w:top w:type="dxa" w:w="80"/>
              <w:left w:type="dxa" w:w="100"/>
              <w:bottom w:type="dxa" w:w="80"/>
              <w:right w:type="dxa" w:w="100"/>
            </w:tcMar>
          </w:tcPr>
          <w:p>
            <w:r>
              <w:rPr>
                <w:b w:val="false"/>
                <w:bCs w:val="false"/>
                <w:sz w:val="20"/>
                <w:szCs w:val="20"/>
              </w:rPr>
              <w:t xml:space="preserve">01</w:t>
            </w:r>
          </w:p>
        </w:tc>
      </w:tr>
      <w:tr>
        <w:tc>
          <w:tcPr>
            <w:tcW w:type="dxa" w:w="2400"/>
            <w:shd w:fill="0B2545" w:val="clear"/>
            <w:tcMar>
              <w:top w:type="dxa" w:w="80"/>
              <w:left w:type="dxa" w:w="100"/>
              <w:bottom w:type="dxa" w:w="80"/>
              <w:right w:type="dxa" w:w="100"/>
            </w:tcMar>
          </w:tcPr>
          <w:p>
            <w:r>
              <w:rPr>
                <w:b/>
                <w:bCs/>
                <w:color w:val="FFFFFF"/>
                <w:sz w:val="20"/>
                <w:szCs w:val="20"/>
              </w:rPr>
              <w:t xml:space="preserve">Effective Date</w:t>
            </w:r>
          </w:p>
        </w:tc>
        <w:tc>
          <w:tcPr>
            <w:tcW w:type="dxa" w:w="6720"/>
            <w:tcMar>
              <w:top w:type="dxa" w:w="80"/>
              <w:left w:type="dxa" w:w="100"/>
              <w:bottom w:type="dxa" w:w="80"/>
              <w:right w:type="dxa" w:w="100"/>
            </w:tcMar>
          </w:tcPr>
          <w:p>
            <w:r>
              <w:rPr>
                <w:b w:val="false"/>
                <w:bCs w:val="false"/>
                <w:sz w:val="20"/>
                <w:szCs w:val="20"/>
              </w:rPr>
              <w:t xml:space="preserve">2026-07-29</w:t>
            </w:r>
          </w:p>
        </w:tc>
      </w:tr>
      <w:tr>
        <w:tc>
          <w:tcPr>
            <w:tcW w:type="dxa" w:w="2400"/>
            <w:shd w:fill="0B2545" w:val="clear"/>
            <w:tcMar>
              <w:top w:type="dxa" w:w="80"/>
              <w:left w:type="dxa" w:w="100"/>
              <w:bottom w:type="dxa" w:w="80"/>
              <w:right w:type="dxa" w:w="100"/>
            </w:tcMar>
          </w:tcPr>
          <w:p>
            <w:r>
              <w:rPr>
                <w:b/>
                <w:bCs/>
                <w:color w:val="FFFFFF"/>
                <w:sz w:val="20"/>
                <w:szCs w:val="20"/>
              </w:rPr>
              <w:t xml:space="preserve">Audience</w:t>
            </w:r>
          </w:p>
        </w:tc>
        <w:tc>
          <w:tcPr>
            <w:tcW w:type="dxa" w:w="6720"/>
            <w:tcMar>
              <w:top w:type="dxa" w:w="80"/>
              <w:left w:type="dxa" w:w="100"/>
              <w:bottom w:type="dxa" w:w="80"/>
              <w:right w:type="dxa" w:w="100"/>
            </w:tcMar>
          </w:tcPr>
          <w:p>
            <w:r>
              <w:rPr>
                <w:b w:val="false"/>
                <w:bCs w:val="false"/>
                <w:sz w:val="20"/>
                <w:szCs w:val="20"/>
              </w:rPr>
              <w:t xml:space="preserve">Network technicians / network administrators performing new switch deployment</w:t>
            </w:r>
          </w:p>
        </w:tc>
      </w:tr>
    </w:tbl>
    <w:p>
      <w:pPr>
        <w:pStyle w:val="Heading1"/>
        <w:spacing w:after="140" w:before="320"/>
      </w:pPr>
      <w:r>
        <w:t xml:space="preserve">1. Purpose and Scope</w:t>
      </w:r>
    </w:p>
    <w:p>
      <w:pPr>
        <w:spacing w:after="120"/>
      </w:pPr>
      <w:r>
        <w:t xml:space="preserve">This guide describes the standard procedure for physically installing an HPE Aruba Networking CX series switch and bringing it into service, from rack mounting through base CLI configuration and post-install verification.</w:t>
      </w:r>
    </w:p>
    <w:p>
      <w:pPr>
        <w:spacing w:after="120"/>
      </w:pPr>
      <w:r>
        <w:t xml:space="preserve">AOS-CX (Aruba OS-CX) is the operating system running on the CX switch family (e.g., 6200, 6300, 6400 series). This guide covers a single standalone switch or a Virtual Switching Framework (VSF) stack deployed via console/CLI. It assumes rack space, power, and upstream network connectivity are already available at the installation site.</w:t>
      </w:r>
    </w:p>
    <w:p>
      <w:pPr>
        <w:pStyle w:val="Heading1"/>
        <w:spacing w:after="140" w:before="320"/>
      </w:pPr>
      <w:r>
        <w:t xml:space="preserve">2. Prerequisites and Required Materials</w:t>
      </w:r>
    </w:p>
    <w:p>
      <w:pPr>
        <w:pStyle w:val="ListParagraph"/>
        <w:numPr>
          <w:ilvl w:val="0"/>
          <w:numId w:val="2"/>
        </w:numPr>
        <w:spacing w:after="60"/>
      </w:pPr>
      <w:r>
        <w:t xml:space="preserve">HPE Aruba CX switch unit(s) and matching rack mount kit</w:t>
      </w:r>
    </w:p>
    <w:p>
      <w:pPr>
        <w:pStyle w:val="ListParagraph"/>
        <w:numPr>
          <w:ilvl w:val="0"/>
          <w:numId w:val="2"/>
        </w:numPr>
        <w:spacing w:after="60"/>
      </w:pPr>
      <w:r>
        <w:t xml:space="preserve">Console cable (RJ-45 rollover or USB-C, depending on model) and a laptop with a terminal emulator</w:t>
      </w:r>
    </w:p>
    <w:p>
      <w:pPr>
        <w:pStyle w:val="ListParagraph"/>
        <w:numPr>
          <w:ilvl w:val="0"/>
          <w:numId w:val="2"/>
        </w:numPr>
        <w:spacing w:after="60"/>
      </w:pPr>
      <w:r>
        <w:t xml:space="preserve">USB-to-serial driver installed on the laptop, if using a legacy RJ-45 console port with a USB adapter</w:t>
      </w:r>
    </w:p>
    <w:p>
      <w:pPr>
        <w:pStyle w:val="ListParagraph"/>
        <w:numPr>
          <w:ilvl w:val="0"/>
          <w:numId w:val="2"/>
        </w:numPr>
        <w:spacing w:after="60"/>
      </w:pPr>
      <w:r>
        <w:t xml:space="preserve">Appropriate power cable(s) for the site's PDU/receptacle type</w:t>
      </w:r>
    </w:p>
    <w:p>
      <w:pPr>
        <w:pStyle w:val="ListParagraph"/>
        <w:numPr>
          <w:ilvl w:val="0"/>
          <w:numId w:val="2"/>
        </w:numPr>
        <w:spacing w:after="60"/>
      </w:pPr>
      <w:r>
        <w:t xml:space="preserve">Uplink and downlink cabling (copper or fiber/optics as required by the design)</w:t>
      </w:r>
    </w:p>
    <w:p>
      <w:pPr>
        <w:pStyle w:val="ListParagraph"/>
        <w:numPr>
          <w:ilvl w:val="0"/>
          <w:numId w:val="2"/>
        </w:numPr>
        <w:spacing w:after="60"/>
      </w:pPr>
      <w:r>
        <w:t xml:space="preserve">VSF stacking/interconnect cables, if deploying a stack</w:t>
      </w:r>
    </w:p>
    <w:p>
      <w:pPr>
        <w:pStyle w:val="ListParagraph"/>
        <w:numPr>
          <w:ilvl w:val="0"/>
          <w:numId w:val="2"/>
        </w:numPr>
        <w:spacing w:after="60"/>
      </w:pPr>
      <w:r>
        <w:t xml:space="preserve">Management VLAN and IP addressing information from the site's network design</w:t>
      </w:r>
    </w:p>
    <w:p>
      <w:pPr>
        <w:pStyle w:val="ListParagraph"/>
        <w:numPr>
          <w:ilvl w:val="0"/>
          <w:numId w:val="2"/>
        </w:numPr>
        <w:spacing w:after="60"/>
      </w:pPr>
      <w:r>
        <w:t xml:space="preserve">AOS-CX firmware image matching the site's standard version, if an upgrade is required before deployment</w:t>
      </w:r>
    </w:p>
    <w:p>
      <w:pPr>
        <w:pStyle w:val="ListParagraph"/>
        <w:numPr>
          <w:ilvl w:val="0"/>
          <w:numId w:val="2"/>
        </w:numPr>
        <w:spacing w:after="60"/>
      </w:pPr>
      <w:r>
        <w:t xml:space="preserve">ESD wrist strap and standard antistatic precautions</w:t>
      </w:r>
    </w:p>
    <w:p>
      <w:pPr>
        <w:pStyle w:val="ListParagraph"/>
        <w:numPr>
          <w:ilvl w:val="0"/>
          <w:numId w:val="2"/>
        </w:numPr>
        <w:spacing w:after="60"/>
      </w:pPr>
      <w:r>
        <w:t xml:space="preserve">Hostname, IP addressing, and change record information from the site's network design/CMDB</w:t>
      </w:r>
    </w:p>
    <w:p>
      <w:pPr>
        <w:pStyle w:val="Heading1"/>
        <w:spacing w:after="140" w:before="320"/>
      </w:pPr>
      <w:r>
        <w:t xml:space="preserve">3. Rack Installation</w:t>
      </w:r>
    </w:p>
    <w:p>
      <w:pPr>
        <w:pStyle w:val="ListParagraph"/>
        <w:numPr>
          <w:ilvl w:val="0"/>
          <w:numId w:val="3"/>
        </w:numPr>
        <w:spacing w:after="140"/>
      </w:pPr>
      <w:r>
        <w:rPr>
          <w:b/>
          <w:bCs/>
        </w:rPr>
        <w:t xml:space="preserve">Verify rack capacity. </w:t>
      </w:r>
      <w:r>
        <w:t xml:space="preserve">Confirm the target rack has sufficient free rack units (1U or 2U depending on model) and adequate front/rear clearance for airflow and cabling.</w:t>
      </w:r>
    </w:p>
    <w:p>
      <w:pPr>
        <w:pStyle w:val="ListParagraph"/>
        <w:numPr>
          <w:ilvl w:val="0"/>
          <w:numId w:val="3"/>
        </w:numPr>
        <w:spacing w:after="140"/>
      </w:pPr>
      <w:r>
        <w:rPr>
          <w:b/>
          <w:bCs/>
        </w:rPr>
        <w:t xml:space="preserve">Attach mounting brackets. </w:t>
      </w:r>
      <w:r>
        <w:t xml:space="preserve">Attach the included rack-mount brackets to the switch chassis using the provided screws, choosing front- or mid-mount position per the site's cable management standard.</w:t>
      </w:r>
    </w:p>
    <w:p>
      <w:pPr>
        <w:pStyle w:val="ListParagraph"/>
        <w:numPr>
          <w:ilvl w:val="0"/>
          <w:numId w:val="3"/>
        </w:numPr>
        <w:spacing w:after="140"/>
      </w:pPr>
      <w:r>
        <w:rPr>
          <w:b/>
          <w:bCs/>
        </w:rPr>
        <w:t xml:space="preserve">Mount the switch. </w:t>
      </w:r>
      <w:r>
        <w:t xml:space="preserve">Lift the switch into position and secure it to the rack rails with the appropriate rack screws or cage nuts.</w:t>
      </w:r>
    </w:p>
    <w:p>
      <w:pPr>
        <w:pStyle w:val="ListParagraph"/>
        <w:numPr>
          <w:ilvl w:val="0"/>
          <w:numId w:val="3"/>
        </w:numPr>
        <w:spacing w:after="140"/>
      </w:pPr>
      <w:r>
        <w:rPr>
          <w:b/>
          <w:bCs/>
        </w:rPr>
        <w:t xml:space="preserve">Verify secure seating. </w:t>
      </w:r>
      <w:r>
        <w:t xml:space="preserve">Confirm the switch is level and securely fastened before connecting any cabling.</w:t>
      </w:r>
    </w:p>
    <w:p>
      <w:pPr>
        <w:pStyle w:val="Heading1"/>
        <w:spacing w:after="140" w:before="320"/>
      </w:pPr>
      <w:r>
        <w:t xml:space="preserve">4. Cabling</w:t>
      </w:r>
    </w:p>
    <w:p>
      <w:pPr>
        <w:pStyle w:val="ListParagraph"/>
        <w:numPr>
          <w:ilvl w:val="0"/>
          <w:numId w:val="3"/>
        </w:numPr>
        <w:spacing w:after="140"/>
      </w:pPr>
      <w:r>
        <w:rPr>
          <w:b/>
          <w:bCs/>
        </w:rPr>
        <w:t xml:space="preserve">Connect power. </w:t>
      </w:r>
      <w:r>
        <w:t xml:space="preserve">Connect the power cable(s) to the switch and to separate, independently protected circuits if the unit has dual power supplies for redundancy. Do not power on yet.</w:t>
      </w:r>
    </w:p>
    <w:p>
      <w:pPr>
        <w:pStyle w:val="ListParagraph"/>
        <w:numPr>
          <w:ilvl w:val="0"/>
          <w:numId w:val="3"/>
        </w:numPr>
        <w:spacing w:after="140"/>
      </w:pPr>
      <w:r>
        <w:rPr>
          <w:b/>
          <w:bCs/>
        </w:rPr>
        <w:t xml:space="preserve">Connect the console cable. </w:t>
      </w:r>
      <w:r>
        <w:t xml:space="preserve">Connect the console cable from the laptop to the switch's console port for initial local access.</w:t>
      </w:r>
    </w:p>
    <w:p>
      <w:pPr>
        <w:pStyle w:val="ListParagraph"/>
        <w:numPr>
          <w:ilvl w:val="0"/>
          <w:numId w:val="3"/>
        </w:numPr>
        <w:spacing w:after="140"/>
      </w:pPr>
      <w:r>
        <w:rPr>
          <w:b/>
          <w:bCs/>
        </w:rPr>
        <w:t xml:space="preserve">Connect uplinks. </w:t>
      </w:r>
      <w:r>
        <w:t xml:space="preserve">Connect uplink cabling to the designated ports per the network design, leaving them unpatched at the upstream switch until initial configuration is verified, if the site's change process requires staged cutover.</w:t>
      </w:r>
    </w:p>
    <w:p>
      <w:pPr>
        <w:pStyle w:val="ListParagraph"/>
        <w:numPr>
          <w:ilvl w:val="0"/>
          <w:numId w:val="3"/>
        </w:numPr>
        <w:spacing w:after="140"/>
      </w:pPr>
      <w:r>
        <w:rPr>
          <w:b/>
          <w:bCs/>
        </w:rPr>
        <w:t xml:space="preserve">Connect VSF links (if stacking). </w:t>
      </w:r>
      <w:r>
        <w:t xml:space="preserve">For a VSF deployment, connect the designated VSF member link ports between switches per the platform's VSF port guidance before powering on.</w:t>
      </w:r>
    </w:p>
    <w:p>
      <w:pPr>
        <w:pStyle w:val="ListParagraph"/>
        <w:numPr>
          <w:ilvl w:val="0"/>
          <w:numId w:val="3"/>
        </w:numPr>
        <w:spacing w:after="140"/>
      </w:pPr>
      <w:r>
        <w:rPr>
          <w:b/>
          <w:bCs/>
        </w:rPr>
        <w:t xml:space="preserve">Dress and label cables. </w:t>
      </w:r>
      <w:r>
        <w:t xml:space="preserve">Route and label all cables at both ends per site cabling standards.</w:t>
      </w:r>
    </w:p>
    <w:p>
      <w:pPr>
        <w:pStyle w:val="ListParagraph"/>
        <w:numPr>
          <w:ilvl w:val="0"/>
          <w:numId w:val="3"/>
        </w:numPr>
        <w:spacing w:after="140"/>
      </w:pPr>
      <w:r>
        <w:rPr>
          <w:b/>
          <w:bCs/>
        </w:rPr>
        <w:t xml:space="preserve">Power on. </w:t>
      </w:r>
      <w:r>
        <w:t xml:space="preserve">Once cabling is confirmed, power on the switch and observe boot progress on the console.</w:t>
      </w:r>
    </w:p>
    <w:p>
      <w:pPr>
        <w:pStyle w:val="Heading1"/>
        <w:spacing w:after="140" w:before="320"/>
      </w:pPr>
      <w:r>
        <w:t xml:space="preserve">5. Initial CLI Configuration</w:t>
      </w:r>
    </w:p>
    <w:p>
      <w:pPr>
        <w:spacing w:after="120"/>
      </w:pPr>
      <w:r>
        <w:t xml:space="preserve">On first boot, a factory-default AOS-CX switch presents a single 'admin' account with no password set; you will be prompted to create one.</w:t>
      </w:r>
    </w:p>
    <w:p>
      <w:pPr>
        <w:pStyle w:val="ListParagraph"/>
        <w:numPr>
          <w:ilvl w:val="0"/>
          <w:numId w:val="3"/>
        </w:numPr>
        <w:spacing w:after="140"/>
      </w:pPr>
      <w:r>
        <w:rPr>
          <w:b/>
          <w:bCs/>
        </w:rPr>
        <w:t xml:space="preserve">Log in at first boot. </w:t>
      </w:r>
      <w:r>
        <w:t xml:space="preserve">At the login prompt, enter admin and press Enter at the password prompt (blank by default), then set a strong password when prompted.</w:t>
      </w:r>
    </w:p>
    <w:p>
      <w:pPr>
        <w:pBdr>
          <w:left w:val="single" w:color="FF8300" w:sz="18" w:space="8"/>
        </w:pBdr>
        <w:shd w:fill="FFF1E0" w:val="clear"/>
        <w:spacing w:after="160" w:before="80"/>
        <w:ind w:left="100"/>
      </w:pPr>
      <w:r>
        <w:rPr>
          <w:b/>
          <w:bCs/>
          <w:sz w:val="20"/>
          <w:szCs w:val="20"/>
        </w:rPr>
        <w:t xml:space="preserve">NOTE: </w:t>
      </w:r>
      <w:r>
        <w:rPr>
          <w:sz w:val="20"/>
          <w:szCs w:val="20"/>
        </w:rPr>
        <w:t xml:space="preserve">Always set a strong admin password immediately — do not leave a factory-default switch with a blank password connected to any network.</w:t>
      </w:r>
    </w:p>
    <w:p>
      <w:pPr>
        <w:pStyle w:val="ListParagraph"/>
        <w:numPr>
          <w:ilvl w:val="0"/>
          <w:numId w:val="3"/>
        </w:numPr>
        <w:spacing w:after="140"/>
      </w:pPr>
      <w:r>
        <w:rPr>
          <w:b/>
          <w:bCs/>
        </w:rPr>
        <w:t xml:space="preserve">Enter configuration mode. </w:t>
      </w:r>
      <w:r>
        <w:t xml:space="preserve">From the switch prompt, enter global configuration mode:</w:t>
      </w:r>
    </w:p>
    <w:p>
      <w:pPr>
        <w:shd w:fill="1E1E1E" w:val="clear"/>
        <w:spacing w:after="200" w:before="60"/>
        <w:ind w:left="100"/>
      </w:pPr>
      <w:r>
        <w:rPr>
          <w:rFonts w:ascii="Consolas" w:cs="Consolas" w:eastAsia="Consolas" w:hAnsi="Consolas"/>
          <w:color w:val="D4D4D4"/>
          <w:sz w:val="19"/>
          <w:szCs w:val="19"/>
        </w:rPr>
        <w:t xml:space="preserve">switch&gt; enable</w:t>
      </w:r>
      <w:r>
        <w:br/>
      </w:r>
      <w:r>
        <w:rPr>
          <w:rFonts w:ascii="Consolas" w:cs="Consolas" w:eastAsia="Consolas" w:hAnsi="Consolas"/>
          <w:color w:val="D4D4D4"/>
          <w:sz w:val="19"/>
          <w:szCs w:val="19"/>
        </w:rPr>
        <w:t xml:space="preserve">switch# configure terminal</w:t>
      </w:r>
      <w:r>
        <w:br/>
      </w:r>
      <w:r>
        <w:rPr>
          <w:rFonts w:ascii="Consolas" w:cs="Consolas" w:eastAsia="Consolas" w:hAnsi="Consolas"/>
          <w:color w:val="D4D4D4"/>
          <w:sz w:val="19"/>
          <w:szCs w:val="19"/>
        </w:rPr>
        <w:t xml:space="preserve">switch(config)#</w:t>
      </w:r>
    </w:p>
    <w:p>
      <w:pPr>
        <w:pStyle w:val="ListParagraph"/>
        <w:numPr>
          <w:ilvl w:val="0"/>
          <w:numId w:val="3"/>
        </w:numPr>
        <w:spacing w:after="140"/>
      </w:pPr>
      <w:r>
        <w:rPr>
          <w:b/>
          <w:bCs/>
        </w:rPr>
        <w:t xml:space="preserve">Set the hostname. </w:t>
      </w:r>
      <w:r>
        <w:t xml:space="preserve">Assign a hostname matching the site naming convention:</w:t>
      </w:r>
    </w:p>
    <w:p>
      <w:pPr>
        <w:shd w:fill="1E1E1E" w:val="clear"/>
        <w:spacing w:after="200" w:before="60"/>
        <w:ind w:left="100"/>
      </w:pPr>
      <w:r>
        <w:rPr>
          <w:rFonts w:ascii="Consolas" w:cs="Consolas" w:eastAsia="Consolas" w:hAnsi="Consolas"/>
          <w:color w:val="D4D4D4"/>
          <w:sz w:val="19"/>
          <w:szCs w:val="19"/>
        </w:rPr>
        <w:t xml:space="preserve">switch(config)# hostname SITE-ACC-SW01</w:t>
      </w:r>
    </w:p>
    <w:p>
      <w:pPr>
        <w:pStyle w:val="ListParagraph"/>
        <w:numPr>
          <w:ilvl w:val="0"/>
          <w:numId w:val="3"/>
        </w:numPr>
        <w:spacing w:after="140"/>
      </w:pPr>
      <w:r>
        <w:rPr>
          <w:b/>
          <w:bCs/>
        </w:rPr>
        <w:t xml:space="preserve">Configure the management interface. </w:t>
      </w:r>
      <w:r>
        <w:t xml:space="preserve">Assign a static IP address (or confirm DHCP) on the out-of-band management interface:</w:t>
      </w:r>
    </w:p>
    <w:p>
      <w:pPr>
        <w:shd w:fill="1E1E1E" w:val="clear"/>
        <w:spacing w:after="200" w:before="60"/>
        <w:ind w:left="100"/>
      </w:pPr>
      <w:r>
        <w:rPr>
          <w:rFonts w:ascii="Consolas" w:cs="Consolas" w:eastAsia="Consolas" w:hAnsi="Consolas"/>
          <w:color w:val="D4D4D4"/>
          <w:sz w:val="19"/>
          <w:szCs w:val="19"/>
        </w:rPr>
        <w:t xml:space="preserve">switch(config)# interface mgmt</w:t>
      </w:r>
      <w:r>
        <w:br/>
      </w:r>
      <w:r>
        <w:rPr>
          <w:rFonts w:ascii="Consolas" w:cs="Consolas" w:eastAsia="Consolas" w:hAnsi="Consolas"/>
          <w:color w:val="D4D4D4"/>
          <w:sz w:val="19"/>
          <w:szCs w:val="19"/>
        </w:rPr>
        <w:t xml:space="preserve">switch(config-if-mgmt)# ip static 10.10.10.5/24</w:t>
      </w:r>
      <w:r>
        <w:br/>
      </w:r>
      <w:r>
        <w:rPr>
          <w:rFonts w:ascii="Consolas" w:cs="Consolas" w:eastAsia="Consolas" w:hAnsi="Consolas"/>
          <w:color w:val="D4D4D4"/>
          <w:sz w:val="19"/>
          <w:szCs w:val="19"/>
        </w:rPr>
        <w:t xml:space="preserve">switch(config-if-mgmt)# default-gateway 10.10.10.1</w:t>
      </w:r>
    </w:p>
    <w:p>
      <w:pPr>
        <w:pStyle w:val="ListParagraph"/>
        <w:numPr>
          <w:ilvl w:val="0"/>
          <w:numId w:val="3"/>
        </w:numPr>
        <w:spacing w:after="140"/>
      </w:pPr>
      <w:r>
        <w:rPr>
          <w:b/>
          <w:bCs/>
        </w:rPr>
        <w:t xml:space="preserve">Set the system clock and time source. </w:t>
      </w:r>
      <w:r>
        <w:t xml:space="preserve">Configure the time zone and NTP server(s) so log timestamps are accurate:</w:t>
      </w:r>
    </w:p>
    <w:p>
      <w:pPr>
        <w:shd w:fill="1E1E1E" w:val="clear"/>
        <w:spacing w:after="200" w:before="60"/>
        <w:ind w:left="100"/>
      </w:pPr>
      <w:r>
        <w:rPr>
          <w:rFonts w:ascii="Consolas" w:cs="Consolas" w:eastAsia="Consolas" w:hAnsi="Consolas"/>
          <w:color w:val="D4D4D4"/>
          <w:sz w:val="19"/>
          <w:szCs w:val="19"/>
        </w:rPr>
        <w:t xml:space="preserve">switch(config)# ntp server 10.10.1.1</w:t>
      </w:r>
      <w:r>
        <w:br/>
      </w:r>
      <w:r>
        <w:rPr>
          <w:rFonts w:ascii="Consolas" w:cs="Consolas" w:eastAsia="Consolas" w:hAnsi="Consolas"/>
          <w:color w:val="D4D4D4"/>
          <w:sz w:val="19"/>
          <w:szCs w:val="19"/>
        </w:rPr>
        <w:t xml:space="preserve">switch(config)# ntp enable</w:t>
      </w:r>
    </w:p>
    <w:p>
      <w:pPr>
        <w:pStyle w:val="ListParagraph"/>
        <w:numPr>
          <w:ilvl w:val="0"/>
          <w:numId w:val="3"/>
        </w:numPr>
        <w:spacing w:after="140"/>
      </w:pPr>
      <w:r>
        <w:rPr>
          <w:b/>
          <w:bCs/>
        </w:rPr>
        <w:t xml:space="preserve">Create VLANs. </w:t>
      </w:r>
      <w:r>
        <w:t xml:space="preserve">Define the VLANs required by the site design:</w:t>
      </w:r>
    </w:p>
    <w:p>
      <w:pPr>
        <w:shd w:fill="1E1E1E" w:val="clear"/>
        <w:spacing w:after="200" w:before="60"/>
        <w:ind w:left="100"/>
      </w:pPr>
      <w:r>
        <w:rPr>
          <w:rFonts w:ascii="Consolas" w:cs="Consolas" w:eastAsia="Consolas" w:hAnsi="Consolas"/>
          <w:color w:val="D4D4D4"/>
          <w:sz w:val="19"/>
          <w:szCs w:val="19"/>
        </w:rPr>
        <w:t xml:space="preserve">switch(config)# vlan 10</w:t>
      </w:r>
      <w:r>
        <w:br/>
      </w:r>
      <w:r>
        <w:rPr>
          <w:rFonts w:ascii="Consolas" w:cs="Consolas" w:eastAsia="Consolas" w:hAnsi="Consolas"/>
          <w:color w:val="D4D4D4"/>
          <w:sz w:val="19"/>
          <w:szCs w:val="19"/>
        </w:rPr>
        <w:t xml:space="preserve">switch(config-vlan-10)# name USERS</w:t>
      </w:r>
      <w:r>
        <w:br/>
      </w:r>
      <w:r>
        <w:rPr>
          <w:rFonts w:ascii="Consolas" w:cs="Consolas" w:eastAsia="Consolas" w:hAnsi="Consolas"/>
          <w:color w:val="D4D4D4"/>
          <w:sz w:val="19"/>
          <w:szCs w:val="19"/>
        </w:rPr>
        <w:t xml:space="preserve">switch(config-vlan-10)# exit</w:t>
      </w:r>
    </w:p>
    <w:p>
      <w:pPr>
        <w:pStyle w:val="ListParagraph"/>
        <w:numPr>
          <w:ilvl w:val="0"/>
          <w:numId w:val="3"/>
        </w:numPr>
        <w:spacing w:after="140"/>
      </w:pPr>
      <w:r>
        <w:rPr>
          <w:b/>
          <w:bCs/>
        </w:rPr>
        <w:t xml:space="preserve">Configure access and trunk ports. </w:t>
      </w:r>
      <w:r>
        <w:t xml:space="preserve">Assign access VLANs to edge ports and allowed VLANs to trunk/uplink ports per the design:</w:t>
      </w:r>
    </w:p>
    <w:p>
      <w:pPr>
        <w:shd w:fill="1E1E1E" w:val="clear"/>
        <w:spacing w:after="200" w:before="60"/>
        <w:ind w:left="100"/>
      </w:pPr>
      <w:r>
        <w:rPr>
          <w:rFonts w:ascii="Consolas" w:cs="Consolas" w:eastAsia="Consolas" w:hAnsi="Consolas"/>
          <w:color w:val="D4D4D4"/>
          <w:sz w:val="19"/>
          <w:szCs w:val="19"/>
        </w:rPr>
        <w:t xml:space="preserve">switch(config)# interface 1/1/1</w:t>
      </w:r>
      <w:r>
        <w:br/>
      </w:r>
      <w:r>
        <w:rPr>
          <w:rFonts w:ascii="Consolas" w:cs="Consolas" w:eastAsia="Consolas" w:hAnsi="Consolas"/>
          <w:color w:val="D4D4D4"/>
          <w:sz w:val="19"/>
          <w:szCs w:val="19"/>
        </w:rPr>
        <w:t xml:space="preserve">switch(config-if)# no shutdown</w:t>
      </w:r>
      <w:r>
        <w:br/>
      </w:r>
      <w:r>
        <w:rPr>
          <w:rFonts w:ascii="Consolas" w:cs="Consolas" w:eastAsia="Consolas" w:hAnsi="Consolas"/>
          <w:color w:val="D4D4D4"/>
          <w:sz w:val="19"/>
          <w:szCs w:val="19"/>
        </w:rPr>
        <w:t xml:space="preserve">switch(config-if)# vlan access 10</w:t>
      </w:r>
      <w:r>
        <w:br/>
      </w:r>
      <w:r>
        <w:rPr>
          <w:rFonts w:ascii="Consolas" w:cs="Consolas" w:eastAsia="Consolas" w:hAnsi="Consolas"/>
          <w:color w:val="D4D4D4"/>
          <w:sz w:val="19"/>
          <w:szCs w:val="19"/>
        </w:rPr>
        <w:t xml:space="preserve">switch(config)# interface 1/1/48</w:t>
      </w:r>
      <w:r>
        <w:br/>
      </w:r>
      <w:r>
        <w:rPr>
          <w:rFonts w:ascii="Consolas" w:cs="Consolas" w:eastAsia="Consolas" w:hAnsi="Consolas"/>
          <w:color w:val="D4D4D4"/>
          <w:sz w:val="19"/>
          <w:szCs w:val="19"/>
        </w:rPr>
        <w:t xml:space="preserve">switch(config-if)# no shutdown</w:t>
      </w:r>
      <w:r>
        <w:br/>
      </w:r>
      <w:r>
        <w:rPr>
          <w:rFonts w:ascii="Consolas" w:cs="Consolas" w:eastAsia="Consolas" w:hAnsi="Consolas"/>
          <w:color w:val="D4D4D4"/>
          <w:sz w:val="19"/>
          <w:szCs w:val="19"/>
        </w:rPr>
        <w:t xml:space="preserve">switch(config-if)# vlan trunk allowed 10,20,30</w:t>
      </w:r>
      <w:r>
        <w:br/>
      </w:r>
      <w:r>
        <w:rPr>
          <w:rFonts w:ascii="Consolas" w:cs="Consolas" w:eastAsia="Consolas" w:hAnsi="Consolas"/>
          <w:color w:val="D4D4D4"/>
          <w:sz w:val="19"/>
          <w:szCs w:val="19"/>
        </w:rPr>
        <w:t xml:space="preserve">switch(config-if)# vlan trunk native 1</w:t>
      </w:r>
    </w:p>
    <w:p>
      <w:pPr>
        <w:pStyle w:val="ListParagraph"/>
        <w:numPr>
          <w:ilvl w:val="0"/>
          <w:numId w:val="3"/>
        </w:numPr>
        <w:spacing w:after="140"/>
      </w:pPr>
      <w:r>
        <w:rPr>
          <w:b/>
          <w:bCs/>
        </w:rPr>
        <w:t xml:space="preserve">Enable VSF, if stacking. </w:t>
      </w:r>
      <w:r>
        <w:t xml:space="preserve">For a multi-member stack, enable VSF and assign the member ID and VSF link ports per the platform's VSF configuration guide before joining additional members.</w:t>
      </w:r>
    </w:p>
    <w:p>
      <w:pPr>
        <w:pStyle w:val="ListParagraph"/>
        <w:numPr>
          <w:ilvl w:val="0"/>
          <w:numId w:val="3"/>
        </w:numPr>
        <w:spacing w:after="140"/>
      </w:pPr>
      <w:r>
        <w:rPr>
          <w:b/>
          <w:bCs/>
        </w:rPr>
        <w:t xml:space="preserve">Configure administrative access. </w:t>
      </w:r>
      <w:r>
        <w:t xml:space="preserve">Create named administrative accounts per site policy, and enable SSH while disabling insecure management protocols (e.g., Telnet) not required by the site.</w:t>
      </w:r>
    </w:p>
    <w:p>
      <w:pPr>
        <w:pStyle w:val="ListParagraph"/>
        <w:numPr>
          <w:ilvl w:val="0"/>
          <w:numId w:val="3"/>
        </w:numPr>
        <w:spacing w:after="140"/>
      </w:pPr>
      <w:r>
        <w:rPr>
          <w:b/>
          <w:bCs/>
        </w:rPr>
        <w:t xml:space="preserve">Save the configuration. </w:t>
      </w:r>
      <w:r>
        <w:t xml:space="preserve">Write the running configuration to startup so changes persist across reboot:</w:t>
      </w:r>
    </w:p>
    <w:p>
      <w:pPr>
        <w:shd w:fill="1E1E1E" w:val="clear"/>
        <w:spacing w:after="200" w:before="60"/>
        <w:ind w:left="100"/>
      </w:pPr>
      <w:r>
        <w:rPr>
          <w:rFonts w:ascii="Consolas" w:cs="Consolas" w:eastAsia="Consolas" w:hAnsi="Consolas"/>
          <w:color w:val="D4D4D4"/>
          <w:sz w:val="19"/>
          <w:szCs w:val="19"/>
        </w:rPr>
        <w:t xml:space="preserve">switch(config)# end</w:t>
      </w:r>
      <w:r>
        <w:br/>
      </w:r>
      <w:r>
        <w:rPr>
          <w:rFonts w:ascii="Consolas" w:cs="Consolas" w:eastAsia="Consolas" w:hAnsi="Consolas"/>
          <w:color w:val="D4D4D4"/>
          <w:sz w:val="19"/>
          <w:szCs w:val="19"/>
        </w:rPr>
        <w:t xml:space="preserve">switch# write memory</w:t>
      </w:r>
    </w:p>
    <w:p>
      <w:pPr>
        <w:pStyle w:val="Heading1"/>
        <w:spacing w:after="140" w:before="320"/>
      </w:pPr>
      <w:r>
        <w:t xml:space="preserve">6. Verification</w:t>
      </w:r>
    </w:p>
    <w:p>
      <w:pPr>
        <w:spacing w:after="120"/>
      </w:pPr>
      <w:r>
        <w:t xml:space="preserve">Complete the following checks before handing the switch off to the network operations team:</w:t>
      </w:r>
    </w:p>
    <w:p>
      <w:pPr>
        <w:pStyle w:val="ListParagraph"/>
        <w:numPr>
          <w:ilvl w:val="0"/>
          <w:numId w:val="4"/>
        </w:numPr>
        <w:spacing w:after="60"/>
      </w:pPr>
      <w:r>
        <w:t xml:space="preserve">Switch is level, securely mounted, and cabling is dressed and labeled at both ends</w:t>
      </w:r>
    </w:p>
    <w:p>
      <w:pPr>
        <w:pStyle w:val="ListParagraph"/>
        <w:numPr>
          <w:ilvl w:val="0"/>
          <w:numId w:val="4"/>
        </w:numPr>
        <w:spacing w:after="60"/>
      </w:pPr>
      <w:r>
        <w:t xml:space="preserve">Admin password has been changed from blank/default</w:t>
      </w:r>
    </w:p>
    <w:p>
      <w:pPr>
        <w:pStyle w:val="ListParagraph"/>
        <w:numPr>
          <w:ilvl w:val="0"/>
          <w:numId w:val="4"/>
        </w:numPr>
        <w:spacing w:after="60"/>
      </w:pPr>
      <w:r>
        <w:t xml:space="preserve">Hostname and management IP match the change record / network design</w:t>
      </w:r>
    </w:p>
    <w:p>
      <w:pPr>
        <w:pStyle w:val="ListParagraph"/>
        <w:numPr>
          <w:ilvl w:val="0"/>
          <w:numId w:val="4"/>
        </w:numPr>
        <w:spacing w:after="60"/>
      </w:pPr>
      <w:r>
        <w:t xml:space="preserve">Management interface is reachable via SSH from the management network</w:t>
      </w:r>
    </w:p>
    <w:p>
      <w:pPr>
        <w:pStyle w:val="ListParagraph"/>
        <w:numPr>
          <w:ilvl w:val="0"/>
          <w:numId w:val="4"/>
        </w:numPr>
        <w:spacing w:after="60"/>
      </w:pPr>
      <w:r>
        <w:t xml:space="preserve">NTP is synchronized and system clock/time zone are correct</w:t>
      </w:r>
    </w:p>
    <w:p>
      <w:pPr>
        <w:pStyle w:val="ListParagraph"/>
        <w:numPr>
          <w:ilvl w:val="0"/>
          <w:numId w:val="4"/>
        </w:numPr>
        <w:spacing w:after="60"/>
      </w:pPr>
      <w:r>
        <w:t xml:space="preserve">All required VLANs are created and named per the design</w:t>
      </w:r>
    </w:p>
    <w:p>
      <w:pPr>
        <w:pStyle w:val="ListParagraph"/>
        <w:numPr>
          <w:ilvl w:val="0"/>
          <w:numId w:val="4"/>
        </w:numPr>
        <w:spacing w:after="60"/>
      </w:pPr>
      <w:r>
        <w:t xml:space="preserve">Access and trunk ports are configured with the correct VLAN assignments and are in an 'up' operational state</w:t>
      </w:r>
    </w:p>
    <w:p>
      <w:pPr>
        <w:pStyle w:val="ListParagraph"/>
        <w:numPr>
          <w:ilvl w:val="0"/>
          <w:numId w:val="4"/>
        </w:numPr>
        <w:spacing w:after="60"/>
      </w:pPr>
      <w:r>
        <w:t xml:space="preserve">VSF members (if applicable) show as joined and healthy in show vsf status</w:t>
      </w:r>
    </w:p>
    <w:p>
      <w:pPr>
        <w:pStyle w:val="ListParagraph"/>
        <w:numPr>
          <w:ilvl w:val="0"/>
          <w:numId w:val="4"/>
        </w:numPr>
        <w:spacing w:after="60"/>
      </w:pPr>
      <w:r>
        <w:t xml:space="preserve">Insecure management protocols are disabled per site security policy</w:t>
      </w:r>
    </w:p>
    <w:p>
      <w:pPr>
        <w:pStyle w:val="ListParagraph"/>
        <w:numPr>
          <w:ilvl w:val="0"/>
          <w:numId w:val="4"/>
        </w:numPr>
        <w:spacing w:after="60"/>
      </w:pPr>
      <w:r>
        <w:t xml:space="preserve">Running configuration has been saved to startup configuration</w:t>
      </w:r>
    </w:p>
    <w:p>
      <w:pPr>
        <w:pStyle w:val="ListParagraph"/>
        <w:numPr>
          <w:ilvl w:val="0"/>
          <w:numId w:val="4"/>
        </w:numPr>
        <w:spacing w:after="60"/>
      </w:pPr>
      <w:r>
        <w:t xml:space="preserve">Switch has been added to the site's monitoring and configuration backup systems</w:t>
      </w:r>
    </w:p>
    <w:p>
      <w:pPr>
        <w:pStyle w:val="ListParagraph"/>
        <w:numPr>
          <w:ilvl w:val="0"/>
          <w:numId w:val="4"/>
        </w:numPr>
        <w:spacing w:after="60"/>
      </w:pPr>
      <w:r>
        <w:t xml:space="preserve">Change record updated and closed; handoff documentation provided to network operations</w:t>
      </w:r>
    </w:p>
    <w:p>
      <w:pPr>
        <w:pStyle w:val="Heading1"/>
        <w:spacing w:after="140" w:before="320"/>
      </w:pPr>
      <w:r>
        <w:t xml:space="preserve">7. Troubleshooting</w:t>
      </w:r>
    </w:p>
    <w:p>
      <w:pPr>
        <w:spacing w:after="120"/>
      </w:pPr>
      <w:r>
        <w:t xml:space="preserve">If connectivity or configuration issues appear after installation, use the table below before re-opening the change.</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720"/>
      </w:tblGrid>
      <w:tr>
        <w:trPr>
          <w:tblHeader/>
        </w:trPr>
        <w:tc>
          <w:tcPr>
            <w:tcW w:type="dxa" w:w="2400"/>
            <w:shd w:fill="0B2545" w:val="clear"/>
            <w:tcMar>
              <w:top w:type="dxa" w:w="80"/>
              <w:left w:type="dxa" w:w="100"/>
              <w:bottom w:type="dxa" w:w="80"/>
              <w:right w:type="dxa" w:w="100"/>
            </w:tcMar>
          </w:tcPr>
          <w:p>
            <w:r>
              <w:rPr>
                <w:b/>
                <w:bCs/>
                <w:color w:val="FFFFFF"/>
                <w:sz w:val="20"/>
                <w:szCs w:val="20"/>
              </w:rPr>
              <w:t xml:space="preserve">Symptom</w:t>
            </w:r>
          </w:p>
        </w:tc>
        <w:tc>
          <w:tcPr>
            <w:tcW w:type="dxa" w:w="3000"/>
            <w:shd w:fill="0B2545" w:val="clear"/>
            <w:tcMar>
              <w:top w:type="dxa" w:w="80"/>
              <w:left w:type="dxa" w:w="100"/>
              <w:bottom w:type="dxa" w:w="80"/>
              <w:right w:type="dxa" w:w="100"/>
            </w:tcMar>
          </w:tcPr>
          <w:p>
            <w:r>
              <w:rPr>
                <w:b/>
                <w:bCs/>
                <w:color w:val="FFFFFF"/>
                <w:sz w:val="20"/>
                <w:szCs w:val="20"/>
              </w:rPr>
              <w:t xml:space="preserve">Probable Cause</w:t>
            </w:r>
          </w:p>
        </w:tc>
        <w:tc>
          <w:tcPr>
            <w:tcW w:type="dxa" w:w="3720"/>
            <w:shd w:fill="0B2545" w:val="clear"/>
            <w:tcMar>
              <w:top w:type="dxa" w:w="80"/>
              <w:left w:type="dxa" w:w="100"/>
              <w:bottom w:type="dxa" w:w="80"/>
              <w:right w:type="dxa" w:w="100"/>
            </w:tcMar>
          </w:tcPr>
          <w:p>
            <w:r>
              <w:rPr>
                <w:b/>
                <w:bCs/>
                <w:color w:val="FFFFFF"/>
                <w:sz w:val="20"/>
                <w:szCs w:val="20"/>
              </w:rPr>
              <w:t xml:space="preserve">Corrective Action</w:t>
            </w:r>
          </w:p>
        </w:tc>
      </w:tr>
      <w:tr>
        <w:trPr>
          <w:tblHeader w:val="false"/>
        </w:trPr>
        <w:tc>
          <w:tcPr>
            <w:tcW w:type="dxa" w:w="2400"/>
            <w:tcMar>
              <w:top w:type="dxa" w:w="80"/>
              <w:left w:type="dxa" w:w="100"/>
              <w:bottom w:type="dxa" w:w="80"/>
              <w:right w:type="dxa" w:w="100"/>
            </w:tcMar>
          </w:tcPr>
          <w:p>
            <w:r>
              <w:rPr>
                <w:b w:val="false"/>
                <w:bCs w:val="false"/>
                <w:sz w:val="20"/>
                <w:szCs w:val="20"/>
              </w:rPr>
              <w:t xml:space="preserve">No console output on connection</w:t>
            </w:r>
          </w:p>
        </w:tc>
        <w:tc>
          <w:tcPr>
            <w:tcW w:type="dxa" w:w="3000"/>
            <w:tcMar>
              <w:top w:type="dxa" w:w="80"/>
              <w:left w:type="dxa" w:w="100"/>
              <w:bottom w:type="dxa" w:w="80"/>
              <w:right w:type="dxa" w:w="100"/>
            </w:tcMar>
          </w:tcPr>
          <w:p>
            <w:r>
              <w:rPr>
                <w:b w:val="false"/>
                <w:bCs w:val="false"/>
                <w:sz w:val="20"/>
                <w:szCs w:val="20"/>
              </w:rPr>
              <w:t xml:space="preserve">Wrong terminal settings, or USB console driver not installed</w:t>
            </w:r>
          </w:p>
        </w:tc>
        <w:tc>
          <w:tcPr>
            <w:tcW w:type="dxa" w:w="3720"/>
            <w:tcMar>
              <w:top w:type="dxa" w:w="80"/>
              <w:left w:type="dxa" w:w="100"/>
              <w:bottom w:type="dxa" w:w="80"/>
              <w:right w:type="dxa" w:w="100"/>
            </w:tcMar>
          </w:tcPr>
          <w:p>
            <w:r>
              <w:rPr>
                <w:b w:val="false"/>
                <w:bCs w:val="false"/>
                <w:sz w:val="20"/>
                <w:szCs w:val="20"/>
              </w:rPr>
              <w:t xml:space="preserve">Confirm terminal emulator is set to 9600 8-N-1, no flow control; install the USB-to-serial driver if using the USB-C console port.</w:t>
            </w:r>
          </w:p>
        </w:tc>
      </w:tr>
      <w:tr>
        <w:trPr>
          <w:tblHeader w:val="false"/>
        </w:trPr>
        <w:tc>
          <w:tcPr>
            <w:tcW w:type="dxa" w:w="2400"/>
            <w:tcMar>
              <w:top w:type="dxa" w:w="80"/>
              <w:left w:type="dxa" w:w="100"/>
              <w:bottom w:type="dxa" w:w="80"/>
              <w:right w:type="dxa" w:w="100"/>
            </w:tcMar>
          </w:tcPr>
          <w:p>
            <w:r>
              <w:rPr>
                <w:b w:val="false"/>
                <w:bCs w:val="false"/>
                <w:sz w:val="20"/>
                <w:szCs w:val="20"/>
              </w:rPr>
              <w:t xml:space="preserve">Cannot reach the management IP after configuration</w:t>
            </w:r>
          </w:p>
        </w:tc>
        <w:tc>
          <w:tcPr>
            <w:tcW w:type="dxa" w:w="3000"/>
            <w:tcMar>
              <w:top w:type="dxa" w:w="80"/>
              <w:left w:type="dxa" w:w="100"/>
              <w:bottom w:type="dxa" w:w="80"/>
              <w:right w:type="dxa" w:w="100"/>
            </w:tcMar>
          </w:tcPr>
          <w:p>
            <w:r>
              <w:rPr>
                <w:b w:val="false"/>
                <w:bCs w:val="false"/>
                <w:sz w:val="20"/>
                <w:szCs w:val="20"/>
              </w:rPr>
              <w:t xml:space="preserve">Management interface not enabled, wrong VLAN, or ACL/firewall blocking access</w:t>
            </w:r>
          </w:p>
        </w:tc>
        <w:tc>
          <w:tcPr>
            <w:tcW w:type="dxa" w:w="3720"/>
            <w:tcMar>
              <w:top w:type="dxa" w:w="80"/>
              <w:left w:type="dxa" w:w="100"/>
              <w:bottom w:type="dxa" w:w="80"/>
              <w:right w:type="dxa" w:w="100"/>
            </w:tcMar>
          </w:tcPr>
          <w:p>
            <w:r>
              <w:rPr>
                <w:b w:val="false"/>
                <w:bCs w:val="false"/>
                <w:sz w:val="20"/>
                <w:szCs w:val="20"/>
              </w:rPr>
              <w:t xml:space="preserve">Verify 'interface mgmt' is configured and up with show interface mgmt; confirm the management network route and any intermediate ACLs.</w:t>
            </w:r>
          </w:p>
        </w:tc>
      </w:tr>
      <w:tr>
        <w:trPr>
          <w:tblHeader w:val="false"/>
        </w:trPr>
        <w:tc>
          <w:tcPr>
            <w:tcW w:type="dxa" w:w="2400"/>
            <w:tcMar>
              <w:top w:type="dxa" w:w="80"/>
              <w:left w:type="dxa" w:w="100"/>
              <w:bottom w:type="dxa" w:w="80"/>
              <w:right w:type="dxa" w:w="100"/>
            </w:tcMar>
          </w:tcPr>
          <w:p>
            <w:r>
              <w:rPr>
                <w:b w:val="false"/>
                <w:bCs w:val="false"/>
                <w:sz w:val="20"/>
                <w:szCs w:val="20"/>
              </w:rPr>
              <w:t xml:space="preserve">VSF member not joining the stack</w:t>
            </w:r>
          </w:p>
        </w:tc>
        <w:tc>
          <w:tcPr>
            <w:tcW w:type="dxa" w:w="3000"/>
            <w:tcMar>
              <w:top w:type="dxa" w:w="80"/>
              <w:left w:type="dxa" w:w="100"/>
              <w:bottom w:type="dxa" w:w="80"/>
              <w:right w:type="dxa" w:w="100"/>
            </w:tcMar>
          </w:tcPr>
          <w:p>
            <w:r>
              <w:rPr>
                <w:b w:val="false"/>
                <w:bCs w:val="false"/>
                <w:sz w:val="20"/>
                <w:szCs w:val="20"/>
              </w:rPr>
              <w:t xml:space="preserve">Mismatched firmware version between members, or VSF link not cabled to the correct ports</w:t>
            </w:r>
          </w:p>
        </w:tc>
        <w:tc>
          <w:tcPr>
            <w:tcW w:type="dxa" w:w="3720"/>
            <w:tcMar>
              <w:top w:type="dxa" w:w="80"/>
              <w:left w:type="dxa" w:w="100"/>
              <w:bottom w:type="dxa" w:w="80"/>
              <w:right w:type="dxa" w:w="100"/>
            </w:tcMar>
          </w:tcPr>
          <w:p>
            <w:r>
              <w:rPr>
                <w:b w:val="false"/>
                <w:bCs w:val="false"/>
                <w:sz w:val="20"/>
                <w:szCs w:val="20"/>
              </w:rPr>
              <w:t xml:space="preserve">Confirm both members run the same AOS-CX version before enabling VSF; verify VSF links are connected to the ports specified in the platform's VSF guide.</w:t>
            </w:r>
          </w:p>
        </w:tc>
      </w:tr>
      <w:tr>
        <w:trPr>
          <w:tblHeader w:val="false"/>
        </w:trPr>
        <w:tc>
          <w:tcPr>
            <w:tcW w:type="dxa" w:w="2400"/>
            <w:tcMar>
              <w:top w:type="dxa" w:w="80"/>
              <w:left w:type="dxa" w:w="100"/>
              <w:bottom w:type="dxa" w:w="80"/>
              <w:right w:type="dxa" w:w="100"/>
            </w:tcMar>
          </w:tcPr>
          <w:p>
            <w:r>
              <w:rPr>
                <w:b w:val="false"/>
                <w:bCs w:val="false"/>
                <w:sz w:val="20"/>
                <w:szCs w:val="20"/>
              </w:rPr>
              <w:t xml:space="preserve">Port will not come up (link down)</w:t>
            </w:r>
          </w:p>
        </w:tc>
        <w:tc>
          <w:tcPr>
            <w:tcW w:type="dxa" w:w="3000"/>
            <w:tcMar>
              <w:top w:type="dxa" w:w="80"/>
              <w:left w:type="dxa" w:w="100"/>
              <w:bottom w:type="dxa" w:w="80"/>
              <w:right w:type="dxa" w:w="100"/>
            </w:tcMar>
          </w:tcPr>
          <w:p>
            <w:r>
              <w:rPr>
                <w:b w:val="false"/>
                <w:bCs w:val="false"/>
                <w:sz w:val="20"/>
                <w:szCs w:val="20"/>
              </w:rPr>
              <w:t xml:space="preserve">Speed/duplex mismatch, disabled interface, or bad cable/transceiver</w:t>
            </w:r>
          </w:p>
        </w:tc>
        <w:tc>
          <w:tcPr>
            <w:tcW w:type="dxa" w:w="3720"/>
            <w:tcMar>
              <w:top w:type="dxa" w:w="80"/>
              <w:left w:type="dxa" w:w="100"/>
              <w:bottom w:type="dxa" w:w="80"/>
              <w:right w:type="dxa" w:w="100"/>
            </w:tcMar>
          </w:tcPr>
          <w:p>
            <w:r>
              <w:rPr>
                <w:b w:val="false"/>
                <w:bCs w:val="false"/>
                <w:sz w:val="20"/>
                <w:szCs w:val="20"/>
              </w:rPr>
              <w:t xml:space="preserve">Check 'show interface &lt;port&gt;' for admin/oper state; confirm 'no shutdown' has been applied; swap cable/transceiver to isolate hardware fault.</w:t>
            </w:r>
          </w:p>
        </w:tc>
      </w:tr>
      <w:tr>
        <w:trPr>
          <w:tblHeader w:val="false"/>
        </w:trPr>
        <w:tc>
          <w:tcPr>
            <w:tcW w:type="dxa" w:w="2400"/>
            <w:tcMar>
              <w:top w:type="dxa" w:w="80"/>
              <w:left w:type="dxa" w:w="100"/>
              <w:bottom w:type="dxa" w:w="80"/>
              <w:right w:type="dxa" w:w="100"/>
            </w:tcMar>
          </w:tcPr>
          <w:p>
            <w:r>
              <w:rPr>
                <w:b w:val="false"/>
                <w:bCs w:val="false"/>
                <w:sz w:val="20"/>
                <w:szCs w:val="20"/>
              </w:rPr>
              <w:t xml:space="preserve">New VLAN not passing traffic on a trunk</w:t>
            </w:r>
          </w:p>
        </w:tc>
        <w:tc>
          <w:tcPr>
            <w:tcW w:type="dxa" w:w="3000"/>
            <w:tcMar>
              <w:top w:type="dxa" w:w="80"/>
              <w:left w:type="dxa" w:w="100"/>
              <w:bottom w:type="dxa" w:w="80"/>
              <w:right w:type="dxa" w:w="100"/>
            </w:tcMar>
          </w:tcPr>
          <w:p>
            <w:r>
              <w:rPr>
                <w:b w:val="false"/>
                <w:bCs w:val="false"/>
                <w:sz w:val="20"/>
                <w:szCs w:val="20"/>
              </w:rPr>
              <w:t xml:space="preserve">VLAN not permitted on the trunk, or native VLAN mismatch between switches</w:t>
            </w:r>
          </w:p>
        </w:tc>
        <w:tc>
          <w:tcPr>
            <w:tcW w:type="dxa" w:w="3720"/>
            <w:tcMar>
              <w:top w:type="dxa" w:w="80"/>
              <w:left w:type="dxa" w:w="100"/>
              <w:bottom w:type="dxa" w:w="80"/>
              <w:right w:type="dxa" w:w="100"/>
            </w:tcMar>
          </w:tcPr>
          <w:p>
            <w:r>
              <w:rPr>
                <w:b w:val="false"/>
                <w:bCs w:val="false"/>
                <w:sz w:val="20"/>
                <w:szCs w:val="20"/>
              </w:rPr>
              <w:t xml:space="preserve">Verify 'vlan trunk allowed' includes the VLAN on both ends of the link, and that native VLAN settings match.</w:t>
            </w:r>
          </w:p>
        </w:tc>
      </w:tr>
    </w:tbl>
    <w:p>
      <w:pPr>
        <w:pStyle w:val="Heading1"/>
        <w:spacing w:after="140" w:before="320"/>
      </w:pPr>
      <w:r>
        <w:t xml:space="preserve">8. Revision History</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600"/>
        <w:gridCol w:w="3920"/>
      </w:tblGrid>
      <w:tr>
        <w:trPr>
          <w:tblHeader/>
        </w:trPr>
        <w:tc>
          <w:tcPr>
            <w:tcW w:type="dxa" w:w="1000"/>
            <w:shd w:fill="0B2545" w:val="clear"/>
            <w:tcMar>
              <w:top w:type="dxa" w:w="80"/>
              <w:left w:type="dxa" w:w="100"/>
              <w:bottom w:type="dxa" w:w="80"/>
              <w:right w:type="dxa" w:w="100"/>
            </w:tcMar>
          </w:tcPr>
          <w:p>
            <w:r>
              <w:rPr>
                <w:b/>
                <w:bCs/>
                <w:color w:val="FFFFFF"/>
                <w:sz w:val="20"/>
                <w:szCs w:val="20"/>
              </w:rPr>
              <w:t xml:space="preserve">Rev.</w:t>
            </w:r>
          </w:p>
        </w:tc>
        <w:tc>
          <w:tcPr>
            <w:tcW w:type="dxa" w:w="1600"/>
            <w:shd w:fill="0B2545" w:val="clear"/>
            <w:tcMar>
              <w:top w:type="dxa" w:w="80"/>
              <w:left w:type="dxa" w:w="100"/>
              <w:bottom w:type="dxa" w:w="80"/>
              <w:right w:type="dxa" w:w="100"/>
            </w:tcMar>
          </w:tcPr>
          <w:p>
            <w:r>
              <w:rPr>
                <w:b/>
                <w:bCs/>
                <w:color w:val="FFFFFF"/>
                <w:sz w:val="20"/>
                <w:szCs w:val="20"/>
              </w:rPr>
              <w:t xml:space="preserve">Date</w:t>
            </w:r>
          </w:p>
        </w:tc>
        <w:tc>
          <w:tcPr>
            <w:tcW w:type="dxa" w:w="2600"/>
            <w:shd w:fill="0B2545" w:val="clear"/>
            <w:tcMar>
              <w:top w:type="dxa" w:w="80"/>
              <w:left w:type="dxa" w:w="100"/>
              <w:bottom w:type="dxa" w:w="80"/>
              <w:right w:type="dxa" w:w="100"/>
            </w:tcMar>
          </w:tcPr>
          <w:p>
            <w:r>
              <w:rPr>
                <w:b/>
                <w:bCs/>
                <w:color w:val="FFFFFF"/>
                <w:sz w:val="20"/>
                <w:szCs w:val="20"/>
              </w:rPr>
              <w:t xml:space="preserve">Author</w:t>
            </w:r>
          </w:p>
        </w:tc>
        <w:tc>
          <w:tcPr>
            <w:tcW w:type="dxa" w:w="3920"/>
            <w:shd w:fill="0B2545" w:val="clear"/>
            <w:tcMar>
              <w:top w:type="dxa" w:w="80"/>
              <w:left w:type="dxa" w:w="100"/>
              <w:bottom w:type="dxa" w:w="80"/>
              <w:right w:type="dxa" w:w="100"/>
            </w:tcMar>
          </w:tcPr>
          <w:p>
            <w:r>
              <w:rPr>
                <w:b/>
                <w:bCs/>
                <w:color w:val="FFFFFF"/>
                <w:sz w:val="20"/>
                <w:szCs w:val="20"/>
              </w:rPr>
              <w:t xml:space="preserve">Description of Change</w:t>
            </w:r>
          </w:p>
        </w:tc>
      </w:tr>
      <w:tr>
        <w:trPr>
          <w:tblHeader w:val="false"/>
        </w:trPr>
        <w:tc>
          <w:tcPr>
            <w:tcW w:type="dxa" w:w="1000"/>
            <w:tcMar>
              <w:top w:type="dxa" w:w="80"/>
              <w:left w:type="dxa" w:w="100"/>
              <w:bottom w:type="dxa" w:w="80"/>
              <w:right w:type="dxa" w:w="100"/>
            </w:tcMar>
          </w:tcPr>
          <w:p>
            <w:r>
              <w:rPr>
                <w:b w:val="false"/>
                <w:bCs w:val="false"/>
                <w:sz w:val="20"/>
                <w:szCs w:val="20"/>
              </w:rPr>
              <w:t xml:space="preserve">00</w:t>
            </w:r>
          </w:p>
        </w:tc>
        <w:tc>
          <w:tcPr>
            <w:tcW w:type="dxa" w:w="1600"/>
            <w:tcMar>
              <w:top w:type="dxa" w:w="80"/>
              <w:left w:type="dxa" w:w="100"/>
              <w:bottom w:type="dxa" w:w="80"/>
              <w:right w:type="dxa" w:w="100"/>
            </w:tcMar>
          </w:tcPr>
          <w:p>
            <w:r>
              <w:rPr>
                <w:b w:val="false"/>
                <w:bCs w:val="false"/>
                <w:sz w:val="20"/>
                <w:szCs w:val="20"/>
              </w:rPr>
              <w:t xml:space="preserve">2026-04-22</w:t>
            </w:r>
          </w:p>
        </w:tc>
        <w:tc>
          <w:tcPr>
            <w:tcW w:type="dxa" w:w="2600"/>
            <w:tcMar>
              <w:top w:type="dxa" w:w="80"/>
              <w:left w:type="dxa" w:w="100"/>
              <w:bottom w:type="dxa" w:w="80"/>
              <w:right w:type="dxa" w:w="100"/>
            </w:tcMar>
          </w:tcPr>
          <w:p>
            <w:r>
              <w:rPr>
                <w:b w:val="false"/>
                <w:bCs w:val="false"/>
                <w:sz w:val="20"/>
                <w:szCs w:val="20"/>
              </w:rPr>
              <w:t xml:space="preserve">M. Langley, Tech. Writer</w:t>
            </w:r>
          </w:p>
        </w:tc>
        <w:tc>
          <w:tcPr>
            <w:tcW w:type="dxa" w:w="3920"/>
            <w:tcMar>
              <w:top w:type="dxa" w:w="80"/>
              <w:left w:type="dxa" w:w="100"/>
              <w:bottom w:type="dxa" w:w="80"/>
              <w:right w:type="dxa" w:w="100"/>
            </w:tcMar>
          </w:tcPr>
          <w:p>
            <w:r>
              <w:rPr>
                <w:b w:val="false"/>
                <w:bCs w:val="false"/>
                <w:sz w:val="20"/>
                <w:szCs w:val="20"/>
              </w:rPr>
              <w:t xml:space="preserve">Initial release covering rack install through base CLI configuration.</w:t>
            </w:r>
          </w:p>
        </w:tc>
      </w:tr>
      <w:tr>
        <w:trPr>
          <w:tblHeader w:val="false"/>
        </w:trPr>
        <w:tc>
          <w:tcPr>
            <w:tcW w:type="dxa" w:w="1000"/>
            <w:tcMar>
              <w:top w:type="dxa" w:w="80"/>
              <w:left w:type="dxa" w:w="100"/>
              <w:bottom w:type="dxa" w:w="80"/>
              <w:right w:type="dxa" w:w="100"/>
            </w:tcMar>
          </w:tcPr>
          <w:p>
            <w:r>
              <w:rPr>
                <w:b w:val="false"/>
                <w:bCs w:val="false"/>
                <w:sz w:val="20"/>
                <w:szCs w:val="20"/>
              </w:rPr>
              <w:t xml:space="preserve">01</w:t>
            </w:r>
          </w:p>
        </w:tc>
        <w:tc>
          <w:tcPr>
            <w:tcW w:type="dxa" w:w="1600"/>
            <w:tcMar>
              <w:top w:type="dxa" w:w="80"/>
              <w:left w:type="dxa" w:w="100"/>
              <w:bottom w:type="dxa" w:w="80"/>
              <w:right w:type="dxa" w:w="100"/>
            </w:tcMar>
          </w:tcPr>
          <w:p>
            <w:r>
              <w:rPr>
                <w:b w:val="false"/>
                <w:bCs w:val="false"/>
                <w:sz w:val="20"/>
                <w:szCs w:val="20"/>
              </w:rPr>
              <w:t xml:space="preserve">2026-07-29</w:t>
            </w:r>
          </w:p>
        </w:tc>
        <w:tc>
          <w:tcPr>
            <w:tcW w:type="dxa" w:w="2600"/>
            <w:tcMar>
              <w:top w:type="dxa" w:w="80"/>
              <w:left w:type="dxa" w:w="100"/>
              <w:bottom w:type="dxa" w:w="80"/>
              <w:right w:type="dxa" w:w="100"/>
            </w:tcMar>
          </w:tcPr>
          <w:p>
            <w:r>
              <w:rPr>
                <w:b w:val="false"/>
                <w:bCs w:val="false"/>
                <w:sz w:val="20"/>
                <w:szCs w:val="20"/>
              </w:rPr>
              <w:t xml:space="preserve">M. Langley, Tech. Writer</w:t>
            </w:r>
          </w:p>
        </w:tc>
        <w:tc>
          <w:tcPr>
            <w:tcW w:type="dxa" w:w="3920"/>
            <w:tcMar>
              <w:top w:type="dxa" w:w="80"/>
              <w:left w:type="dxa" w:w="100"/>
              <w:bottom w:type="dxa" w:w="80"/>
              <w:right w:type="dxa" w:w="100"/>
            </w:tcMar>
          </w:tcPr>
          <w:p>
            <w:r>
              <w:rPr>
                <w:b w:val="false"/>
                <w:bCs w:val="false"/>
                <w:sz w:val="20"/>
                <w:szCs w:val="20"/>
              </w:rPr>
              <w:t xml:space="preserve">Added VSF stacking notes, troubleshooting table, and post-install verification checklist.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abstractNum w:abstractNumId="3" w15:restartNumberingAfterBreak="0">
    <w:multiLevelType w:val="hybridMultilevel"/>
    <w:lvl w:ilvl="0" w15:tentative="1">
      <w:start w:val="1"/>
      <w:numFmt w:val="decimal"/>
      <w:lvlText w:val="%1."/>
      <w:lvlJc w:val="left"/>
      <w:pPr>
        <w:ind w:left="450" w:hanging="270"/>
      </w:pPr>
    </w:lvl>
  </w:abstractNum>
  <w:abstractNum w:abstractNumId="4"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8300" w:sz="6" w:space="4"/>
      </w:pBdr>
      <w:spacing w:after="140" w:before="320"/>
    </w:pPr>
    <w:rPr>
      <w:b/>
      <w:bCs/>
      <w:color w:val="0B254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2026-07-30T00:45:23.237Z</dcterms:created>
  <dcterms:modified xsi:type="dcterms:W3CDTF">2026-07-30T00:45:23.250Z</dcterms:modified>
</cp:coreProperties>
</file>

<file path=docProps/custom.xml><?xml version="1.0" encoding="utf-8"?>
<Properties xmlns="http://schemas.openxmlformats.org/officeDocument/2006/custom-properties" xmlns:vt="http://schemas.openxmlformats.org/officeDocument/2006/docPropsVTypes"/>
</file>