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rPr>
                    <w:sz w:val="18"/>
                    <w:szCs w:val="18"/>
                  </w:rPr>
                  <w:t w:space="preserve">HOA Governance</w:t>
                </w:r>
                <w:r w:rsidR="00A02685">
                  <w:br/>
                  <w:t w:space="preserve"/>
                </w:r>
                <w:r w:rsidRPr="00164085" w:rsidR="00A02685">
                  <w:rPr>
                    <w:sz w:val="18"/>
                    <w:szCs w:val="18"/>
                  </w:rPr>
                  <w:t w:space="preserve">and Compliance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rPr>
                    <w:sz w:val="19"/>
                    <w:szCs w:val="19"/>
                  </w:rPr>
                  <w:t w:space="preserve">Patrick Flanigan</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 thesis analyzing homeowner association governance, focusing on rules, a</w:t>
                </w:r>
              </w:p>
              <w:p w:rsidR="00565612" w:rsidP="00101E9F" w:rsidRDefault="001A27A1" w14:paraId="26FF5234" w14:textId="04E196E0">
                <w:pPr>
                  <w:pStyle w:val="Information"/>
                </w:pPr>
                <w:r w:rsidRPr="00101E9F">
                  <w:t w:space="preserve">rchitectural guidelines, enforcement, and community management within single-family communities.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Centerpointe</w:t>
                </w:r>
                <w:r w:rsidRPr="009A591E" w:rsidR="001A27A1">
                  <w:t xml:space="preserve" w:space="preserve"> </w:t>
                </w:r>
                <w:r w:rsidRPr="0074397B" w:rsidR="001A27A1">
                  <w:t w:space="preserve">Community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Centerpointe HOA Board</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rPr>
                    <w:sz w:val="19"/>
                    <w:szCs w:val="19"/>
                  </w:rPr>
                  <w:t w:space="preserve">Community Governance Studies</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Centerpointe Community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 and Compliance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Patrick Flanigan</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investigates homeowner association (HOA) governance through a document analysis of its core mechanisms, including CC&amp;Rs, architectural guidelines, and compliance enforcement. Analyzing primary HOA documents reveals a structured governance model where the Architectural Review Board (ARB), mandated by the CC&amp;Rs, aims to create review processes that are "simple and prompt" with standards "easy to meet." Key findings explore the tensions between these stated intentions and the practical enforcement of rules regarding exterior modifications and overall community management.</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Architectural Control and Compliance</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The Architectural Review Board (ARB)</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Guidelines and Review Process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Enforcement and Penalties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extend my deepest gratitude to the members of the Pine Creek Estates HOA Board of Directors and the Architectural Review Board for their cooperation, granting me unprecedented access to meetings, documents, and their valuable time.</w:t>
          </w:r>
          <w:r w:rsidRPr="00151CCA" w:rsidR="00C60D2B">
            <w:t w:space="preserve">Susan Carter</w:t>
          </w:r>
          <w:r w:rsidR="00C60D2B">
            <w:t xml:space="preserve" w:space="preserve">As Board President, Susan’s dedication to transparency and fair governance was the inspiration for this work. My sincere thanks also go to my advisor, Dr. Robert Evans, my supportive family, and the community residents who participated in interviews.</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established in the CC&amp;Rs to review and approve property modifications.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fee levied on homeowners to fund the HOA's maintenance of common areas and operations.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&amp; Restrictions; the governing legal documents that bind all homeowners in the community.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Property owned and maintained by the HOA for the shared use and benefit of all homeowners.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the CC&amp;Rs, architectural guidelines, and other HOA rules and regulations.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the outside of a home or lot, which requires prior approval from the ARB.</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practices, and processes by which the HOA is directed and controlled.</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formal permission granted by the ARB to deviate from a specific architectural guideline.</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Architectural Control and Compliance</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The Architectural Review Board (ARB)</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is the central governance body for exterior modifications within the Centerpointe Community Association. Its existence, composition, duties, and powers are formally established in Article III, Section 4 of the Declaration of Covenants, Conditions and Restrictions (CC&amp;R). The ARB's primary function is to administer the architectural guidelines established to maintain community standards and property values, acting as the enforcement arm for the CC&amp;Rs regarding the community's aesthetic vision.</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Guidelines and Review Process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ARB's architectural guidelines are derived from the Centerpointe CC&amp;Rs and research into generally accepted standards from similar homeowners associations. The Board explicitly states it has endeavored to make these standards easy to meet and designed the review process to be simple and prompt for homeowners. These guidelines specifically target external alterations and additions, which are controlled to preserve the uniform aesthetic and, consequently, the collective property value of all homes within the community.</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Enforcement and Penalties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Compliance with the architectural guidelines is not optional; it is a mandatory covenant condition. Failure to fully comply can result in serious consequences for homeowners, including the imposition of daily fines as authorized under the CC&amp;Rs, specifically Article VI, Section 3(c). This enforcement mechanism underscores the binding nature of the CC&amp;Rs and the ARB's authority, linking the guidelines directly to the association's primary governing document and its power to levy financial penalties for violations.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