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HOA</w:t>
                </w:r>
                <w:r w:rsidR="00A02685">
                  <w:br/>
                  <w:t w:space="preserve"/>
                </w:r>
                <w:r w:rsidRPr="00164085" w:rsidR="00A02685">
                  <w:t w:space="preserve">Governance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 comprehensive study of</w:t>
                </w:r>
              </w:p>
              <w:p w:rsidR="00565612" w:rsidP="00101E9F" w:rsidRDefault="001A27A1" w14:paraId="26FF5234" w14:textId="04E196E0">
                <w:pPr>
                  <w:pStyle w:val="Information"/>
                </w:pPr>
                <w:r w:rsidRPr="00101E9F">
                  <w:rPr>
                    <w:sz w:val="14"/>
                    <w:szCs w:val="14"/>
                  </w:rPr>
                  <w:t w:space="preserve">HOA governance—including rules, architectural guidelines, exterior modifications, CC&amp;Rs, compliance enforcement, and community management—derived from the author’s house documents.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Example</w:t>
                </w:r>
                <w:r w:rsidRPr="009A591E" w:rsidR="001A27A1">
                  <w:t xml:space="preserve" w:space="preserve"> </w:t>
                </w:r>
                <w:r w:rsidRPr="0074397B" w:rsidR="001A27A1">
                  <w:t w:space="preserve">University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Thesis Review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Master of Architecture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Example University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studies Centerpointe HOA governance, reviewing CC&amp;Rs, rules, and architectural guidelines that simplify exterior-modification approvals. Through document analysis and interviews, it finds the ARB's defined duties and prompt review boost compliance and community cohesion.</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Framework</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Review Board Authority</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Guidelines for Exterior Modifications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Compliance Enforcement Mechanisms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The author wishes to express sincere appreciation to the HOA Board of Directors and the Architectural Review Board for their dedication to maintaining community standards. Special thanks to </w:t>
          </w:r>
          <w:r w:rsidRPr="00151CCA" w:rsidR="00C60D2B">
            <w:t w:space="preserve">the ARB Committee</w:t>
          </w:r>
          <w:r w:rsidR="00C60D2B">
            <w:t xml:space="preserve" w:space="preserve"> whose leadership and detailed knowledge of community standards made this comprehensive governance guide possible. Thanks also to all homeowners who provided feedback.</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created by Article III‑4 of the CC&amp;Rs, sets design standards, reviews requests, and strives for simple, prompt approvals.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 recurring fee charged to each lot owner to fund common‑area maintenance, services, and reserve savings.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The governing Declaration of Covenants, Conditions, and Restrictions that outlines rights, duties, and restrictions for the community.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property such as streets, lawns, and recreational facilities owned collectively by the association.</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by owners to the CC&amp;Rs, rules, and board decisions, ensuring uniform community standards.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alteration to a home's exterior—e.g., paint, roofing, additions—that requires ARB approval before work begins.</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framework of boards, committees, and documents (CC&amp;Rs, bylaws) that direct decision‑making and enforce community policies.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granted exception allowing a specific property to deviate from a standard CC&amp;R requirement, typically approved by the board.</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Framework</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Review Board Authority</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is established by Article III Section 4 of the Centerpointe Declaration of Covenants, Conditions and Restrictions (CC&amp;Rs). Its composition, basic duties, and powers are defined therein, and the board is charged with applying standards that are purposely straightforward and a prompt review process.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Guidelines for Exterior Modifications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ARB’s first‑edition architectural guidelines set clear restrictions on external alterations and additions, reflecting both the Centerpointe CC&amp;Rs and best‑practice research from comparable HOAs. These guidelines are intended to preserve property values by ensuring any modifications conform to community‑wide standards.</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Compliance Enforcement Mechanisms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Non‑compliance with the architectural guidelines triggers enforcement provisions in Article VI Section 3(c) of the CC&amp;Rs, including the assessment of daily fines until violations are corrected. This enforcement mechanism reinforces the community‑management goal of maintaining uniformity and protecting home values.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