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HOA</w:t>
                </w:r>
                <w:r w:rsidR="00A02685">
                  <w:br/>
                  <w:t w:space="preserve"/>
                </w:r>
                <w:r w:rsidRPr="00164085" w:rsidR="00A02685">
                  <w:rPr>
                    <w:sz w:val="14"/>
                    <w:szCs w:val="14"/>
                  </w:rPr>
                  <w:t w:space="preserve">Governance Analysis</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 study of</w:t>
                </w:r>
              </w:p>
              <w:p w:rsidR="00565612" w:rsidP="00101E9F" w:rsidRDefault="001A27A1" w14:paraId="26FF5234" w14:textId="04E196E0">
                <w:pPr>
                  <w:pStyle w:val="Information"/>
                </w:pPr>
                <w:r w:rsidRPr="00101E9F">
                  <w:t w:space="preserve">HOA governance, rules, enforcement, and community management based on house documents.</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University</w:t>
                </w:r>
                <w:r w:rsidRPr="009A591E" w:rsidR="001A27A1">
                  <w:t xml:space="preserve" w:space="preserve"> </w:t>
                </w:r>
                <w:r w:rsidRPr="0074397B" w:rsidR="001A27A1">
                  <w:rPr>
                    <w:sz w:val="22"/>
                    <w:szCs w:val="22"/>
                  </w:rPr>
                  <w:t w:space="preserve">of Community Studies</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Thesis Review Committee</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Urban Planning &amp; Policy</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University of Community Studies</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HOA Governance Analysis</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examines homeowner association (HOA) governance by analyzing the rules, architectural guidelines, exterior modifications, covenants, conditions, and restrictions (CC&amp;Rs), compliance enforcement, and community management outlined in my property documents. Employing a qualitative review of the HOA’s Declaration of CC&amp;Rs, Architectural Review Board (ARB) guidelines, and established regulations, this study explores the ARB’s role in ensuring adherence to design standards while balancing simplicity and efficiency in the review process. Key findings reveal a structured framework designed to streamline architectural approvals, maintain community aesthetics, and enforce compliance, though challenges in interpretation and enforcement consistency may arise. The research underscores the importance of transparent processes and clear communication between the HOA and homeowners to foster harmonious community governance.</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HOA Governance Structure</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Role of the Architectural Review Board</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Composition and Authority of the ARB</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Purpose of Architectural Guidelines</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extend my deepest gratitude to the HOA board and Architectural Review Board for their dedicated service to our community. Their leadership and commitment to transparent governance have been invaluable to this research.</w:t>
          </w:r>
          <w:r w:rsidRPr="00151CCA" w:rsidR="00C60D2B">
            <w:t w:space="preserve">Dr. Emily Carter</w:t>
          </w:r>
          <w:r w:rsidR="00C60D2B">
            <w:t xml:space="preserve" w:space="preserve">Special thanks to Dr. Emily Carter for her mentorship and insightful guidance, which shaped the depth and direction of this thesis. Additionally, I am grateful to my colleagues, friends, and family for their unwavering support throughout this journey.</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A committee responsible for reviewing and approving exterior modifications to ensure compliance with community standards.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A mandatory fee levied on homeowners to fund the maintenance and operation of common areas and community services.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&amp; Restrictions: Legal documents outlining the rules, obligations, and restrictions governing a community.</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Shared spaces owned and maintained by the HOA, including parks, pools, and landscaping, for the benefit of all residents.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Adherence to HOA rules, CC&amp;Rs, and guidelines to maintain community standards and harmony.</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to a home’s exterior requiring ARB approval, such as paint, landscaping, or structural alterations.</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policies, and procedures by which an HOA operates and enforces community standards.</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formal exception granted by the HOA to deviate from a specific rule, often requiring ARB approval.</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HOA Governance Structure</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Role of the Architectural Review Board</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Architectural Review Board (ARB) is a key governing body established under Article III, Section 4 of the Centerpointe Community Association's Declaration of Covenants, Conditions and Restrictions (CC&amp;Rs). Its primary responsibility is to ensure compliance with architectural guidelines and exterior modifications to maintain community aesthetics and property values. The ARB reviews all proposed changes, from minor alterations like paint colors to major additions, ensuring they align with the established standards.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Composition and Authority of the ARB</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The ARB's composition and duties are outlined in the CC&amp;Rs, granting it the authority to interpret and enforce architectural guidelines. The board holds the power to approve, reject, or request modifications to proposed exterior changes. This authority extends to imposing fines for non-compliance, as specified in Article VI, Section 3(c) of the CC&amp;Rs, including daily fines for continued violations of the guidelines.</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Purpose of Architectural Guidelines</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The architectural guidelines were created to preserve the community's visual harmony and protect home values. Based on research of similar homeowners associations and the Centerpointe CC&amp;Rs, these guidelines cover restrictions on exterior alterations, including fencing, roofing, landscaping, and structural modifications. Their enforcement ensures that changes enhance rather than detract from the neighborhood's overall appeal.</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