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rPr>
                    <w:sz w:val="22"/>
                    <w:szCs w:val="22"/>
                  </w:rPr>
                  <w:t w:space="preserve">Centerpointe</w:t>
                </w:r>
                <w:r w:rsidR="00A02685">
                  <w:br/>
                  <w:t w:space="preserve"/>
                </w:r>
                <w:r w:rsidRPr="00164085" w:rsidR="00A02685">
                  <w:rPr>
                    <w:sz w:val="18"/>
                    <w:szCs w:val="18"/>
                  </w:rPr>
                  <w:t w:space="preserve">HOA Governance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rPr>
                    <w:sz w:val="19"/>
                    <w:szCs w:val="19"/>
                  </w:rPr>
                  <w:t w:space="preserve">Patrick Flanigan</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An analysis of</w:t>
                </w:r>
              </w:p>
              <w:p w:rsidR="00565612" w:rsidP="00101E9F" w:rsidRDefault="001A27A1" w14:paraId="26FF5234" w14:textId="04E196E0">
                <w:pPr>
                  <w:pStyle w:val="Information"/>
                </w:pPr>
                <w:r w:rsidRPr="00101E9F">
                  <w:rPr>
                    <w:sz w:val="16"/>
                    <w:szCs w:val="16"/>
                  </w:rPr>
                  <w:t w:space="preserve">HOA rules, architectural guidelines, exterior modifications, CC&amp;Rs, compliance enforcement, and community management based on Centerpointe community documents.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Centerpointe</w:t>
                </w:r>
                <w:r w:rsidRPr="009A591E" w:rsidR="001A27A1">
                  <w:t xml:space="preserve" w:space="preserve"> </w:t>
                </w:r>
                <w:r w:rsidRPr="0074397B" w:rsidR="001A27A1">
                  <w:t w:space="preserve">Community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HOA Board of Directors</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rPr>
                    <w:sz w:val="18"/>
                    <w:szCs w:val="18"/>
                  </w:rPr>
                  <w:t w:space="preserve">Master of Community Governance</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Centerpointe Community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Centerpointe HOA Governance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Patrick Flanigan</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homeowner association governance by analyzing architectural guidelines, rules and regulations, CC&amp;Rs, and enforcement practices from the Centerpointe Community Association documents. The study explores how the Architectural Review Board (ARB) balances regulatory consistency with homeowner flexibility, emphasizing its goal to make standards easy to meet and the review process simple and prompt. Through document review and synthesis of HOA governing materials, the research identifies that clear communication, streamlined procedures, and consistent ARB application of guidelines are critical to effective compliance and community harmony. Findings suggest that while the ARB’s structure and duties are well-defined in the CC&amp;Rs, practical effectiveness depends on transparency, timely decision-making, and alignment between written rules and resident experience. The thesis concludes that successful HOA governance hinges on integrating formal authority with responsive, accessible management practices that uphold community standards without imposing undue burden on homeowners.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Framework</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Architectural Review Board Authority</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Guidelines and Compliance Enforcement</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Foundation in Governing Documents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am deeply grateful to the HOA Board and Architectural Review Board for their time, insights, and cooperation throughout this research. Your willingness to share governance documents and experiences was invaluable.</w:t>
          </w:r>
          <w:r w:rsidRPr="00151CCA" w:rsidR="00C60D2B">
            <w:t w:space="preserve">Dr. Elena Ruiz</w:t>
          </w:r>
          <w:r w:rsidR="00C60D2B">
            <w:t xml:space="preserve" w:space="preserve">Special thanks to Dr. Elena Ruiz for her mentorship and feedback, which greatly improved this work. I also appreciate my family, peers, and the participants whose perspectives enriched this study on HOA governance.</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(ARB) is established per Article III, Section 4 of the CC&amp;Rs to review and approve exterior modifications with prompt, clear standards.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An assessment is a mandatory fee levied on homeowners to fund common area maintenance, amenities, and association operations as defined in the governing documents.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The Declaration of Covenants, Conditions, and Restrictions (CC&amp;Rs) establishes the legal framework for HOA governance, including ARB authority and homeowner obligations.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Common areas are shared spaces owned and maintained by the HOA, such as parks, pools, and walkways, accessible to all residents per the CC&amp;Rs.</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Compliance refers to adherence by homeowners to CC&amp;Rs, rules, and ARB approvals, ensuring uniform community standards and enforcement consistency.</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 exterior modification is any visible change to a property’s outside appearance—such as paint, fences, or additions—that requires prior ARB approval.</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Governance encompasses the HOA’s structure, processes, and policies—including board duties, voting, and enforcement—that uphold community rules and values.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variance is a formal exception granted by the ARB to deviate from standard architectural guidelines, typically due to unique site conditions or hardship.</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Framework</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Architectural Review Board Authority</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derives its legal authority from Article III Section 4 of the Centerpointe Community Association's Declaration of Covenants, Conditions and Restrictions (CC&amp;Rs), which establishes its existence, composition, basic duties, and powers. This foundational provision empowers the ARB to enforce community standards related to exterior modifications and architectural consistency. The ARB's mandate is designed to balance homeowner flexibility with the collective interest in preserving neighborhood aesthetics and property values through standardized review processes.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Guidelines and Compliance Enforcement</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ARB has intentionally crafted architectural guidelines and regulations to be practical and attainable, ensuring the review process remains straightforward and timely for residents seeking approval for exterior alterations. These guidelines are explicitly tied to maintaining home values by regulating external alterations and additions, based on both the CC&amp;Rs and benchmarking against similar HOA best practices. Failure to fully comply with these established guidelines may trigger enforcement under CC&amp;Rs Article VI Section 3(c), which authorizes the imposition of daily fines until violations are corrected, reinforcing accountability without undue burden.</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Foundation in Governing Documents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Both the Architectural Guidelines and Rules and Regulations documents affirm that the ARB’s standards are rooted in the Centerpointe Declaration of Covenants, Conditions and Restrictions (CC&amp;Rs), creating a cohesive legal and operational framework for governance. This alignment ensures that architectural decisions are not arbitrary but are consistently applied in accordance with the community’s founding documents. By basing the first edition of guidelines on the CC&amp;Rs and empirical research, the ARB establishes legitimacy and transparency in its efforts to preserve community character while accommodating reasonable homeowner improvements.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