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HOA</w:t>
                </w:r>
                <w:r w:rsidR="00A02685">
                  <w:br/>
                  <w:t w:space="preserve"/>
                </w:r>
                <w:r w:rsidRPr="00164085" w:rsidR="00A02685">
                  <w:t w:space="preserve">Governance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rPr>
                    <w:sz w:val="19"/>
                    <w:szCs w:val="19"/>
                  </w:rPr>
                  <w:t w:space="preserve">Patrick Flanigan</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Exploring homeowner association governance through rules, guidelines, a</w:t>
                </w:r>
              </w:p>
              <w:p w:rsidR="00565612" w:rsidP="00101E9F" w:rsidRDefault="001A27A1" w14:paraId="26FF5234" w14:textId="04E196E0">
                <w:pPr>
                  <w:pStyle w:val="Information"/>
                </w:pPr>
                <w:r w:rsidRPr="00101E9F">
                  <w:t w:space="preserve">nd community management.</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Centerpointe</w:t>
                </w:r>
                <w:r w:rsidRPr="009A591E" w:rsidR="001A27A1">
                  <w:t xml:space="preserve" w:space="preserve"> </w:t>
                </w:r>
                <w:r w:rsidRPr="0074397B" w:rsidR="001A27A1">
                  <w:t w:space="preserve">Community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Centerpointe Governance Committee</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rPr>
                    <w:sz w:val="19"/>
                    <w:szCs w:val="19"/>
                  </w:rPr>
                  <w:t w:space="preserve">Community Management Program</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Centerpointe Community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HOA Governance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Patrick Flanigan</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explores homeowner association (HOA) governance with a focus on HOA rules, architectural guidelines, exterior modifications, CC&amp;Rs, compliance enforcement, and community management. Utilizing house documents from the Centerpointe Community Association, the study examines the role and effectiveness of the Architectural Review Board (ARB) in enforcing guidelines and ensuring community aesthetic standards. The methodology involves a detailed analysis of the Declaration of Covenants, Conditions, and Restrictions (CC&amp;Rs), rules and regulations, and architectural guidelines. Key findings highlight the ARB's efforts to simplify the review process and maintain high compliance with community standards, underscoring the importance of clear governance structures in HOAs.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HOA Governance Analysis</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Architectural Guidelines Overview</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Enforcement of Guidelines</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Role of the ARB</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Grateful thanks to the HOA board and ARB for their invaluable support and insights throughout this research.</w:t>
          </w:r>
          <w:r w:rsidRPr="00151CCA" w:rsidR="00C60D2B">
            <w:t w:space="preserve">Dr. Jane Smith</w:t>
          </w:r>
          <w:r w:rsidR="00C60D2B">
            <w:t xml:space="preserve" w:space="preserve">Special appreciation to Dr. Jane Smith for her mentorship and guidance. Thanks to all participants and supporters.</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that establishes standards and reviews modifications.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Regular fees paid by homeowners to the HOA for community services and maintenance.</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and Restrictions that govern homeowner behavior and property use.</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Shared spaces within the community maintained by the HOA for all residents.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Adherence to the rules, regulations, and standards set by the HOA and CC&amp;Rs.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to the external appearance of a home that requires ARB approval.</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practices, and processes by which the HOA manages the community.</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An exception to the CC&amp;Rs granted by the ARB for specific, usually temporary, circumstances.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HOA Governance Analysis</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Architectural Guidelines Overview</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Architectural Review Board (ARB) of the Centerpointe Community Association has created guidelines designed to be easily met and to streamline the review process. These guidelines are part of the Declaration of Covenants, Conditions, and Restrictions (CC&amp;Rs) and aim to maintain the value of homes within the community by regulating external alterations and additions.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Enforcement of Guidelines</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Non-compliance with the architectural guidelines may lead to the imposition of daily fines as stipulated in Article VI Section 3 (c) of the CC&amp;Rs. This enforcement mechanism ensures that homeowners adhere to the established standards, thereby preserving the aesthetic and financial integrity of the community.</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Role of the ARB</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The ARB plays a crucial role in governance by establishing and overseeing the architectural guidelines. Its duties and powers are outlined in Article III Section 4 of the CC&amp;Rs, emphasizing its responsibility in maintaining community standards and resolving any disputes related to architectural modifications.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