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HOA</w:t>
                </w:r>
                <w:r w:rsidR="00A02685">
                  <w:br/>
                  <w:t w:space="preserve"/>
                </w:r>
                <w:r w:rsidRPr="00164085" w:rsidR="00A02685">
                  <w:t w:space="preserve">Governance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Exploring homeowner association governance, rules, a</w:t>
                </w:r>
              </w:p>
              <w:p w:rsidR="00565612" w:rsidP="00101E9F" w:rsidRDefault="001A27A1" w14:paraId="26FF5234" w14:textId="04E196E0">
                <w:pPr>
                  <w:pStyle w:val="Information"/>
                </w:pPr>
                <w:r w:rsidRPr="00101E9F">
                  <w:t w:space="preserve">nd community management.</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University</w:t>
                </w:r>
                <w:r w:rsidRPr="009A591E" w:rsidR="001A27A1">
                  <w:t xml:space="preserve" w:space="preserve"> </w:t>
                </w:r>
                <w:r w:rsidRPr="0074397B" w:rsidR="001A27A1">
                  <w:rPr>
                    <w:sz w:val="22"/>
                    <w:szCs w:val="22"/>
                  </w:rPr>
                  <w:t w:space="preserve">of Community Studies</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Urban Governance Review Board</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t w:space="preserve">Community Management</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University of Community Studies</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explores homeowner association (HOA) governance within the Centerpointe Community Association, focusing on HOA rules, architectural guidelines, exterior modifications, CC&amp;Rs, compliance enforcement, and community management. Utilizing house documents, it examines the role and effectiveness of the Architectural Review Board (ARB) in maintaining community standards. The methodology involves a detailed analysis of the CC&amp;Rs, rules, and guidelines provided in the appendices. Key findings highlight the ARB's efforts to simplify and expedite the review process, ensuring that architectural standards are both clear and achievable for homeowners. The study underscores the importance of robust governance structures in HOAs to maintain community aesthetics and property values.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Governance Insights</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Architectural Guidelines</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Compliance and Enforcement</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Community Value Preservation</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Grateful thanks to the HOA board and ARB for their invaluable support and guidance throughout this research.</w:t>
          </w:r>
          <w:r w:rsidRPr="00151CCA" w:rsidR="00C60D2B">
            <w:t w:space="preserve">Dr. Jane Smith</w:t>
          </w:r>
          <w:r w:rsidR="00C60D2B">
            <w:t xml:space="preserve" w:space="preserve">Special recognition to Dr. Jane Smith for her exceptional mentorship and insights. Thanks to all participants and contributors for their cooperation and support.</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Architectural Review Board, established in CC&amp;Rs, reviews exterior modifications.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Mandatory fees paid by homeowners for HOA services and common area maintenance.</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Covenants, Conditions, and Restrictions, legal documents governing HOA operations.</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Shared spaces and amenities within the community managed by the HOA.</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to HOA rules, regulations, and guidelines by homeowners.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change to a home's exterior requiring ARB approval per CC&amp;Rs.</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and process by which the HOA is directed and controlled.</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An exception or waiver granted by the HOA for specific rule deviations.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Governance Insights</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Architectural Guidelines</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has created guidelines designed to be easy to meet, ensuring a straightforward and prompt review process for homeowners. These guidelines are crucial for maintaining the aesthetic and property values within the community, as established in Article III Section 4 of the CC&amp;Rs.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Compliance and Enforcement</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Non-compliance with the established guidelines may lead to daily fines, as stipulated in Article VI Section 3 (c) of the CC&amp;Rs. This enforcement mechanism underscores the importance of adhering to community standards to preserve the overall value and appeal of the neighborhood.</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Community Value Preservation</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To sustain home values, the ARB has implemented restrictions on external modifications. These guidelines, based on the Centerpointe CC&amp;Rs and industry research, aim to ensure that any alterations or additions align with the community's architectural integrity and standards.</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