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HESSI Spectrometer Mechanical Interface Requirements</w:t>
      </w:r>
    </w:p>
    <w:p>
      <w:pPr>
        <w:jc w:val="center"/>
      </w:pPr>
      <w:r>
        <w:t>HSI-MECH-REQ-002</w:t>
      </w:r>
    </w:p>
    <w:p>
      <w:pPr>
        <w:jc w:val="center"/>
      </w:pPr>
      <w:r>
        <w:t>Revision: v2    Date: 2024-09-10</w:t>
      </w:r>
    </w:p>
    <w:p>
      <w:pPr>
        <w:jc w:val="center"/>
      </w:pPr>
      <w:r>
        <w:t>Prepared by: UCB Mechanical Engineering</w:t>
      </w:r>
    </w:p>
    <w:p>
      <w:r>
        <w:br w:type="page"/>
      </w:r>
    </w:p>
    <w:p>
      <w:pPr>
        <w:pStyle w:val="Heading1"/>
      </w:pPr>
      <w:r>
        <w:t>Table of Contents</w:t>
      </w:r>
    </w:p>
    <w:p>
      <w:pPr>
        <w:pStyle w:val="ListNumber"/>
      </w:pPr>
      <w:r>
        <w:t>1. Interface Drawing</w:t>
      </w:r>
    </w:p>
    <w:p>
      <w:pPr>
        <w:pStyle w:val="ListNumber"/>
      </w:pPr>
      <w:r>
        <w:t>2. Mass Properties</w:t>
      </w:r>
    </w:p>
    <w:p>
      <w:pPr>
        <w:pStyle w:val="ListNumber"/>
      </w:pPr>
      <w:r>
        <w:t>3. Field of View and Alignment</w:t>
      </w:r>
    </w:p>
    <w:p>
      <w:pPr>
        <w:pStyle w:val="ListNumber"/>
      </w:pPr>
      <w:r>
        <w:t>4. Mechanisms</w:t>
      </w:r>
    </w:p>
    <w:p>
      <w:r>
        <w:br w:type="page"/>
      </w:r>
    </w:p>
    <w:p>
      <w:pPr>
        <w:pStyle w:val="Heading1"/>
      </w:pPr>
      <w:r>
        <w:t>Interface Drawing</w:t>
      </w:r>
    </w:p>
    <w:p>
      <w:r>
        <w:t>The mechanical configuration of the Spectrometer is shown in the Spectrometer ICD Drawing (reference 1). This document defines the mounting interface, envelope constraints, and alignment requirements.</w:t>
      </w:r>
    </w:p>
    <w:p>
      <w:pPr>
        <w:pStyle w:val="Heading1"/>
      </w:pPr>
      <w:r>
        <w:t>Mass Properties</w:t>
      </w:r>
    </w:p>
    <w:p>
      <w:r>
        <w:t>Reference (6) shows the instrument mass properties, including current best estimate and maximum (with margin). The Spectrometer assembly mass shall not exceed the allocation defined in the system mass budget.</w:t>
      </w:r>
    </w:p>
    <w:p>
      <w:pPr>
        <w:pStyle w:val="Heading1"/>
      </w:pPr>
      <w:r>
        <w:t>Field of View and Alignment</w:t>
      </w:r>
    </w:p>
    <w:p>
      <w:r>
        <w:t>The nine detectors must be aligned to be within 1mm of concentric to the field of view of each of the nine grid pairs on the imager. This alignment is achieved when installing the Spectrometer on the spacecraft by shimming at the imager interface points.</w:t>
      </w:r>
    </w:p>
    <w:p>
      <w:r>
        <w:t>An all-sky field of view is also desired for the detectors. This means that reasonable effort should be made to minimize the amount of metal in this region. The center of this field of view is defined by an XY plane through the middle of the detectors, at spacecraft station Z=+7.32 inches. The field of view then extends radially outward 15 degrees above and below this plane, starting at the spacecraft Z axis.</w:t>
      </w:r>
    </w:p>
    <w:p>
      <w:pPr>
        <w:pStyle w:val="Heading1"/>
      </w:pPr>
      <w:r>
        <w:t>Mechanisms</w:t>
      </w:r>
    </w:p>
    <w:p>
      <w:r>
        <w:t>2.4.1 Cryocooler</w:t>
      </w:r>
    </w:p>
    <w:p>
      <w:r>
        <w:t>The Cryocooler contains a free piston, linear motion, Helium gas compressor that is powered by the CPC and is actively controlled by the IDPU. The cryocooler contains a counterbalance mass that is also controlled by the IDPU. The residual operating forces will not exceed 0.5 newtons driven at 59 Hz.</w:t>
      </w:r>
    </w:p>
    <w:p>
      <w:r>
        <w:t>2.4.2 Hi-Z Shutters</w:t>
      </w:r>
    </w:p>
    <w:p>
      <w:r>
        <w:t>The Spectrometer includes two Hi-Z shutters used to reduce the science data rate by blocking out low energy radiation during periods of high flux.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