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206F4">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6" cstate="print"/>
                    <a:srcRect/>
                    <a:stretch>
                      <a:fillRect/>
                    </a:stretch>
                  </pic:blipFill>
                  <pic:spPr>
                    <a:xfrm>
                      <a:off x="0" y="0"/>
                      <a:ext cx="5033645" cy="1299210"/>
                    </a:xfrm>
                    <a:prstGeom prst="rect">
                      <a:avLst/>
                    </a:prstGeom>
                    <a:ln>
                      <a:noFill/>
                    </a:ln>
                  </pic:spPr>
                </pic:pic>
              </a:graphicData>
            </a:graphic>
          </wp:inline>
        </w:drawing>
      </w:r>
    </w:p>
    <w:p w14:paraId="3F11A49E">
      <w:pPr>
        <w:jc w:val="left"/>
      </w:pPr>
    </w:p>
    <w:p w14:paraId="22E52368"/>
    <w:p w14:paraId="4B8C16BC">
      <w:pPr>
        <w:rPr>
          <w:sz w:val="32"/>
        </w:rPr>
      </w:pPr>
    </w:p>
    <w:p w14:paraId="58510ED9">
      <w:pPr>
        <w:jc w:val="center"/>
        <w:rPr>
          <w:b/>
          <w:sz w:val="28"/>
        </w:rPr>
      </w:pPr>
      <w:r>
        <w:rPr>
          <w:rFonts w:hint="eastAsia" w:ascii="宋体" w:hAnsi="宋体"/>
          <w:b/>
          <w:w w:val="90"/>
          <w:sz w:val="72"/>
          <w:szCs w:val="72"/>
        </w:rPr>
        <w:t>毕 业 设 计（论 文）</w:t>
      </w:r>
    </w:p>
    <w:p w14:paraId="38B391E5">
      <w:pPr>
        <w:rPr>
          <w:sz w:val="32"/>
        </w:rPr>
      </w:pPr>
    </w:p>
    <w:p w14:paraId="5BF0C9B8">
      <w:pPr>
        <w:ind w:right="1103" w:rightChars="525" w:firstLine="960" w:firstLineChars="300"/>
        <w:jc w:val="both"/>
        <w:rPr>
          <w:sz w:val="32"/>
          <w:u w:val="single"/>
        </w:rPr>
      </w:pPr>
      <w:r>
        <w:rPr>
          <w:rFonts w:hint="eastAsia"/>
          <w:sz w:val="32"/>
        </w:rPr>
        <w:t>题 目：</w:t>
      </w:r>
      <w:r>
        <w:rPr>
          <w:sz w:val="32"/>
          <w:u w:val="single"/>
        </w:rPr>
        <w:t xml:space="preserve"> </w:t>
      </w:r>
      <w:r>
        <w:rPr>
          <w:rFonts w:hint="eastAsia"/>
          <w:sz w:val="32"/>
          <w:u w:val="single"/>
        </w:rPr>
        <w:t>基于经验模态分解的 BiGRU 神经网络</w:t>
      </w:r>
    </w:p>
    <w:p w14:paraId="3F777548">
      <w:pPr>
        <w:ind w:left="1680" w:right="1103" w:rightChars="525" w:firstLine="420"/>
        <w:jc w:val="center"/>
        <w:rPr>
          <w:sz w:val="32"/>
          <w:u w:val="single"/>
        </w:rPr>
      </w:pPr>
      <w:r>
        <w:rPr>
          <w:rFonts w:hint="eastAsia"/>
          <w:sz w:val="32"/>
          <w:u w:val="single"/>
        </w:rPr>
        <w:t>的光伏功率短期预测</w:t>
      </w:r>
    </w:p>
    <w:p w14:paraId="64DB1209">
      <w:pPr>
        <w:ind w:right="1103" w:rightChars="525" w:firstLine="560" w:firstLineChars="200"/>
        <w:jc w:val="left"/>
        <w:rPr>
          <w:sz w:val="32"/>
          <w:szCs w:val="32"/>
          <w:u w:val="single"/>
        </w:rPr>
      </w:pPr>
      <w:r>
        <w:rPr>
          <w:rFonts w:hint="eastAsia"/>
          <w:sz w:val="28"/>
        </w:rPr>
        <w:t>（英文）：</w:t>
      </w:r>
      <w:bookmarkStart w:id="0" w:name="_Hlk101280189"/>
      <w:r>
        <w:rPr>
          <w:rFonts w:hint="eastAsia"/>
          <w:sz w:val="32"/>
          <w:u w:val="single"/>
        </w:rPr>
        <w:t xml:space="preserve"> </w:t>
      </w:r>
      <w:r>
        <w:rPr>
          <w:rFonts w:hint="eastAsia"/>
          <w:sz w:val="32"/>
          <w:szCs w:val="32"/>
          <w:u w:val="single"/>
        </w:rPr>
        <w:t>Short-term Prediction of Photovoltaic Power</w:t>
      </w:r>
    </w:p>
    <w:p w14:paraId="434FDD07">
      <w:pPr>
        <w:ind w:right="1103" w:rightChars="525" w:firstLine="1888" w:firstLineChars="590"/>
        <w:jc w:val="left"/>
        <w:rPr>
          <w:sz w:val="32"/>
          <w:szCs w:val="32"/>
          <w:u w:val="single"/>
        </w:rPr>
      </w:pPr>
      <w:r>
        <w:rPr>
          <w:rFonts w:hint="eastAsia"/>
          <w:sz w:val="32"/>
          <w:szCs w:val="32"/>
          <w:u w:val="single"/>
        </w:rPr>
        <w:t>Based on Empirical Mode Decomposition and</w:t>
      </w:r>
    </w:p>
    <w:p w14:paraId="69DF35C0">
      <w:pPr>
        <w:ind w:right="1103" w:rightChars="525" w:firstLine="1888" w:firstLineChars="590"/>
        <w:jc w:val="center"/>
        <w:rPr>
          <w:sz w:val="10"/>
          <w:szCs w:val="6"/>
          <w:u w:val="single"/>
        </w:rPr>
      </w:pPr>
      <w:r>
        <w:rPr>
          <w:rFonts w:hint="eastAsia"/>
          <w:sz w:val="32"/>
          <w:szCs w:val="32"/>
          <w:u w:val="single"/>
        </w:rPr>
        <w:t>BiGRU Neural Network</w:t>
      </w:r>
      <w:bookmarkEnd w:id="0"/>
    </w:p>
    <w:p w14:paraId="331DE948">
      <w:pPr>
        <w:ind w:right="1103" w:rightChars="525"/>
        <w:rPr>
          <w:sz w:val="28"/>
          <w:szCs w:val="22"/>
          <w:u w:val="single"/>
        </w:rPr>
      </w:pPr>
    </w:p>
    <w:p w14:paraId="1D8B4387">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02AA59C1">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5C41EE12">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685701C7">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6CEC2CF2">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3B853135">
      <w:pPr>
        <w:spacing w:line="600" w:lineRule="auto"/>
        <w:ind w:left="1470" w:leftChars="700" w:right="1802" w:rightChars="858"/>
        <w:rPr>
          <w:sz w:val="32"/>
          <w:u w:val="single"/>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7FBD8A4D">
      <w:pPr>
        <w:spacing w:line="600" w:lineRule="auto"/>
        <w:ind w:right="1802" w:rightChars="858"/>
        <w:rPr>
          <w:sz w:val="32"/>
        </w:rPr>
      </w:pPr>
    </w:p>
    <w:p w14:paraId="6BB9F4E8">
      <w:pPr>
        <w:rPr>
          <w:rFonts w:hint="eastAsia"/>
        </w:rPr>
      </w:pPr>
    </w:p>
    <w:p w14:paraId="57F54B56">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7858012C">
      <w:pPr>
        <w:jc w:val="center"/>
        <w:rPr>
          <w:rFonts w:hint="eastAsia" w:ascii="宋体" w:hAnsi="宋体"/>
          <w:sz w:val="28"/>
          <w:szCs w:val="28"/>
        </w:rPr>
      </w:pPr>
    </w:p>
    <w:p w14:paraId="6331FA81">
      <w:pPr>
        <w:jc w:val="center"/>
        <w:rPr>
          <w:b/>
          <w:sz w:val="18"/>
          <w:szCs w:val="18"/>
        </w:rPr>
      </w:pPr>
      <w:r>
        <w:rPr>
          <w:rFonts w:hint="eastAsia"/>
          <w:b/>
          <w:sz w:val="28"/>
        </w:rPr>
        <w:t>学位论文写作声明</w:t>
      </w:r>
    </w:p>
    <w:p w14:paraId="0F641B15">
      <w:pPr>
        <w:jc w:val="center"/>
        <w:rPr>
          <w:rFonts w:hint="eastAsia" w:ascii="宋体" w:hAnsi="宋体"/>
          <w:sz w:val="18"/>
          <w:szCs w:val="18"/>
        </w:rPr>
      </w:pPr>
    </w:p>
    <w:p w14:paraId="0E6F9D8B">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AFB97B7">
      <w:pPr>
        <w:spacing w:line="360" w:lineRule="auto"/>
        <w:rPr>
          <w:sz w:val="24"/>
        </w:rPr>
      </w:pPr>
    </w:p>
    <w:p w14:paraId="50F8267D">
      <w:pPr>
        <w:spacing w:line="360" w:lineRule="auto"/>
        <w:rPr>
          <w:sz w:val="24"/>
        </w:rPr>
      </w:pPr>
    </w:p>
    <w:p w14:paraId="5AE96F89">
      <w:pPr>
        <w:spacing w:line="360" w:lineRule="auto"/>
        <w:rPr>
          <w:sz w:val="24"/>
        </w:rPr>
      </w:pPr>
    </w:p>
    <w:p w14:paraId="4868CAB6">
      <w:pPr>
        <w:wordWrap w:val="0"/>
        <w:jc w:val="right"/>
        <w:rPr>
          <w:rFonts w:hint="eastAsia" w:ascii="宋体" w:hAnsi="宋体"/>
          <w:sz w:val="24"/>
        </w:rPr>
      </w:pPr>
      <w:r>
        <w:rPr>
          <w:rFonts w:hint="eastAsia" w:ascii="宋体" w:hAnsi="宋体"/>
          <w:sz w:val="24"/>
        </w:rPr>
        <w:t xml:space="preserve">                       论文作者签名：             日期：    年    月   日   </w:t>
      </w:r>
    </w:p>
    <w:p w14:paraId="77359031">
      <w:pPr>
        <w:spacing w:line="360" w:lineRule="auto"/>
        <w:rPr>
          <w:rFonts w:hint="eastAsia" w:ascii="宋体" w:hAnsi="宋体"/>
          <w:sz w:val="24"/>
        </w:rPr>
      </w:pPr>
    </w:p>
    <w:p w14:paraId="5CE98D1A">
      <w:pPr>
        <w:rPr>
          <w:rFonts w:hint="eastAsia" w:ascii="宋体" w:hAnsi="宋体"/>
          <w:sz w:val="24"/>
        </w:rPr>
      </w:pPr>
    </w:p>
    <w:p w14:paraId="06D70E78">
      <w:pPr>
        <w:rPr>
          <w:rFonts w:hint="eastAsia" w:ascii="宋体" w:hAnsi="宋体"/>
          <w:sz w:val="24"/>
        </w:rPr>
      </w:pPr>
    </w:p>
    <w:p w14:paraId="0352B3EA">
      <w:pPr>
        <w:rPr>
          <w:rFonts w:hint="eastAsia" w:ascii="宋体" w:hAnsi="宋体"/>
          <w:sz w:val="24"/>
        </w:rPr>
      </w:pPr>
    </w:p>
    <w:p w14:paraId="16CCD2D4">
      <w:pPr>
        <w:jc w:val="center"/>
        <w:outlineLvl w:val="0"/>
        <w:rPr>
          <w:b/>
          <w:sz w:val="28"/>
        </w:rPr>
      </w:pPr>
      <w:r>
        <w:rPr>
          <w:rFonts w:hint="eastAsia"/>
          <w:b/>
          <w:sz w:val="28"/>
        </w:rPr>
        <w:t>学位论文使用授权说明</w:t>
      </w:r>
    </w:p>
    <w:p w14:paraId="4AC0D90C">
      <w:pPr>
        <w:rPr>
          <w:b/>
          <w:sz w:val="18"/>
          <w:szCs w:val="18"/>
        </w:rPr>
      </w:pPr>
    </w:p>
    <w:p w14:paraId="63537D85">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15034131">
      <w:pPr>
        <w:spacing w:line="360" w:lineRule="auto"/>
        <w:ind w:firstLine="588" w:firstLineChars="245"/>
        <w:rPr>
          <w:rFonts w:hint="eastAsia" w:ascii="宋体" w:hAnsi="宋体"/>
          <w:sz w:val="24"/>
        </w:rPr>
      </w:pPr>
    </w:p>
    <w:p w14:paraId="38E8C187">
      <w:pPr>
        <w:spacing w:line="360" w:lineRule="auto"/>
        <w:rPr>
          <w:rFonts w:hint="eastAsia" w:ascii="宋体" w:hAnsi="宋体"/>
          <w:sz w:val="24"/>
        </w:rPr>
      </w:pPr>
    </w:p>
    <w:p w14:paraId="545531E2">
      <w:pPr>
        <w:spacing w:line="360" w:lineRule="auto"/>
        <w:ind w:firstLine="588" w:firstLineChars="245"/>
        <w:rPr>
          <w:rFonts w:hint="eastAsia" w:ascii="宋体" w:hAnsi="宋体"/>
          <w:sz w:val="24"/>
        </w:rPr>
      </w:pPr>
    </w:p>
    <w:p w14:paraId="63677CC6">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142A9152">
      <w:pPr>
        <w:wordWrap w:val="0"/>
        <w:spacing w:line="360" w:lineRule="auto"/>
        <w:ind w:firstLine="588" w:firstLineChars="245"/>
        <w:jc w:val="right"/>
      </w:pPr>
      <w:r>
        <w:rPr>
          <w:rFonts w:hint="eastAsia" w:ascii="宋体" w:hAnsi="宋体"/>
          <w:sz w:val="24"/>
        </w:rPr>
        <w:t xml:space="preserve">                            日期：    年    月    日</w:t>
      </w:r>
    </w:p>
    <w:p w14:paraId="4015C504">
      <w:p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1E33F635">
      <w:pPr>
        <w:spacing w:before="240" w:beforeLines="100" w:after="240" w:afterLines="100"/>
        <w:jc w:val="center"/>
        <w:rPr>
          <w:rFonts w:hint="eastAsia" w:ascii="黑体" w:eastAsia="黑体"/>
          <w:b/>
          <w:sz w:val="44"/>
          <w:szCs w:val="44"/>
        </w:rPr>
      </w:pPr>
      <w:r>
        <w:rPr>
          <w:rFonts w:hint="eastAsia" w:ascii="黑体" w:eastAsia="黑体"/>
          <w:b/>
          <w:sz w:val="44"/>
          <w:szCs w:val="44"/>
        </w:rPr>
        <w:t>基于经验模态分解的 BiGRU 神经网络的光伏功率短期预测</w:t>
      </w:r>
    </w:p>
    <w:p w14:paraId="4A791B3B">
      <w:pPr>
        <w:spacing w:line="360" w:lineRule="auto"/>
        <w:jc w:val="center"/>
        <w:rPr>
          <w:rFonts w:hint="eastAsia" w:ascii="黑体" w:eastAsia="黑体"/>
          <w:b/>
          <w:sz w:val="32"/>
          <w:szCs w:val="32"/>
        </w:rPr>
      </w:pPr>
      <w:r>
        <w:rPr>
          <w:rFonts w:hint="eastAsia" w:ascii="黑体" w:eastAsia="黑体"/>
          <w:b/>
          <w:sz w:val="32"/>
          <w:szCs w:val="32"/>
        </w:rPr>
        <w:t>摘要</w:t>
      </w:r>
    </w:p>
    <w:p w14:paraId="23168751">
      <w:pPr>
        <w:pStyle w:val="23"/>
        <w:ind w:firstLine="480"/>
      </w:pPr>
      <w:r>
        <w:rPr>
          <w:rFonts w:hint="eastAsia"/>
        </w:rPr>
        <w:t>准确的短期光伏功率预测对保障智能电网的安全稳定运行与高效调度具有重要意义。然而，光伏输出功率受多源气象因素（如太阳辐射、温度、湿度等）的深度耦合影响，呈现出极强的随机性、波动性和非平稳特征。传统单一深度学习模型在处理该类时序数据时，难以兼顾高频局部突变与低频全局趋势，导致预测精度受限。针对上述问题，本文提出了一种基于经验模态分解（EMD）与双向门控循环单元（BiGRU）深度融合的光伏功率短期组合预测模型。首先，对实测光伏功率与多维气象数据进行清洗与最大最小归一化处理，以消除多源特征之间的量纲壁垒。其次，引入 EMD 算法对高度非线性的光伏功率序列进行自适应解耦，将其分解为多个相对平稳的本征模函数（IMF）分量与残余趋势分量，从底层逻辑上降低了深度神经网络的非凸优化难度。随后，构建基于 Huber Loss 与 AdamW 优化器的 BiGRU 预测网络，利用其正反双向门控机制，深度提取各频段信号的历史依赖与全局上下文演变趋势。在实验与模型寻优环节，本文通过严密的超参数网格搜索与敏感性分析，确立了全局最优的特征表达参数组合（保留 5 个 IMF 分量，输入时间步长为 48，批次大小为 128）。实验结果表明，本文提出的 EMD-BiGRU 模型在各项评价指标上均取得最优表现，其均方根误差（RMSE）低至 1.5635，平均绝对百分比误差（MAPE）为 39.38%，决定系数（R²）高达 0.8323。与单一的 BiGRU 模型相比，其 RMSE 降低了约 8.85%，MAPE 降低了约 2.80%，R² 提升了约 2.21%。该组合模型有效克服了复杂气象条件下的预测精度瓶颈，展现了卓越的拟合解释能力与抗干扰鲁棒性，为新能源的大规模并网与电力系统稳定运行提供了可靠的技术支撑。</w:t>
      </w:r>
    </w:p>
    <w:p w14:paraId="325202F2">
      <w:pPr>
        <w:pStyle w:val="23"/>
        <w:ind w:firstLine="480"/>
      </w:pPr>
    </w:p>
    <w:p w14:paraId="0F47D38F">
      <w:pPr>
        <w:pStyle w:val="23"/>
        <w:ind w:firstLine="562"/>
      </w:pPr>
      <w:r>
        <w:rPr>
          <w:rFonts w:hint="eastAsia" w:ascii="Times New Roman" w:hAnsi="Times New Roman" w:eastAsia="宋体" w:cs="Times New Roman"/>
          <w:b/>
          <w:kern w:val="2"/>
          <w:sz w:val="28"/>
          <w:szCs w:val="28"/>
          <w:lang w:val="en-US" w:eastAsia="zh-CN" w:bidi="ar-SA"/>
        </w:rPr>
        <w:t>关键词：</w:t>
      </w:r>
      <w:r>
        <w:rPr>
          <w:rFonts w:hint="eastAsia"/>
        </w:rPr>
        <w:t>光伏功率预测；经验模态分解；BiGRU；时间序列；深度学习</w:t>
      </w:r>
    </w:p>
    <w:p w14:paraId="518BE007">
      <w:pPr>
        <w:pStyle w:val="23"/>
        <w:ind w:firstLine="480"/>
      </w:pPr>
    </w:p>
    <w:p w14:paraId="7E1E4687">
      <w:r>
        <w:br w:type="page"/>
      </w:r>
    </w:p>
    <w:p w14:paraId="6A84AF03">
      <w:pPr>
        <w:pStyle w:val="28"/>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7F3AFD99">
      <w:pPr>
        <w:spacing w:before="240" w:beforeLines="100" w:after="240" w:afterLines="100"/>
        <w:jc w:val="center"/>
        <w:rPr>
          <w:rFonts w:hint="eastAsia" w:eastAsia="黑体"/>
          <w:b/>
          <w:bCs/>
          <w:kern w:val="44"/>
          <w:sz w:val="32"/>
          <w:szCs w:val="32"/>
        </w:rPr>
      </w:pPr>
      <w:r>
        <w:rPr>
          <w:rFonts w:hint="eastAsia" w:eastAsia="黑体"/>
          <w:b/>
          <w:bCs/>
          <w:kern w:val="44"/>
          <w:sz w:val="32"/>
          <w:szCs w:val="32"/>
        </w:rPr>
        <w:t>Short-term Prediction of Photovoltaic Power Based on Empirical Mode Decomposition and BiGRU Neural Network</w:t>
      </w:r>
    </w:p>
    <w:p w14:paraId="7FDEE197">
      <w:pPr>
        <w:pStyle w:val="30"/>
        <w:spacing w:before="312" w:after="312"/>
        <w:outlineLvl w:val="0"/>
      </w:pPr>
      <w:r>
        <w:rPr>
          <w:rFonts w:hint="eastAsia" w:eastAsia="等线"/>
        </w:rPr>
        <w:t>ABSTRACT</w:t>
      </w:r>
    </w:p>
    <w:p w14:paraId="24815B4A">
      <w:pPr>
        <w:pStyle w:val="39"/>
        <w:snapToGrid w:val="0"/>
        <w:ind w:firstLine="480"/>
        <w:rPr>
          <w:rStyle w:val="40"/>
          <w:rFonts w:eastAsia="宋体"/>
        </w:rPr>
      </w:pPr>
      <w:r>
        <w:rPr>
          <w:rStyle w:val="40"/>
          <w:rFonts w:hint="eastAsia" w:eastAsia="宋体"/>
        </w:rPr>
        <w:t xml:space="preserve">Accurate short-term photovoltaic (PV) power prediction is crucial for the stable operation and efficient dispatching of smart grids. However, coupled with meteorological factors such as solar radiation and temperature, PV power exhibits strong volatility and non-stationarity, limiting the accuracy of traditional single deep learning models. To address this, this paper proposes a hybrid prediction model combining Empirical Mode Decomposition (EMD) and Bidirectional Gated Recurrent Unit (BiGRU). First, after data cleaning and Min-Max normalization, the EMD algorithm adaptively decouples the highly non-linear PV series into multiple relatively stationary Intrinsic Mode Functions (IMFs) and a residual component. Subsequently, a BiGRU network optimized with Huber Loss and the AdamW optimizer is constructed to bidirectionally capture the temporal dependencies and contextual trends of each component independently. Through rigorous hyperparameter grid search, the optimal model configuration is </w:t>
      </w:r>
      <w:bookmarkStart w:id="389" w:name="_GoBack"/>
      <w:bookmarkEnd w:id="389"/>
      <w:r>
        <w:rPr>
          <w:rStyle w:val="40"/>
          <w:rFonts w:hint="eastAsia" w:eastAsia="宋体"/>
        </w:rPr>
        <w:t>established (retaining 5 IMFs, time step 48, and batch size 128). The final prediction is obtained by aggregating the outputs of all individual components. Comparative experiments show that the EMD-BiGRU model significantly outperforms baseline models (RNN, LSTM, GRU, and single BiGRU), achieving an RMSE of 1.5635, a MAPE of 39.38%, and an R² of 0.8323. The proposed model effectively overcomes prediction accuracy bottlenecks under complex weather conditions, demonstrating superior robustness and providing reliable technical support for the large-scale grid integration of PV energy.</w:t>
      </w:r>
    </w:p>
    <w:p w14:paraId="1197DC0F"/>
    <w:p w14:paraId="24B49D80">
      <w:pPr>
        <w:spacing w:before="312" w:beforeLines="100" w:after="312" w:afterLines="100"/>
        <w:ind w:firstLine="560" w:firstLineChars="200"/>
        <w:jc w:val="center"/>
        <w:rPr>
          <w:rStyle w:val="40"/>
          <w:rFonts w:hint="eastAsia"/>
          <w:sz w:val="24"/>
        </w:rPr>
      </w:pPr>
      <w:r>
        <w:rPr>
          <w:rFonts w:eastAsia="Times New Roman"/>
          <w:b w:val="0"/>
          <w:bCs w:val="0"/>
          <w:sz w:val="28"/>
        </w:rPr>
        <w:t>Key words</w:t>
      </w:r>
      <w:r>
        <w:rPr>
          <w:rFonts w:hint="eastAsia" w:ascii="宋体" w:hAnsi="宋体" w:cs="宋体"/>
          <w:b w:val="0"/>
          <w:bCs w:val="0"/>
          <w:sz w:val="28"/>
        </w:rPr>
        <w:t>：</w:t>
      </w:r>
      <w:r>
        <w:rPr>
          <w:rStyle w:val="40"/>
          <w:rFonts w:hint="eastAsia"/>
          <w:sz w:val="24"/>
        </w:rPr>
        <w:t>Photovoltaic power prediction; Empirical Mode Decomposition; BiGRU; Time series; Deep Learning</w:t>
      </w:r>
    </w:p>
    <w:p w14:paraId="09E1EB71">
      <w:pPr>
        <w:rPr>
          <w:rStyle w:val="40"/>
          <w:rFonts w:hint="eastAsia"/>
          <w:sz w:val="24"/>
        </w:rPr>
      </w:pPr>
      <w:r>
        <w:rPr>
          <w:rStyle w:val="40"/>
          <w:rFonts w:hint="eastAsia"/>
          <w:sz w:val="24"/>
        </w:rPr>
        <w:br w:type="page"/>
      </w:r>
    </w:p>
    <w:p w14:paraId="5045EB4A">
      <w:pPr>
        <w:spacing w:before="312" w:beforeLines="100" w:after="312" w:afterLines="100"/>
        <w:ind w:firstLine="480" w:firstLineChars="200"/>
        <w:jc w:val="center"/>
        <w:rPr>
          <w:rStyle w:val="40"/>
          <w:rFonts w:hint="eastAsia"/>
          <w:sz w:val="24"/>
        </w:rPr>
      </w:pPr>
    </w:p>
    <w:p w14:paraId="3B12062C">
      <w:pPr>
        <w:spacing w:before="312" w:beforeLines="100" w:after="312" w:afterLines="100"/>
        <w:ind w:firstLine="643"/>
        <w:jc w:val="center"/>
        <w:rPr>
          <w:rFonts w:hint="eastAsia" w:ascii="黑体" w:hAnsi="黑体" w:eastAsia="黑体" w:cs="宋体"/>
          <w:b/>
          <w:bCs/>
          <w:sz w:val="32"/>
          <w:szCs w:val="32"/>
        </w:rPr>
      </w:pPr>
      <w:r>
        <w:rPr>
          <w:rFonts w:hint="eastAsia" w:ascii="黑体" w:hAnsi="黑体" w:eastAsia="黑体" w:cs="宋体"/>
          <w:b/>
          <w:bCs/>
          <w:sz w:val="32"/>
          <w:szCs w:val="32"/>
        </w:rPr>
        <w:t>目</w:t>
      </w:r>
      <w:r>
        <w:rPr>
          <w:rFonts w:hint="eastAsia" w:ascii="黑体" w:hAnsi="黑体" w:eastAsia="黑体" w:cs="宋体"/>
          <w:b/>
          <w:bCs/>
          <w:sz w:val="32"/>
          <w:szCs w:val="32"/>
          <w:lang w:val="en-US" w:eastAsia="zh-CN"/>
        </w:rPr>
        <w:t xml:space="preserve"> </w:t>
      </w:r>
      <w:r>
        <w:rPr>
          <w:rFonts w:hint="eastAsia" w:ascii="黑体" w:hAnsi="黑体" w:eastAsia="黑体" w:cs="宋体"/>
          <w:b/>
          <w:bCs/>
          <w:sz w:val="32"/>
          <w:szCs w:val="32"/>
        </w:rPr>
        <w:t>录</w:t>
      </w:r>
    </w:p>
    <w:p w14:paraId="3D83A1B2">
      <w:pPr>
        <w:pStyle w:val="11"/>
        <w:tabs>
          <w:tab w:val="right" w:leader="dot" w:pos="9071"/>
        </w:tabs>
        <w:rPr>
          <w:rFonts w:hint="eastAsia" w:ascii="黑体" w:hAnsi="黑体" w:eastAsia="黑体"/>
          <w:b/>
          <w:bCs/>
          <w:sz w:val="24"/>
        </w:rPr>
      </w:pPr>
      <w:r>
        <w:rPr>
          <w:rFonts w:eastAsiaTheme="minorEastAsia"/>
          <w:sz w:val="24"/>
        </w:rPr>
        <w:fldChar w:fldCharType="begin"/>
      </w:r>
      <w:r>
        <w:rPr>
          <w:rFonts w:eastAsiaTheme="minorEastAsia"/>
          <w:sz w:val="24"/>
        </w:rPr>
        <w:instrText xml:space="preserve"> TOC \h \z \t "一级标题,1,二级标题,2,三级标题,3" </w:instrText>
      </w:r>
      <w:r>
        <w:rPr>
          <w:rFonts w:eastAsiaTheme="minorEastAsia"/>
          <w:sz w:val="24"/>
        </w:rPr>
        <w:fldChar w:fldCharType="separate"/>
      </w:r>
      <w:r>
        <w:fldChar w:fldCharType="begin"/>
      </w:r>
      <w:r>
        <w:instrText xml:space="preserve"> HYPERLINK \l "_Toc21933" </w:instrText>
      </w:r>
      <w:r>
        <w:fldChar w:fldCharType="separate"/>
      </w:r>
      <w:r>
        <w:rPr>
          <w:rFonts w:ascii="黑体" w:hAnsi="黑体" w:eastAsia="黑体"/>
          <w:b/>
          <w:bCs/>
          <w:sz w:val="24"/>
        </w:rPr>
        <w:t xml:space="preserve">1 </w:t>
      </w:r>
      <w:r>
        <w:rPr>
          <w:rFonts w:hint="eastAsia" w:ascii="黑体" w:hAnsi="黑体" w:eastAsia="黑体"/>
          <w:b/>
          <w:bCs/>
          <w:sz w:val="24"/>
        </w:rPr>
        <w:t>绪论</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_Toc21933 \h </w:instrText>
      </w:r>
      <w:r>
        <w:rPr>
          <w:rFonts w:hint="eastAsia" w:ascii="黑体" w:hAnsi="黑体" w:eastAsia="黑体"/>
          <w:b/>
          <w:bCs/>
          <w:sz w:val="24"/>
        </w:rPr>
        <w:fldChar w:fldCharType="separate"/>
      </w:r>
      <w:r>
        <w:rPr>
          <w:rFonts w:hint="eastAsia" w:ascii="黑体" w:hAnsi="黑体" w:eastAsia="黑体"/>
          <w:b/>
          <w:bCs/>
          <w:sz w:val="24"/>
        </w:rPr>
        <w:t>3</w:t>
      </w:r>
      <w:r>
        <w:rPr>
          <w:rFonts w:hint="eastAsia" w:ascii="黑体" w:hAnsi="黑体" w:eastAsia="黑体"/>
          <w:b/>
          <w:bCs/>
          <w:sz w:val="24"/>
        </w:rPr>
        <w:fldChar w:fldCharType="end"/>
      </w:r>
      <w:r>
        <w:rPr>
          <w:rFonts w:hint="eastAsia" w:ascii="黑体" w:hAnsi="黑体" w:eastAsia="黑体"/>
          <w:b/>
          <w:bCs/>
          <w:sz w:val="24"/>
        </w:rPr>
        <w:fldChar w:fldCharType="end"/>
      </w:r>
    </w:p>
    <w:p w14:paraId="7DDF1016">
      <w:pPr>
        <w:pStyle w:val="12"/>
        <w:tabs>
          <w:tab w:val="right" w:leader="dot" w:pos="9071"/>
          <w:tab w:val="clear" w:pos="1100"/>
          <w:tab w:val="clear" w:pos="9061"/>
        </w:tabs>
      </w:pPr>
      <w:r>
        <w:fldChar w:fldCharType="begin"/>
      </w:r>
      <w:r>
        <w:instrText xml:space="preserve"> HYPERLINK \l "_Toc1767" </w:instrText>
      </w:r>
      <w:r>
        <w:fldChar w:fldCharType="separate"/>
      </w:r>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r>
        <w:fldChar w:fldCharType="end"/>
      </w:r>
    </w:p>
    <w:p w14:paraId="717927CE">
      <w:pPr>
        <w:pStyle w:val="8"/>
        <w:tabs>
          <w:tab w:val="right" w:leader="dot" w:pos="9071"/>
        </w:tabs>
      </w:pPr>
      <w:r>
        <w:fldChar w:fldCharType="begin"/>
      </w:r>
      <w:r>
        <w:instrText xml:space="preserve"> HYPERLINK \l "_Toc2129" </w:instrText>
      </w:r>
      <w:r>
        <w:fldChar w:fldCharType="separate"/>
      </w:r>
      <w:r>
        <w:t xml:space="preserve">1.1.1 </w:t>
      </w:r>
      <w:r>
        <w:rPr>
          <w:rFonts w:hint="eastAsia"/>
        </w:rPr>
        <w:t>研究背景</w:t>
      </w:r>
      <w:r>
        <w:tab/>
      </w:r>
      <w:r>
        <w:fldChar w:fldCharType="begin"/>
      </w:r>
      <w:r>
        <w:instrText xml:space="preserve"> PAGEREF _Toc2129 \h </w:instrText>
      </w:r>
      <w:r>
        <w:fldChar w:fldCharType="separate"/>
      </w:r>
      <w:r>
        <w:t>4</w:t>
      </w:r>
      <w:r>
        <w:fldChar w:fldCharType="end"/>
      </w:r>
      <w:r>
        <w:fldChar w:fldCharType="end"/>
      </w:r>
    </w:p>
    <w:p w14:paraId="4FF907F1">
      <w:pPr>
        <w:pStyle w:val="8"/>
        <w:tabs>
          <w:tab w:val="right" w:leader="dot" w:pos="9071"/>
        </w:tabs>
      </w:pPr>
      <w:r>
        <w:fldChar w:fldCharType="begin"/>
      </w:r>
      <w:r>
        <w:instrText xml:space="preserve"> HYPERLINK \l "_Toc6076" </w:instrText>
      </w:r>
      <w:r>
        <w:fldChar w:fldCharType="separate"/>
      </w:r>
      <w:r>
        <w:t>1.1.2 研究意义</w:t>
      </w:r>
      <w:r>
        <w:tab/>
      </w:r>
      <w:r>
        <w:fldChar w:fldCharType="begin"/>
      </w:r>
      <w:r>
        <w:instrText xml:space="preserve"> PAGEREF _Toc6076 \h </w:instrText>
      </w:r>
      <w:r>
        <w:fldChar w:fldCharType="separate"/>
      </w:r>
      <w:r>
        <w:t>4</w:t>
      </w:r>
      <w:r>
        <w:fldChar w:fldCharType="end"/>
      </w:r>
      <w:r>
        <w:fldChar w:fldCharType="end"/>
      </w:r>
    </w:p>
    <w:p w14:paraId="1FB27701">
      <w:pPr>
        <w:pStyle w:val="12"/>
        <w:tabs>
          <w:tab w:val="right" w:leader="dot" w:pos="9071"/>
          <w:tab w:val="clear" w:pos="1100"/>
          <w:tab w:val="clear" w:pos="9061"/>
        </w:tabs>
      </w:pPr>
      <w:r>
        <w:fldChar w:fldCharType="begin"/>
      </w:r>
      <w:r>
        <w:instrText xml:space="preserve"> HYPERLINK \l "_Toc30132" </w:instrText>
      </w:r>
      <w:r>
        <w:fldChar w:fldCharType="separate"/>
      </w:r>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r>
        <w:fldChar w:fldCharType="end"/>
      </w:r>
    </w:p>
    <w:p w14:paraId="1C8C1BA9">
      <w:pPr>
        <w:pStyle w:val="8"/>
        <w:tabs>
          <w:tab w:val="right" w:leader="dot" w:pos="9071"/>
        </w:tabs>
      </w:pPr>
      <w:r>
        <w:fldChar w:fldCharType="begin"/>
      </w:r>
      <w:r>
        <w:instrText xml:space="preserve"> HYPERLINK \l "_Toc8596" </w:instrText>
      </w:r>
      <w:r>
        <w:fldChar w:fldCharType="separate"/>
      </w:r>
      <w:r>
        <w:t>1.2.1 国外研究现状</w:t>
      </w:r>
      <w:r>
        <w:tab/>
      </w:r>
      <w:r>
        <w:fldChar w:fldCharType="begin"/>
      </w:r>
      <w:r>
        <w:instrText xml:space="preserve"> PAGEREF _Toc8596 \h </w:instrText>
      </w:r>
      <w:r>
        <w:fldChar w:fldCharType="separate"/>
      </w:r>
      <w:r>
        <w:t>5</w:t>
      </w:r>
      <w:r>
        <w:fldChar w:fldCharType="end"/>
      </w:r>
      <w:r>
        <w:fldChar w:fldCharType="end"/>
      </w:r>
    </w:p>
    <w:p w14:paraId="460DE202">
      <w:pPr>
        <w:pStyle w:val="8"/>
        <w:tabs>
          <w:tab w:val="right" w:leader="dot" w:pos="9071"/>
        </w:tabs>
      </w:pPr>
      <w:r>
        <w:fldChar w:fldCharType="begin"/>
      </w:r>
      <w:r>
        <w:instrText xml:space="preserve"> HYPERLINK \l "_Toc19787" </w:instrText>
      </w:r>
      <w:r>
        <w:fldChar w:fldCharType="separate"/>
      </w:r>
      <w:r>
        <w:t>1.2.2 国内研究现状</w:t>
      </w:r>
      <w:r>
        <w:tab/>
      </w:r>
      <w:r>
        <w:fldChar w:fldCharType="begin"/>
      </w:r>
      <w:r>
        <w:instrText xml:space="preserve"> PAGEREF _Toc19787 \h </w:instrText>
      </w:r>
      <w:r>
        <w:fldChar w:fldCharType="separate"/>
      </w:r>
      <w:r>
        <w:t>5</w:t>
      </w:r>
      <w:r>
        <w:fldChar w:fldCharType="end"/>
      </w:r>
      <w:r>
        <w:fldChar w:fldCharType="end"/>
      </w:r>
    </w:p>
    <w:p w14:paraId="1DA448BC">
      <w:pPr>
        <w:pStyle w:val="8"/>
        <w:tabs>
          <w:tab w:val="right" w:leader="dot" w:pos="9071"/>
        </w:tabs>
      </w:pPr>
      <w:r>
        <w:fldChar w:fldCharType="begin"/>
      </w:r>
      <w:r>
        <w:instrText xml:space="preserve"> HYPERLINK \l "_Toc31251" </w:instrText>
      </w:r>
      <w:r>
        <w:fldChar w:fldCharType="separate"/>
      </w:r>
      <w:r>
        <w:t>1.2.3 研究现状总结</w:t>
      </w:r>
      <w:r>
        <w:tab/>
      </w:r>
      <w:r>
        <w:fldChar w:fldCharType="begin"/>
      </w:r>
      <w:r>
        <w:instrText xml:space="preserve"> PAGEREF _Toc31251 \h </w:instrText>
      </w:r>
      <w:r>
        <w:fldChar w:fldCharType="separate"/>
      </w:r>
      <w:r>
        <w:t>6</w:t>
      </w:r>
      <w:r>
        <w:fldChar w:fldCharType="end"/>
      </w:r>
      <w:r>
        <w:fldChar w:fldCharType="end"/>
      </w:r>
    </w:p>
    <w:p w14:paraId="42871E40">
      <w:pPr>
        <w:pStyle w:val="12"/>
        <w:tabs>
          <w:tab w:val="right" w:leader="dot" w:pos="9071"/>
          <w:tab w:val="clear" w:pos="1100"/>
          <w:tab w:val="clear" w:pos="9061"/>
        </w:tabs>
      </w:pPr>
      <w:r>
        <w:fldChar w:fldCharType="begin"/>
      </w:r>
      <w:r>
        <w:instrText xml:space="preserve"> HYPERLINK \l "_Toc27175" </w:instrText>
      </w:r>
      <w:r>
        <w:fldChar w:fldCharType="separate"/>
      </w:r>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r>
        <w:fldChar w:fldCharType="end"/>
      </w:r>
    </w:p>
    <w:p w14:paraId="54A061CE">
      <w:pPr>
        <w:pStyle w:val="8"/>
        <w:tabs>
          <w:tab w:val="right" w:leader="dot" w:pos="9071"/>
        </w:tabs>
      </w:pPr>
      <w:r>
        <w:fldChar w:fldCharType="begin"/>
      </w:r>
      <w:r>
        <w:instrText xml:space="preserve"> HYPERLINK \l "_Toc25620" </w:instrText>
      </w:r>
      <w:r>
        <w:fldChar w:fldCharType="separate"/>
      </w:r>
      <w:r>
        <w:t>1.3.1 研究内容</w:t>
      </w:r>
      <w:r>
        <w:tab/>
      </w:r>
      <w:r>
        <w:fldChar w:fldCharType="begin"/>
      </w:r>
      <w:r>
        <w:instrText xml:space="preserve"> PAGEREF _Toc25620 \h </w:instrText>
      </w:r>
      <w:r>
        <w:fldChar w:fldCharType="separate"/>
      </w:r>
      <w:r>
        <w:t>6</w:t>
      </w:r>
      <w:r>
        <w:fldChar w:fldCharType="end"/>
      </w:r>
      <w:r>
        <w:fldChar w:fldCharType="end"/>
      </w:r>
    </w:p>
    <w:p w14:paraId="27D4EC89">
      <w:pPr>
        <w:pStyle w:val="8"/>
        <w:tabs>
          <w:tab w:val="right" w:leader="dot" w:pos="9071"/>
        </w:tabs>
      </w:pPr>
      <w:r>
        <w:fldChar w:fldCharType="begin"/>
      </w:r>
      <w:r>
        <w:instrText xml:space="preserve"> HYPERLINK \l "_Toc20350" </w:instrText>
      </w:r>
      <w:r>
        <w:fldChar w:fldCharType="separate"/>
      </w:r>
      <w:r>
        <w:t>1.3.2 技术路线</w:t>
      </w:r>
      <w:r>
        <w:tab/>
      </w:r>
      <w:r>
        <w:fldChar w:fldCharType="begin"/>
      </w:r>
      <w:r>
        <w:instrText xml:space="preserve"> PAGEREF _Toc20350 \h </w:instrText>
      </w:r>
      <w:r>
        <w:fldChar w:fldCharType="separate"/>
      </w:r>
      <w:r>
        <w:t>6</w:t>
      </w:r>
      <w:r>
        <w:fldChar w:fldCharType="end"/>
      </w:r>
      <w:r>
        <w:fldChar w:fldCharType="end"/>
      </w:r>
    </w:p>
    <w:p w14:paraId="2E830F4C">
      <w:pPr>
        <w:pStyle w:val="12"/>
        <w:tabs>
          <w:tab w:val="right" w:leader="dot" w:pos="9071"/>
          <w:tab w:val="clear" w:pos="1100"/>
          <w:tab w:val="clear" w:pos="9061"/>
        </w:tabs>
      </w:pPr>
      <w:r>
        <w:fldChar w:fldCharType="begin"/>
      </w:r>
      <w:r>
        <w:instrText xml:space="preserve"> HYPERLINK \l "_Toc6813" </w:instrText>
      </w:r>
      <w:r>
        <w:fldChar w:fldCharType="separate"/>
      </w:r>
      <w:r>
        <w:t>1.4 论文结构</w:t>
      </w:r>
      <w:r>
        <w:tab/>
      </w:r>
      <w:r>
        <w:fldChar w:fldCharType="begin"/>
      </w:r>
      <w:r>
        <w:instrText xml:space="preserve"> PAGEREF _Toc6813 \h </w:instrText>
      </w:r>
      <w:r>
        <w:fldChar w:fldCharType="separate"/>
      </w:r>
      <w:r>
        <w:t>7</w:t>
      </w:r>
      <w:r>
        <w:fldChar w:fldCharType="end"/>
      </w:r>
      <w:r>
        <w:fldChar w:fldCharType="end"/>
      </w:r>
    </w:p>
    <w:p w14:paraId="74EEB40B">
      <w:pPr>
        <w:pStyle w:val="11"/>
        <w:tabs>
          <w:tab w:val="right" w:leader="dot" w:pos="9071"/>
        </w:tabs>
        <w:spacing w:line="324" w:lineRule="auto"/>
        <w:rPr>
          <w:rFonts w:hint="eastAsia" w:ascii="黑体" w:hAnsi="黑体" w:eastAsia="黑体"/>
          <w:b/>
          <w:bCs/>
          <w:sz w:val="24"/>
        </w:rPr>
      </w:pPr>
      <w:r>
        <w:fldChar w:fldCharType="begin"/>
      </w:r>
      <w:r>
        <w:instrText xml:space="preserve"> HYPERLINK \l "_Toc1630" </w:instrText>
      </w:r>
      <w:r>
        <w:fldChar w:fldCharType="separate"/>
      </w:r>
      <w:r>
        <w:rPr>
          <w:rFonts w:ascii="黑体" w:hAnsi="黑体" w:eastAsia="黑体"/>
          <w:b/>
          <w:bCs/>
          <w:sz w:val="24"/>
        </w:rPr>
        <w:t xml:space="preserve">2 </w:t>
      </w:r>
      <w:r>
        <w:rPr>
          <w:rFonts w:hint="eastAsia" w:ascii="黑体" w:hAnsi="黑体" w:eastAsia="黑体"/>
          <w:b/>
          <w:bCs/>
          <w:sz w:val="24"/>
        </w:rPr>
        <w:t>相关理论与技术基础</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_Toc1630 \h </w:instrText>
      </w:r>
      <w:r>
        <w:rPr>
          <w:rFonts w:hint="eastAsia" w:ascii="黑体" w:hAnsi="黑体" w:eastAsia="黑体"/>
          <w:b/>
          <w:bCs/>
          <w:sz w:val="24"/>
        </w:rPr>
        <w:fldChar w:fldCharType="separate"/>
      </w:r>
      <w:r>
        <w:rPr>
          <w:rFonts w:hint="eastAsia" w:ascii="黑体" w:hAnsi="黑体" w:eastAsia="黑体"/>
          <w:b/>
          <w:bCs/>
          <w:sz w:val="24"/>
        </w:rPr>
        <w:t>7</w:t>
      </w:r>
      <w:r>
        <w:rPr>
          <w:rFonts w:hint="eastAsia" w:ascii="黑体" w:hAnsi="黑体" w:eastAsia="黑体"/>
          <w:b/>
          <w:bCs/>
          <w:sz w:val="24"/>
        </w:rPr>
        <w:fldChar w:fldCharType="end"/>
      </w:r>
      <w:r>
        <w:rPr>
          <w:rFonts w:hint="eastAsia" w:ascii="黑体" w:hAnsi="黑体" w:eastAsia="黑体"/>
          <w:b/>
          <w:bCs/>
          <w:sz w:val="24"/>
        </w:rPr>
        <w:fldChar w:fldCharType="end"/>
      </w:r>
    </w:p>
    <w:p w14:paraId="047DF73F">
      <w:pPr>
        <w:pStyle w:val="12"/>
        <w:tabs>
          <w:tab w:val="right" w:leader="dot" w:pos="9071"/>
          <w:tab w:val="clear" w:pos="1100"/>
          <w:tab w:val="clear" w:pos="9061"/>
        </w:tabs>
      </w:pPr>
      <w:r>
        <w:fldChar w:fldCharType="begin"/>
      </w:r>
      <w:r>
        <w:instrText xml:space="preserve"> HYPERLINK \l "_Toc15409" </w:instrText>
      </w:r>
      <w:r>
        <w:fldChar w:fldCharType="separate"/>
      </w:r>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r>
        <w:fldChar w:fldCharType="end"/>
      </w:r>
    </w:p>
    <w:p w14:paraId="6F82D911">
      <w:pPr>
        <w:pStyle w:val="8"/>
        <w:tabs>
          <w:tab w:val="right" w:leader="dot" w:pos="9071"/>
        </w:tabs>
      </w:pPr>
      <w:r>
        <w:fldChar w:fldCharType="begin"/>
      </w:r>
      <w:r>
        <w:instrText xml:space="preserve"> HYPERLINK \l "_Toc20001" </w:instrText>
      </w:r>
      <w:r>
        <w:fldChar w:fldCharType="separate"/>
      </w:r>
      <w:r>
        <w:t>2.1.1 光伏功率的特性与影响因素</w:t>
      </w:r>
      <w:r>
        <w:tab/>
      </w:r>
      <w:r>
        <w:fldChar w:fldCharType="begin"/>
      </w:r>
      <w:r>
        <w:instrText xml:space="preserve"> PAGEREF _Toc20001 \h </w:instrText>
      </w:r>
      <w:r>
        <w:fldChar w:fldCharType="separate"/>
      </w:r>
      <w:r>
        <w:t>8</w:t>
      </w:r>
      <w:r>
        <w:fldChar w:fldCharType="end"/>
      </w:r>
      <w:r>
        <w:fldChar w:fldCharType="end"/>
      </w:r>
    </w:p>
    <w:p w14:paraId="09CE4F53">
      <w:pPr>
        <w:pStyle w:val="8"/>
        <w:tabs>
          <w:tab w:val="right" w:leader="dot" w:pos="9071"/>
        </w:tabs>
      </w:pPr>
      <w:r>
        <w:fldChar w:fldCharType="begin"/>
      </w:r>
      <w:r>
        <w:instrText xml:space="preserve"> HYPERLINK \l "_Toc25097" </w:instrText>
      </w:r>
      <w:r>
        <w:fldChar w:fldCharType="separate"/>
      </w:r>
      <w:r>
        <w:t>2.1.2 短期光伏预测的定义与分类</w:t>
      </w:r>
      <w:r>
        <w:tab/>
      </w:r>
      <w:r>
        <w:fldChar w:fldCharType="begin"/>
      </w:r>
      <w:r>
        <w:instrText xml:space="preserve"> PAGEREF _Toc25097 \h </w:instrText>
      </w:r>
      <w:r>
        <w:fldChar w:fldCharType="separate"/>
      </w:r>
      <w:r>
        <w:t>8</w:t>
      </w:r>
      <w:r>
        <w:fldChar w:fldCharType="end"/>
      </w:r>
      <w:r>
        <w:fldChar w:fldCharType="end"/>
      </w:r>
    </w:p>
    <w:p w14:paraId="4AC5D73A">
      <w:pPr>
        <w:pStyle w:val="8"/>
        <w:tabs>
          <w:tab w:val="right" w:leader="dot" w:pos="9071"/>
        </w:tabs>
      </w:pPr>
      <w:r>
        <w:fldChar w:fldCharType="begin"/>
      </w:r>
      <w:r>
        <w:instrText xml:space="preserve"> HYPERLINK \l "_Toc23897" </w:instrText>
      </w:r>
      <w:r>
        <w:fldChar w:fldCharType="separate"/>
      </w:r>
      <w:r>
        <w:t>2.1.3 预测结果评价指标</w:t>
      </w:r>
      <w:r>
        <w:tab/>
      </w:r>
      <w:r>
        <w:fldChar w:fldCharType="begin"/>
      </w:r>
      <w:r>
        <w:instrText xml:space="preserve"> PAGEREF _Toc23897 \h </w:instrText>
      </w:r>
      <w:r>
        <w:fldChar w:fldCharType="separate"/>
      </w:r>
      <w:r>
        <w:t>8</w:t>
      </w:r>
      <w:r>
        <w:fldChar w:fldCharType="end"/>
      </w:r>
      <w:r>
        <w:fldChar w:fldCharType="end"/>
      </w:r>
    </w:p>
    <w:p w14:paraId="22DEAF21">
      <w:pPr>
        <w:pStyle w:val="12"/>
        <w:tabs>
          <w:tab w:val="right" w:leader="dot" w:pos="9071"/>
          <w:tab w:val="clear" w:pos="1100"/>
          <w:tab w:val="clear" w:pos="9061"/>
        </w:tabs>
      </w:pPr>
      <w:r>
        <w:fldChar w:fldCharType="begin"/>
      </w:r>
      <w:r>
        <w:instrText xml:space="preserve"> HYPERLINK \l "_Toc18875" </w:instrText>
      </w:r>
      <w:r>
        <w:fldChar w:fldCharType="separate"/>
      </w:r>
      <w:r>
        <w:rPr>
          <w:rFonts w:eastAsia="sans-serif"/>
        </w:rPr>
        <w:t xml:space="preserve">2.2 </w:t>
      </w:r>
      <w:r>
        <w:t>经验模态分解（EMD）算法</w:t>
      </w:r>
      <w:r>
        <w:rPr>
          <w:rFonts w:hint="eastAsia"/>
        </w:rPr>
        <w:t>理论推导</w:t>
      </w:r>
      <w:r>
        <w:tab/>
      </w:r>
      <w:r>
        <w:fldChar w:fldCharType="begin"/>
      </w:r>
      <w:r>
        <w:instrText xml:space="preserve"> PAGEREF _Toc18875 \h </w:instrText>
      </w:r>
      <w:r>
        <w:fldChar w:fldCharType="separate"/>
      </w:r>
      <w:r>
        <w:t>9</w:t>
      </w:r>
      <w:r>
        <w:fldChar w:fldCharType="end"/>
      </w:r>
      <w:r>
        <w:fldChar w:fldCharType="end"/>
      </w:r>
    </w:p>
    <w:p w14:paraId="53F13D69">
      <w:pPr>
        <w:pStyle w:val="8"/>
        <w:tabs>
          <w:tab w:val="right" w:leader="dot" w:pos="9071"/>
        </w:tabs>
      </w:pPr>
      <w:r>
        <w:fldChar w:fldCharType="begin"/>
      </w:r>
      <w:r>
        <w:instrText xml:space="preserve"> HYPERLINK \l "_Toc8018" </w:instrText>
      </w:r>
      <w:r>
        <w:fldChar w:fldCharType="separate"/>
      </w:r>
      <w:r>
        <w:t>2.2.1 IMF的数学条件与筛选原理</w:t>
      </w:r>
      <w:r>
        <w:tab/>
      </w:r>
      <w:r>
        <w:fldChar w:fldCharType="begin"/>
      </w:r>
      <w:r>
        <w:instrText xml:space="preserve"> PAGEREF _Toc8018 \h </w:instrText>
      </w:r>
      <w:r>
        <w:fldChar w:fldCharType="separate"/>
      </w:r>
      <w:r>
        <w:t>9</w:t>
      </w:r>
      <w:r>
        <w:fldChar w:fldCharType="end"/>
      </w:r>
      <w:r>
        <w:fldChar w:fldCharType="end"/>
      </w:r>
    </w:p>
    <w:p w14:paraId="68CDB65D">
      <w:pPr>
        <w:pStyle w:val="8"/>
        <w:tabs>
          <w:tab w:val="right" w:leader="dot" w:pos="9071"/>
        </w:tabs>
      </w:pPr>
      <w:r>
        <w:fldChar w:fldCharType="begin"/>
      </w:r>
      <w:r>
        <w:instrText xml:space="preserve"> HYPERLINK \l "_Toc27978" </w:instrText>
      </w:r>
      <w:r>
        <w:fldChar w:fldCharType="separate"/>
      </w:r>
      <w:r>
        <w:t>2.2.2 EMD 的筛分算法流程（Sifting Process）</w:t>
      </w:r>
      <w:r>
        <w:tab/>
      </w:r>
      <w:r>
        <w:fldChar w:fldCharType="begin"/>
      </w:r>
      <w:r>
        <w:instrText xml:space="preserve"> PAGEREF _Toc27978 \h </w:instrText>
      </w:r>
      <w:r>
        <w:fldChar w:fldCharType="separate"/>
      </w:r>
      <w:r>
        <w:t>10</w:t>
      </w:r>
      <w:r>
        <w:fldChar w:fldCharType="end"/>
      </w:r>
      <w:r>
        <w:fldChar w:fldCharType="end"/>
      </w:r>
    </w:p>
    <w:p w14:paraId="36DA0A18">
      <w:pPr>
        <w:pStyle w:val="8"/>
        <w:tabs>
          <w:tab w:val="right" w:leader="dot" w:pos="9071"/>
        </w:tabs>
      </w:pPr>
      <w:r>
        <w:fldChar w:fldCharType="begin"/>
      </w:r>
      <w:r>
        <w:instrText xml:space="preserve"> HYPERLINK \l "_Toc31317" </w:instrText>
      </w:r>
      <w:r>
        <w:fldChar w:fldCharType="separate"/>
      </w:r>
      <w:r>
        <w:t>2.2.3 模态混叠问题</w:t>
      </w:r>
      <w:r>
        <w:tab/>
      </w:r>
      <w:r>
        <w:fldChar w:fldCharType="begin"/>
      </w:r>
      <w:r>
        <w:instrText xml:space="preserve"> PAGEREF _Toc31317 \h </w:instrText>
      </w:r>
      <w:r>
        <w:fldChar w:fldCharType="separate"/>
      </w:r>
      <w:r>
        <w:t>11</w:t>
      </w:r>
      <w:r>
        <w:fldChar w:fldCharType="end"/>
      </w:r>
      <w:r>
        <w:fldChar w:fldCharType="end"/>
      </w:r>
    </w:p>
    <w:p w14:paraId="65C1FB4E">
      <w:pPr>
        <w:pStyle w:val="12"/>
        <w:tabs>
          <w:tab w:val="right" w:leader="dot" w:pos="9071"/>
          <w:tab w:val="clear" w:pos="1100"/>
          <w:tab w:val="clear" w:pos="9061"/>
        </w:tabs>
      </w:pPr>
      <w:r>
        <w:fldChar w:fldCharType="begin"/>
      </w:r>
      <w:r>
        <w:instrText xml:space="preserve"> HYPERLINK \l "_Toc1228" </w:instrText>
      </w:r>
      <w:r>
        <w:fldChar w:fldCharType="separate"/>
      </w:r>
      <w:r>
        <w:t>2.3 循环神经网络相关模型</w:t>
      </w:r>
      <w:r>
        <w:tab/>
      </w:r>
      <w:r>
        <w:fldChar w:fldCharType="begin"/>
      </w:r>
      <w:r>
        <w:instrText xml:space="preserve"> PAGEREF _Toc1228 \h </w:instrText>
      </w:r>
      <w:r>
        <w:fldChar w:fldCharType="separate"/>
      </w:r>
      <w:r>
        <w:t>11</w:t>
      </w:r>
      <w:r>
        <w:fldChar w:fldCharType="end"/>
      </w:r>
      <w:r>
        <w:fldChar w:fldCharType="end"/>
      </w:r>
    </w:p>
    <w:p w14:paraId="5DD2CF34">
      <w:pPr>
        <w:pStyle w:val="8"/>
        <w:tabs>
          <w:tab w:val="right" w:leader="dot" w:pos="9071"/>
        </w:tabs>
      </w:pPr>
      <w:r>
        <w:fldChar w:fldCharType="begin"/>
      </w:r>
      <w:r>
        <w:instrText xml:space="preserve"> HYPERLINK \l "_Toc19793" </w:instrText>
      </w:r>
      <w:r>
        <w:fldChar w:fldCharType="separate"/>
      </w:r>
      <w:r>
        <w:t>2.3.1 循环神经网络（RNN）</w:t>
      </w:r>
      <w:r>
        <w:tab/>
      </w:r>
      <w:r>
        <w:fldChar w:fldCharType="begin"/>
      </w:r>
      <w:r>
        <w:instrText xml:space="preserve"> PAGEREF _Toc19793 \h </w:instrText>
      </w:r>
      <w:r>
        <w:fldChar w:fldCharType="separate"/>
      </w:r>
      <w:r>
        <w:t>11</w:t>
      </w:r>
      <w:r>
        <w:fldChar w:fldCharType="end"/>
      </w:r>
      <w:r>
        <w:fldChar w:fldCharType="end"/>
      </w:r>
    </w:p>
    <w:p w14:paraId="7B63DEFF">
      <w:pPr>
        <w:pStyle w:val="8"/>
        <w:tabs>
          <w:tab w:val="right" w:leader="dot" w:pos="9071"/>
        </w:tabs>
      </w:pPr>
      <w:r>
        <w:fldChar w:fldCharType="begin"/>
      </w:r>
      <w:r>
        <w:instrText xml:space="preserve"> HYPERLINK \l "_Toc1526" </w:instrText>
      </w:r>
      <w:r>
        <w:fldChar w:fldCharType="separate"/>
      </w:r>
      <w:r>
        <w:t>2.3.2 长短期记忆网络（LSTM）</w:t>
      </w:r>
      <w:r>
        <w:tab/>
      </w:r>
      <w:r>
        <w:fldChar w:fldCharType="begin"/>
      </w:r>
      <w:r>
        <w:instrText xml:space="preserve"> PAGEREF _Toc1526 \h </w:instrText>
      </w:r>
      <w:r>
        <w:fldChar w:fldCharType="separate"/>
      </w:r>
      <w:r>
        <w:t>13</w:t>
      </w:r>
      <w:r>
        <w:fldChar w:fldCharType="end"/>
      </w:r>
      <w:r>
        <w:fldChar w:fldCharType="end"/>
      </w:r>
    </w:p>
    <w:p w14:paraId="416EC610">
      <w:pPr>
        <w:pStyle w:val="8"/>
        <w:tabs>
          <w:tab w:val="right" w:leader="dot" w:pos="9071"/>
        </w:tabs>
      </w:pPr>
      <w:r>
        <w:fldChar w:fldCharType="begin"/>
      </w:r>
      <w:r>
        <w:instrText xml:space="preserve"> HYPERLINK \l "_Toc1949" </w:instrText>
      </w:r>
      <w:r>
        <w:fldChar w:fldCharType="separate"/>
      </w:r>
      <w:r>
        <w:t>2.3.3 门控循环单元（GRU）</w:t>
      </w:r>
      <w:r>
        <w:tab/>
      </w:r>
      <w:r>
        <w:fldChar w:fldCharType="begin"/>
      </w:r>
      <w:r>
        <w:instrText xml:space="preserve"> PAGEREF _Toc1949 \h </w:instrText>
      </w:r>
      <w:r>
        <w:fldChar w:fldCharType="separate"/>
      </w:r>
      <w:r>
        <w:t>15</w:t>
      </w:r>
      <w:r>
        <w:fldChar w:fldCharType="end"/>
      </w:r>
      <w:r>
        <w:fldChar w:fldCharType="end"/>
      </w:r>
    </w:p>
    <w:p w14:paraId="51B11D2B">
      <w:pPr>
        <w:pStyle w:val="8"/>
        <w:tabs>
          <w:tab w:val="right" w:leader="dot" w:pos="9071"/>
        </w:tabs>
      </w:pPr>
      <w:r>
        <w:fldChar w:fldCharType="begin"/>
      </w:r>
      <w:r>
        <w:instrText xml:space="preserve"> HYPERLINK \l "_Toc6480" </w:instrText>
      </w:r>
      <w:r>
        <w:fldChar w:fldCharType="separate"/>
      </w:r>
      <w:r>
        <w:t>2.3.4 双向门控循环单元（BiGRU）</w:t>
      </w:r>
      <w:r>
        <w:tab/>
      </w:r>
      <w:r>
        <w:fldChar w:fldCharType="begin"/>
      </w:r>
      <w:r>
        <w:instrText xml:space="preserve"> PAGEREF _Toc6480 \h </w:instrText>
      </w:r>
      <w:r>
        <w:fldChar w:fldCharType="separate"/>
      </w:r>
      <w:r>
        <w:t>16</w:t>
      </w:r>
      <w:r>
        <w:fldChar w:fldCharType="end"/>
      </w:r>
      <w:r>
        <w:fldChar w:fldCharType="end"/>
      </w:r>
    </w:p>
    <w:p w14:paraId="12B8CDCB">
      <w:pPr>
        <w:pStyle w:val="12"/>
        <w:tabs>
          <w:tab w:val="right" w:leader="dot" w:pos="9071"/>
          <w:tab w:val="clear" w:pos="1100"/>
          <w:tab w:val="clear" w:pos="9061"/>
        </w:tabs>
      </w:pPr>
      <w:r>
        <w:fldChar w:fldCharType="begin"/>
      </w:r>
      <w:r>
        <w:instrText xml:space="preserve"> HYPERLINK \l "_Toc5100" </w:instrText>
      </w:r>
      <w:r>
        <w:fldChar w:fldCharType="separate"/>
      </w:r>
      <w:r>
        <w:t>2.4 数据预处理技术</w:t>
      </w:r>
      <w:r>
        <w:tab/>
      </w:r>
      <w:r>
        <w:fldChar w:fldCharType="begin"/>
      </w:r>
      <w:r>
        <w:instrText xml:space="preserve"> PAGEREF _Toc5100 \h </w:instrText>
      </w:r>
      <w:r>
        <w:fldChar w:fldCharType="separate"/>
      </w:r>
      <w:r>
        <w:t>18</w:t>
      </w:r>
      <w:r>
        <w:fldChar w:fldCharType="end"/>
      </w:r>
      <w:r>
        <w:fldChar w:fldCharType="end"/>
      </w:r>
    </w:p>
    <w:p w14:paraId="56BBB00C">
      <w:pPr>
        <w:pStyle w:val="8"/>
        <w:tabs>
          <w:tab w:val="right" w:leader="dot" w:pos="9071"/>
        </w:tabs>
      </w:pPr>
      <w:r>
        <w:fldChar w:fldCharType="begin"/>
      </w:r>
      <w:r>
        <w:instrText xml:space="preserve"> HYPERLINK \l "_Toc31212" </w:instrText>
      </w:r>
      <w:r>
        <w:fldChar w:fldCharType="separate"/>
      </w:r>
      <w:r>
        <w:t>2.4.1 数据清洗</w:t>
      </w:r>
      <w:r>
        <w:tab/>
      </w:r>
      <w:r>
        <w:fldChar w:fldCharType="begin"/>
      </w:r>
      <w:r>
        <w:instrText xml:space="preserve"> PAGEREF _Toc31212 \h </w:instrText>
      </w:r>
      <w:r>
        <w:fldChar w:fldCharType="separate"/>
      </w:r>
      <w:r>
        <w:t>18</w:t>
      </w:r>
      <w:r>
        <w:fldChar w:fldCharType="end"/>
      </w:r>
      <w:r>
        <w:fldChar w:fldCharType="end"/>
      </w:r>
    </w:p>
    <w:p w14:paraId="795DAB40">
      <w:pPr>
        <w:pStyle w:val="8"/>
        <w:tabs>
          <w:tab w:val="right" w:leader="dot" w:pos="9071"/>
        </w:tabs>
      </w:pPr>
      <w:r>
        <w:fldChar w:fldCharType="begin"/>
      </w:r>
      <w:r>
        <w:instrText xml:space="preserve"> HYPERLINK \l "_Toc22435" </w:instrText>
      </w:r>
      <w:r>
        <w:fldChar w:fldCharType="separate"/>
      </w:r>
      <w:r>
        <w:t>2.4.2 数据归一化</w:t>
      </w:r>
      <w:r>
        <w:tab/>
      </w:r>
      <w:r>
        <w:fldChar w:fldCharType="begin"/>
      </w:r>
      <w:r>
        <w:instrText xml:space="preserve"> PAGEREF _Toc22435 \h </w:instrText>
      </w:r>
      <w:r>
        <w:fldChar w:fldCharType="separate"/>
      </w:r>
      <w:r>
        <w:t>18</w:t>
      </w:r>
      <w:r>
        <w:fldChar w:fldCharType="end"/>
      </w:r>
      <w:r>
        <w:fldChar w:fldCharType="end"/>
      </w:r>
    </w:p>
    <w:p w14:paraId="197FAFDC">
      <w:pPr>
        <w:pStyle w:val="11"/>
        <w:tabs>
          <w:tab w:val="right" w:leader="dot" w:pos="9071"/>
        </w:tabs>
        <w:spacing w:line="324" w:lineRule="auto"/>
        <w:rPr>
          <w:rFonts w:hint="eastAsia" w:ascii="黑体" w:hAnsi="黑体" w:eastAsia="黑体"/>
          <w:b/>
          <w:bCs/>
          <w:sz w:val="24"/>
        </w:rPr>
      </w:pPr>
      <w:r>
        <w:fldChar w:fldCharType="begin"/>
      </w:r>
      <w:r>
        <w:instrText xml:space="preserve"> HYPERLINK \l "_Toc7109" </w:instrText>
      </w:r>
      <w:r>
        <w:fldChar w:fldCharType="separate"/>
      </w:r>
      <w:r>
        <w:rPr>
          <w:rFonts w:ascii="黑体" w:hAnsi="黑体" w:eastAsia="黑体"/>
          <w:b/>
          <w:bCs/>
          <w:sz w:val="24"/>
        </w:rPr>
        <w:t xml:space="preserve">3 </w:t>
      </w:r>
      <w:r>
        <w:rPr>
          <w:rFonts w:hint="eastAsia" w:ascii="黑体" w:hAnsi="黑体" w:eastAsia="黑体"/>
          <w:b/>
          <w:bCs/>
          <w:sz w:val="24"/>
        </w:rPr>
        <w:t>基于 EMD-BiGRU 的光伏功率预测模型设计</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_Toc7109 \h </w:instrText>
      </w:r>
      <w:r>
        <w:rPr>
          <w:rFonts w:hint="eastAsia" w:ascii="黑体" w:hAnsi="黑体" w:eastAsia="黑体"/>
          <w:b/>
          <w:bCs/>
          <w:sz w:val="24"/>
        </w:rPr>
        <w:fldChar w:fldCharType="separate"/>
      </w:r>
      <w:r>
        <w:rPr>
          <w:rFonts w:hint="eastAsia" w:ascii="黑体" w:hAnsi="黑体" w:eastAsia="黑体"/>
          <w:b/>
          <w:bCs/>
          <w:sz w:val="24"/>
        </w:rPr>
        <w:t>20</w:t>
      </w:r>
      <w:r>
        <w:rPr>
          <w:rFonts w:hint="eastAsia" w:ascii="黑体" w:hAnsi="黑体" w:eastAsia="黑体"/>
          <w:b/>
          <w:bCs/>
          <w:sz w:val="24"/>
        </w:rPr>
        <w:fldChar w:fldCharType="end"/>
      </w:r>
      <w:r>
        <w:rPr>
          <w:rFonts w:hint="eastAsia" w:ascii="黑体" w:hAnsi="黑体" w:eastAsia="黑体"/>
          <w:b/>
          <w:bCs/>
          <w:sz w:val="24"/>
        </w:rPr>
        <w:fldChar w:fldCharType="end"/>
      </w:r>
    </w:p>
    <w:p w14:paraId="528A5D44">
      <w:pPr>
        <w:pStyle w:val="12"/>
        <w:tabs>
          <w:tab w:val="right" w:leader="dot" w:pos="9071"/>
          <w:tab w:val="clear" w:pos="1100"/>
          <w:tab w:val="clear" w:pos="9061"/>
        </w:tabs>
      </w:pPr>
      <w:r>
        <w:fldChar w:fldCharType="begin"/>
      </w:r>
      <w:r>
        <w:instrText xml:space="preserve"> HYPERLINK \l "_Toc21050" </w:instrText>
      </w:r>
      <w:r>
        <w:fldChar w:fldCharType="separate"/>
      </w:r>
      <w:r>
        <w:t>3.1 模型整体框架</w:t>
      </w:r>
      <w:r>
        <w:tab/>
      </w:r>
      <w:r>
        <w:fldChar w:fldCharType="begin"/>
      </w:r>
      <w:r>
        <w:instrText xml:space="preserve"> PAGEREF _Toc21050 \h </w:instrText>
      </w:r>
      <w:r>
        <w:fldChar w:fldCharType="separate"/>
      </w:r>
      <w:r>
        <w:t>20</w:t>
      </w:r>
      <w:r>
        <w:fldChar w:fldCharType="end"/>
      </w:r>
      <w:r>
        <w:fldChar w:fldCharType="end"/>
      </w:r>
    </w:p>
    <w:p w14:paraId="2128EB72">
      <w:pPr>
        <w:pStyle w:val="12"/>
        <w:tabs>
          <w:tab w:val="right" w:leader="dot" w:pos="9071"/>
          <w:tab w:val="clear" w:pos="1100"/>
          <w:tab w:val="clear" w:pos="9061"/>
        </w:tabs>
      </w:pPr>
      <w:r>
        <w:fldChar w:fldCharType="begin"/>
      </w:r>
      <w:r>
        <w:instrText xml:space="preserve"> HYPERLINK \l "_Toc5690" </w:instrText>
      </w:r>
      <w:r>
        <w:fldChar w:fldCharType="separate"/>
      </w:r>
      <w:r>
        <w:t>3.2 数据处理流程</w:t>
      </w:r>
      <w:r>
        <w:tab/>
      </w:r>
      <w:r>
        <w:fldChar w:fldCharType="begin"/>
      </w:r>
      <w:r>
        <w:instrText xml:space="preserve"> PAGEREF _Toc5690 \h </w:instrText>
      </w:r>
      <w:r>
        <w:fldChar w:fldCharType="separate"/>
      </w:r>
      <w:r>
        <w:t>21</w:t>
      </w:r>
      <w:r>
        <w:fldChar w:fldCharType="end"/>
      </w:r>
      <w:r>
        <w:fldChar w:fldCharType="end"/>
      </w:r>
    </w:p>
    <w:p w14:paraId="39DD43EA">
      <w:pPr>
        <w:pStyle w:val="12"/>
        <w:tabs>
          <w:tab w:val="right" w:leader="dot" w:pos="9071"/>
          <w:tab w:val="clear" w:pos="1100"/>
          <w:tab w:val="clear" w:pos="9061"/>
        </w:tabs>
      </w:pPr>
      <w:r>
        <w:fldChar w:fldCharType="begin"/>
      </w:r>
      <w:r>
        <w:instrText xml:space="preserve"> HYPERLINK \l "_Toc1103" </w:instrText>
      </w:r>
      <w:r>
        <w:fldChar w:fldCharType="separate"/>
      </w:r>
      <w:r>
        <w:t>3.3 时序数据的滑动窗口转换机制</w:t>
      </w:r>
      <w:r>
        <w:tab/>
      </w:r>
      <w:r>
        <w:fldChar w:fldCharType="begin"/>
      </w:r>
      <w:r>
        <w:instrText xml:space="preserve"> PAGEREF _Toc1103 \h </w:instrText>
      </w:r>
      <w:r>
        <w:fldChar w:fldCharType="separate"/>
      </w:r>
      <w:r>
        <w:t>22</w:t>
      </w:r>
      <w:r>
        <w:fldChar w:fldCharType="end"/>
      </w:r>
      <w:r>
        <w:fldChar w:fldCharType="end"/>
      </w:r>
    </w:p>
    <w:p w14:paraId="78833721">
      <w:pPr>
        <w:pStyle w:val="12"/>
        <w:tabs>
          <w:tab w:val="right" w:leader="dot" w:pos="9071"/>
          <w:tab w:val="clear" w:pos="1100"/>
          <w:tab w:val="clear" w:pos="9061"/>
        </w:tabs>
      </w:pPr>
      <w:r>
        <w:fldChar w:fldCharType="begin"/>
      </w:r>
      <w:r>
        <w:instrText xml:space="preserve"> HYPERLINK \l "_Toc31552" </w:instrText>
      </w:r>
      <w:r>
        <w:fldChar w:fldCharType="separate"/>
      </w:r>
      <w:r>
        <w:t>3.4 损失函数设计与网络参数寻优</w:t>
      </w:r>
      <w:r>
        <w:tab/>
      </w:r>
      <w:r>
        <w:fldChar w:fldCharType="begin"/>
      </w:r>
      <w:r>
        <w:instrText xml:space="preserve"> PAGEREF _Toc31552 \h </w:instrText>
      </w:r>
      <w:r>
        <w:fldChar w:fldCharType="separate"/>
      </w:r>
      <w:r>
        <w:t>23</w:t>
      </w:r>
      <w:r>
        <w:fldChar w:fldCharType="end"/>
      </w:r>
      <w:r>
        <w:fldChar w:fldCharType="end"/>
      </w:r>
    </w:p>
    <w:p w14:paraId="5CE6E5FF">
      <w:pPr>
        <w:pStyle w:val="12"/>
        <w:tabs>
          <w:tab w:val="right" w:leader="dot" w:pos="9071"/>
          <w:tab w:val="clear" w:pos="1100"/>
          <w:tab w:val="clear" w:pos="9061"/>
        </w:tabs>
      </w:pPr>
      <w:r>
        <w:fldChar w:fldCharType="begin"/>
      </w:r>
      <w:r>
        <w:instrText xml:space="preserve"> HYPERLINK \l "_Toc17548" </w:instrText>
      </w:r>
      <w:r>
        <w:fldChar w:fldCharType="separate"/>
      </w:r>
      <w:r>
        <w:t>3.5 EMD 分解实现</w:t>
      </w:r>
      <w:r>
        <w:tab/>
      </w:r>
      <w:r>
        <w:fldChar w:fldCharType="begin"/>
      </w:r>
      <w:r>
        <w:instrText xml:space="preserve"> PAGEREF _Toc17548 \h </w:instrText>
      </w:r>
      <w:r>
        <w:fldChar w:fldCharType="separate"/>
      </w:r>
      <w:r>
        <w:t>24</w:t>
      </w:r>
      <w:r>
        <w:fldChar w:fldCharType="end"/>
      </w:r>
      <w:r>
        <w:fldChar w:fldCharType="end"/>
      </w:r>
    </w:p>
    <w:p w14:paraId="21124EF7">
      <w:pPr>
        <w:pStyle w:val="12"/>
        <w:tabs>
          <w:tab w:val="right" w:leader="dot" w:pos="9071"/>
          <w:tab w:val="clear" w:pos="1100"/>
          <w:tab w:val="clear" w:pos="9061"/>
        </w:tabs>
      </w:pPr>
      <w:r>
        <w:fldChar w:fldCharType="begin"/>
      </w:r>
      <w:r>
        <w:instrText xml:space="preserve"> HYPERLINK \l "_Toc18750" </w:instrText>
      </w:r>
      <w:r>
        <w:fldChar w:fldCharType="separate"/>
      </w:r>
      <w:r>
        <w:t>3.6 BiGRU 神经网络结构</w:t>
      </w:r>
      <w:r>
        <w:rPr>
          <w:rFonts w:hint="eastAsia"/>
        </w:rPr>
        <w:t>实现</w:t>
      </w:r>
      <w:r>
        <w:tab/>
      </w:r>
      <w:r>
        <w:fldChar w:fldCharType="begin"/>
      </w:r>
      <w:r>
        <w:instrText xml:space="preserve"> PAGEREF _Toc18750 \h </w:instrText>
      </w:r>
      <w:r>
        <w:fldChar w:fldCharType="separate"/>
      </w:r>
      <w:r>
        <w:t>24</w:t>
      </w:r>
      <w:r>
        <w:fldChar w:fldCharType="end"/>
      </w:r>
      <w:r>
        <w:fldChar w:fldCharType="end"/>
      </w:r>
    </w:p>
    <w:p w14:paraId="566C1FB6">
      <w:pPr>
        <w:pStyle w:val="8"/>
        <w:tabs>
          <w:tab w:val="right" w:leader="dot" w:pos="9071"/>
        </w:tabs>
      </w:pPr>
      <w:r>
        <w:fldChar w:fldCharType="begin"/>
      </w:r>
      <w:r>
        <w:instrText xml:space="preserve"> HYPERLINK \l "_Toc6295" </w:instrText>
      </w:r>
      <w:r>
        <w:fldChar w:fldCharType="separate"/>
      </w:r>
      <w:r>
        <w:t>3.6.1 网络整体结构</w:t>
      </w:r>
      <w:r>
        <w:tab/>
      </w:r>
      <w:r>
        <w:fldChar w:fldCharType="begin"/>
      </w:r>
      <w:r>
        <w:instrText xml:space="preserve"> PAGEREF _Toc6295 \h </w:instrText>
      </w:r>
      <w:r>
        <w:fldChar w:fldCharType="separate"/>
      </w:r>
      <w:r>
        <w:t>24</w:t>
      </w:r>
      <w:r>
        <w:fldChar w:fldCharType="end"/>
      </w:r>
      <w:r>
        <w:fldChar w:fldCharType="end"/>
      </w:r>
    </w:p>
    <w:p w14:paraId="0D097BFC">
      <w:pPr>
        <w:pStyle w:val="8"/>
        <w:tabs>
          <w:tab w:val="right" w:leader="dot" w:pos="9071"/>
        </w:tabs>
      </w:pPr>
      <w:r>
        <w:fldChar w:fldCharType="begin"/>
      </w:r>
      <w:r>
        <w:instrText xml:space="preserve"> HYPERLINK \l "_Toc21681" </w:instrText>
      </w:r>
      <w:r>
        <w:fldChar w:fldCharType="separate"/>
      </w:r>
      <w:r>
        <w:t>3.6.2 神经元与层数设置</w:t>
      </w:r>
      <w:r>
        <w:tab/>
      </w:r>
      <w:r>
        <w:fldChar w:fldCharType="begin"/>
      </w:r>
      <w:r>
        <w:instrText xml:space="preserve"> PAGEREF _Toc21681 \h </w:instrText>
      </w:r>
      <w:r>
        <w:fldChar w:fldCharType="separate"/>
      </w:r>
      <w:r>
        <w:t>25</w:t>
      </w:r>
      <w:r>
        <w:fldChar w:fldCharType="end"/>
      </w:r>
      <w:r>
        <w:fldChar w:fldCharType="end"/>
      </w:r>
    </w:p>
    <w:p w14:paraId="3FE6377B">
      <w:pPr>
        <w:pStyle w:val="12"/>
        <w:tabs>
          <w:tab w:val="right" w:leader="dot" w:pos="9071"/>
          <w:tab w:val="clear" w:pos="1100"/>
          <w:tab w:val="clear" w:pos="9061"/>
        </w:tabs>
      </w:pPr>
      <w:r>
        <w:fldChar w:fldCharType="begin"/>
      </w:r>
      <w:r>
        <w:instrText xml:space="preserve"> HYPERLINK \l "_Toc6817" </w:instrText>
      </w:r>
      <w:r>
        <w:fldChar w:fldCharType="separate"/>
      </w:r>
      <w:r>
        <w:t>3.7 模型训练与参数优化</w:t>
      </w:r>
      <w:r>
        <w:tab/>
      </w:r>
      <w:r>
        <w:fldChar w:fldCharType="begin"/>
      </w:r>
      <w:r>
        <w:instrText xml:space="preserve"> PAGEREF _Toc6817 \h </w:instrText>
      </w:r>
      <w:r>
        <w:fldChar w:fldCharType="separate"/>
      </w:r>
      <w:r>
        <w:t>26</w:t>
      </w:r>
      <w:r>
        <w:fldChar w:fldCharType="end"/>
      </w:r>
      <w:r>
        <w:fldChar w:fldCharType="end"/>
      </w:r>
    </w:p>
    <w:p w14:paraId="7DEB47B7">
      <w:pPr>
        <w:pStyle w:val="8"/>
        <w:tabs>
          <w:tab w:val="right" w:leader="dot" w:pos="9071"/>
        </w:tabs>
      </w:pPr>
      <w:r>
        <w:fldChar w:fldCharType="begin"/>
      </w:r>
      <w:r>
        <w:instrText xml:space="preserve"> HYPERLINK \l "_Toc12299" </w:instrText>
      </w:r>
      <w:r>
        <w:fldChar w:fldCharType="separate"/>
      </w:r>
      <w:r>
        <w:t>3.7.1 模型训练流程</w:t>
      </w:r>
      <w:r>
        <w:tab/>
      </w:r>
      <w:r>
        <w:fldChar w:fldCharType="begin"/>
      </w:r>
      <w:r>
        <w:instrText xml:space="preserve"> PAGEREF _Toc12299 \h </w:instrText>
      </w:r>
      <w:r>
        <w:fldChar w:fldCharType="separate"/>
      </w:r>
      <w:r>
        <w:t>26</w:t>
      </w:r>
      <w:r>
        <w:fldChar w:fldCharType="end"/>
      </w:r>
      <w:r>
        <w:fldChar w:fldCharType="end"/>
      </w:r>
    </w:p>
    <w:p w14:paraId="462B361C">
      <w:pPr>
        <w:pStyle w:val="8"/>
        <w:tabs>
          <w:tab w:val="right" w:leader="dot" w:pos="9071"/>
        </w:tabs>
      </w:pPr>
      <w:r>
        <w:fldChar w:fldCharType="begin"/>
      </w:r>
      <w:r>
        <w:instrText xml:space="preserve"> HYPERLINK \l "_Toc30800" </w:instrText>
      </w:r>
      <w:r>
        <w:fldChar w:fldCharType="separate"/>
      </w:r>
      <w:r>
        <w:t>3.7.2 超参数选择依据</w:t>
      </w:r>
      <w:r>
        <w:tab/>
      </w:r>
      <w:r>
        <w:fldChar w:fldCharType="begin"/>
      </w:r>
      <w:r>
        <w:instrText xml:space="preserve"> PAGEREF _Toc30800 \h </w:instrText>
      </w:r>
      <w:r>
        <w:fldChar w:fldCharType="separate"/>
      </w:r>
      <w:r>
        <w:t>27</w:t>
      </w:r>
      <w:r>
        <w:fldChar w:fldCharType="end"/>
      </w:r>
      <w:r>
        <w:fldChar w:fldCharType="end"/>
      </w:r>
    </w:p>
    <w:p w14:paraId="02C7A91E">
      <w:pPr>
        <w:pStyle w:val="8"/>
        <w:tabs>
          <w:tab w:val="right" w:leader="dot" w:pos="9071"/>
        </w:tabs>
      </w:pPr>
      <w:r>
        <w:fldChar w:fldCharType="begin"/>
      </w:r>
      <w:r>
        <w:instrText xml:space="preserve"> HYPERLINK \l "_Toc2919" </w:instrText>
      </w:r>
      <w:r>
        <w:fldChar w:fldCharType="separate"/>
      </w:r>
      <w:r>
        <w:t>3.7.3 预测与结果融合</w:t>
      </w:r>
      <w:r>
        <w:tab/>
      </w:r>
      <w:r>
        <w:fldChar w:fldCharType="begin"/>
      </w:r>
      <w:r>
        <w:instrText xml:space="preserve"> PAGEREF _Toc2919 \h </w:instrText>
      </w:r>
      <w:r>
        <w:fldChar w:fldCharType="separate"/>
      </w:r>
      <w:r>
        <w:t>28</w:t>
      </w:r>
      <w:r>
        <w:fldChar w:fldCharType="end"/>
      </w:r>
      <w:r>
        <w:fldChar w:fldCharType="end"/>
      </w:r>
    </w:p>
    <w:p w14:paraId="0E11F8E0">
      <w:pPr>
        <w:pStyle w:val="11"/>
        <w:tabs>
          <w:tab w:val="right" w:leader="dot" w:pos="9071"/>
        </w:tabs>
        <w:spacing w:line="324" w:lineRule="auto"/>
        <w:rPr>
          <w:rFonts w:hint="eastAsia" w:ascii="黑体" w:hAnsi="黑体" w:eastAsia="黑体"/>
          <w:b/>
          <w:bCs/>
          <w:sz w:val="24"/>
        </w:rPr>
      </w:pPr>
      <w:r>
        <w:fldChar w:fldCharType="begin"/>
      </w:r>
      <w:r>
        <w:instrText xml:space="preserve"> HYPERLINK \l "_Toc3484" </w:instrText>
      </w:r>
      <w:r>
        <w:fldChar w:fldCharType="separate"/>
      </w:r>
      <w:r>
        <w:rPr>
          <w:rFonts w:hint="eastAsia" w:ascii="黑体" w:hAnsi="黑体" w:eastAsia="黑体"/>
          <w:b/>
          <w:bCs/>
          <w:sz w:val="24"/>
          <w:lang w:val="en-US" w:eastAsia="zh-CN"/>
        </w:rPr>
        <w:t>4</w:t>
      </w:r>
      <w:r>
        <w:rPr>
          <w:rFonts w:ascii="黑体" w:hAnsi="黑体" w:eastAsia="黑体"/>
          <w:b/>
          <w:bCs/>
          <w:sz w:val="24"/>
        </w:rPr>
        <w:t xml:space="preserve"> </w:t>
      </w:r>
      <w:r>
        <w:rPr>
          <w:rFonts w:hint="eastAsia" w:ascii="黑体" w:hAnsi="黑体" w:eastAsia="黑体"/>
          <w:b/>
          <w:bCs/>
          <w:sz w:val="24"/>
        </w:rPr>
        <w:t>实验结果与分析</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_Toc3484 \h </w:instrText>
      </w:r>
      <w:r>
        <w:rPr>
          <w:rFonts w:hint="eastAsia" w:ascii="黑体" w:hAnsi="黑体" w:eastAsia="黑体"/>
          <w:b/>
          <w:bCs/>
          <w:sz w:val="24"/>
        </w:rPr>
        <w:fldChar w:fldCharType="separate"/>
      </w:r>
      <w:r>
        <w:rPr>
          <w:rFonts w:hint="eastAsia" w:ascii="黑体" w:hAnsi="黑体" w:eastAsia="黑体"/>
          <w:b/>
          <w:bCs/>
          <w:sz w:val="24"/>
        </w:rPr>
        <w:t>28</w:t>
      </w:r>
      <w:r>
        <w:rPr>
          <w:rFonts w:hint="eastAsia" w:ascii="黑体" w:hAnsi="黑体" w:eastAsia="黑体"/>
          <w:b/>
          <w:bCs/>
          <w:sz w:val="24"/>
        </w:rPr>
        <w:fldChar w:fldCharType="end"/>
      </w:r>
      <w:r>
        <w:rPr>
          <w:rFonts w:hint="eastAsia" w:ascii="黑体" w:hAnsi="黑体" w:eastAsia="黑体"/>
          <w:b/>
          <w:bCs/>
          <w:sz w:val="24"/>
        </w:rPr>
        <w:fldChar w:fldCharType="end"/>
      </w:r>
    </w:p>
    <w:p w14:paraId="62854F70">
      <w:pPr>
        <w:pStyle w:val="12"/>
        <w:tabs>
          <w:tab w:val="right" w:leader="dot" w:pos="9071"/>
          <w:tab w:val="clear" w:pos="1100"/>
          <w:tab w:val="clear" w:pos="9061"/>
        </w:tabs>
      </w:pPr>
      <w:r>
        <w:fldChar w:fldCharType="begin"/>
      </w:r>
      <w:r>
        <w:instrText xml:space="preserve"> HYPERLINK \l "_Toc7871" </w:instrText>
      </w:r>
      <w:r>
        <w:fldChar w:fldCharType="separate"/>
      </w:r>
      <w:r>
        <w:rPr>
          <w:rFonts w:hint="eastAsia"/>
          <w:lang w:val="en-US" w:eastAsia="zh-CN"/>
        </w:rPr>
        <w:t>4</w:t>
      </w:r>
      <w:r>
        <w:t>.1 实验设计与评价指标</w:t>
      </w:r>
      <w:r>
        <w:tab/>
      </w:r>
      <w:r>
        <w:fldChar w:fldCharType="begin"/>
      </w:r>
      <w:r>
        <w:instrText xml:space="preserve"> PAGEREF _Toc7871 \h </w:instrText>
      </w:r>
      <w:r>
        <w:fldChar w:fldCharType="separate"/>
      </w:r>
      <w:r>
        <w:t>29</w:t>
      </w:r>
      <w:r>
        <w:fldChar w:fldCharType="end"/>
      </w:r>
      <w:r>
        <w:fldChar w:fldCharType="end"/>
      </w:r>
    </w:p>
    <w:p w14:paraId="2F456005">
      <w:pPr>
        <w:pStyle w:val="12"/>
        <w:tabs>
          <w:tab w:val="right" w:leader="dot" w:pos="9071"/>
          <w:tab w:val="clear" w:pos="1100"/>
          <w:tab w:val="clear" w:pos="9061"/>
        </w:tabs>
      </w:pPr>
      <w:r>
        <w:fldChar w:fldCharType="begin"/>
      </w:r>
      <w:r>
        <w:instrText xml:space="preserve"> HYPERLINK \l "_Toc23296" </w:instrText>
      </w:r>
      <w:r>
        <w:fldChar w:fldCharType="separate"/>
      </w:r>
      <w:r>
        <w:rPr>
          <w:rFonts w:hint="eastAsia"/>
          <w:lang w:val="en-US" w:eastAsia="zh-CN"/>
        </w:rPr>
        <w:t>4</w:t>
      </w:r>
      <w:r>
        <w:t>.2 各模型预测结果定量对比</w:t>
      </w:r>
      <w:r>
        <w:tab/>
      </w:r>
      <w:r>
        <w:fldChar w:fldCharType="begin"/>
      </w:r>
      <w:r>
        <w:instrText xml:space="preserve"> PAGEREF _Toc23296 \h </w:instrText>
      </w:r>
      <w:r>
        <w:fldChar w:fldCharType="separate"/>
      </w:r>
      <w:r>
        <w:t>32</w:t>
      </w:r>
      <w:r>
        <w:fldChar w:fldCharType="end"/>
      </w:r>
      <w:r>
        <w:fldChar w:fldCharType="end"/>
      </w:r>
    </w:p>
    <w:p w14:paraId="13815B9D">
      <w:pPr>
        <w:pStyle w:val="12"/>
        <w:tabs>
          <w:tab w:val="right" w:leader="dot" w:pos="9071"/>
          <w:tab w:val="clear" w:pos="1100"/>
          <w:tab w:val="clear" w:pos="9061"/>
        </w:tabs>
      </w:pPr>
      <w:r>
        <w:fldChar w:fldCharType="begin"/>
      </w:r>
      <w:r>
        <w:instrText xml:space="preserve"> HYPERLINK \l "_Toc17843" </w:instrText>
      </w:r>
      <w:r>
        <w:fldChar w:fldCharType="separate"/>
      </w:r>
      <w:r>
        <w:rPr>
          <w:rFonts w:hint="eastAsia"/>
          <w:lang w:val="en-US" w:eastAsia="zh-CN"/>
        </w:rPr>
        <w:t>4</w:t>
      </w:r>
      <w:r>
        <w:t>.3 预测曲线对比分析</w:t>
      </w:r>
      <w:r>
        <w:tab/>
      </w:r>
      <w:r>
        <w:fldChar w:fldCharType="begin"/>
      </w:r>
      <w:r>
        <w:instrText xml:space="preserve"> PAGEREF _Toc17843 \h </w:instrText>
      </w:r>
      <w:r>
        <w:fldChar w:fldCharType="separate"/>
      </w:r>
      <w:r>
        <w:t>34</w:t>
      </w:r>
      <w:r>
        <w:fldChar w:fldCharType="end"/>
      </w:r>
      <w:r>
        <w:fldChar w:fldCharType="end"/>
      </w:r>
    </w:p>
    <w:p w14:paraId="64A44790">
      <w:pPr>
        <w:pStyle w:val="12"/>
        <w:tabs>
          <w:tab w:val="right" w:leader="dot" w:pos="9071"/>
          <w:tab w:val="clear" w:pos="1100"/>
          <w:tab w:val="clear" w:pos="9061"/>
        </w:tabs>
      </w:pPr>
      <w:r>
        <w:fldChar w:fldCharType="begin"/>
      </w:r>
      <w:r>
        <w:instrText xml:space="preserve"> HYPERLINK \l "_Toc7144" </w:instrText>
      </w:r>
      <w:r>
        <w:fldChar w:fldCharType="separate"/>
      </w:r>
      <w:r>
        <w:rPr>
          <w:rFonts w:hint="eastAsia"/>
          <w:lang w:val="en-US" w:eastAsia="zh-CN"/>
        </w:rPr>
        <w:t>4</w:t>
      </w:r>
      <w:r>
        <w:t>.4 EMD 模态分解结果与物理机理映射</w:t>
      </w:r>
      <w:r>
        <w:tab/>
      </w:r>
      <w:r>
        <w:fldChar w:fldCharType="begin"/>
      </w:r>
      <w:r>
        <w:instrText xml:space="preserve"> PAGEREF _Toc7144 \h </w:instrText>
      </w:r>
      <w:r>
        <w:fldChar w:fldCharType="separate"/>
      </w:r>
      <w:r>
        <w:t>35</w:t>
      </w:r>
      <w:r>
        <w:fldChar w:fldCharType="end"/>
      </w:r>
      <w:r>
        <w:fldChar w:fldCharType="end"/>
      </w:r>
    </w:p>
    <w:p w14:paraId="0D5A3BA1">
      <w:pPr>
        <w:pStyle w:val="12"/>
        <w:tabs>
          <w:tab w:val="right" w:leader="dot" w:pos="9071"/>
          <w:tab w:val="clear" w:pos="1100"/>
          <w:tab w:val="clear" w:pos="9061"/>
        </w:tabs>
      </w:pPr>
      <w:r>
        <w:fldChar w:fldCharType="begin"/>
      </w:r>
      <w:r>
        <w:instrText xml:space="preserve"> HYPERLINK \l "_Toc14409" </w:instrText>
      </w:r>
      <w:r>
        <w:fldChar w:fldCharType="separate"/>
      </w:r>
      <w:r>
        <w:rPr>
          <w:rFonts w:hint="eastAsia"/>
          <w:lang w:val="en-US" w:eastAsia="zh-CN"/>
        </w:rPr>
        <w:t>4</w:t>
      </w:r>
      <w:r>
        <w:t>.5 模型损失曲线分析</w:t>
      </w:r>
      <w:r>
        <w:tab/>
      </w:r>
      <w:r>
        <w:fldChar w:fldCharType="begin"/>
      </w:r>
      <w:r>
        <w:instrText xml:space="preserve"> PAGEREF _Toc14409 \h </w:instrText>
      </w:r>
      <w:r>
        <w:fldChar w:fldCharType="separate"/>
      </w:r>
      <w:r>
        <w:t>36</w:t>
      </w:r>
      <w:r>
        <w:fldChar w:fldCharType="end"/>
      </w:r>
      <w:r>
        <w:fldChar w:fldCharType="end"/>
      </w:r>
    </w:p>
    <w:p w14:paraId="59AE3A92">
      <w:pPr>
        <w:pStyle w:val="12"/>
        <w:tabs>
          <w:tab w:val="right" w:leader="dot" w:pos="9071"/>
          <w:tab w:val="clear" w:pos="1100"/>
          <w:tab w:val="clear" w:pos="9061"/>
        </w:tabs>
      </w:pPr>
      <w:r>
        <w:fldChar w:fldCharType="begin"/>
      </w:r>
      <w:r>
        <w:instrText xml:space="preserve"> HYPERLINK \l "_Toc8276" </w:instrText>
      </w:r>
      <w:r>
        <w:fldChar w:fldCharType="separate"/>
      </w:r>
      <w:r>
        <w:rPr>
          <w:rFonts w:hint="eastAsia"/>
          <w:lang w:val="en-US" w:eastAsia="zh-CN"/>
        </w:rPr>
        <w:t>4</w:t>
      </w:r>
      <w:r>
        <w:t>.6 误差来源分析</w:t>
      </w:r>
      <w:r>
        <w:tab/>
      </w:r>
      <w:r>
        <w:fldChar w:fldCharType="begin"/>
      </w:r>
      <w:r>
        <w:instrText xml:space="preserve"> PAGEREF _Toc8276 \h </w:instrText>
      </w:r>
      <w:r>
        <w:fldChar w:fldCharType="separate"/>
      </w:r>
      <w:r>
        <w:t>36</w:t>
      </w:r>
      <w:r>
        <w:fldChar w:fldCharType="end"/>
      </w:r>
      <w:r>
        <w:fldChar w:fldCharType="end"/>
      </w:r>
    </w:p>
    <w:p w14:paraId="0C09DDE4">
      <w:pPr>
        <w:pStyle w:val="12"/>
        <w:tabs>
          <w:tab w:val="right" w:leader="dot" w:pos="9071"/>
          <w:tab w:val="clear" w:pos="1100"/>
          <w:tab w:val="clear" w:pos="9061"/>
        </w:tabs>
      </w:pPr>
      <w:r>
        <w:fldChar w:fldCharType="begin"/>
      </w:r>
      <w:r>
        <w:instrText xml:space="preserve"> HYPERLINK \l "_Toc8730" </w:instrText>
      </w:r>
      <w:r>
        <w:fldChar w:fldCharType="separate"/>
      </w:r>
      <w:r>
        <w:rPr>
          <w:rFonts w:hint="eastAsia"/>
          <w:lang w:val="en-US" w:eastAsia="zh-CN"/>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r>
        <w:fldChar w:fldCharType="end"/>
      </w:r>
    </w:p>
    <w:p w14:paraId="7192280D">
      <w:pPr>
        <w:pStyle w:val="8"/>
        <w:tabs>
          <w:tab w:val="right" w:leader="dot" w:pos="9071"/>
        </w:tabs>
      </w:pPr>
      <w:r>
        <w:fldChar w:fldCharType="begin"/>
      </w:r>
      <w:r>
        <w:instrText xml:space="preserve"> HYPERLINK \l "_Toc23235" </w:instrText>
      </w:r>
      <w:r>
        <w:fldChar w:fldCharType="separate"/>
      </w:r>
      <w:r>
        <w:rPr>
          <w:rFonts w:hint="eastAsia"/>
          <w:lang w:val="en-US" w:eastAsia="zh-CN"/>
        </w:rPr>
        <w:t>4</w:t>
      </w:r>
      <w:r>
        <w:t>.7.1 参数交互对预测精度的影响</w:t>
      </w:r>
      <w:r>
        <w:tab/>
      </w:r>
      <w:r>
        <w:fldChar w:fldCharType="begin"/>
      </w:r>
      <w:r>
        <w:instrText xml:space="preserve"> PAGEREF _Toc23235 \h </w:instrText>
      </w:r>
      <w:r>
        <w:fldChar w:fldCharType="separate"/>
      </w:r>
      <w:r>
        <w:t>37</w:t>
      </w:r>
      <w:r>
        <w:fldChar w:fldCharType="end"/>
      </w:r>
      <w:r>
        <w:fldChar w:fldCharType="end"/>
      </w:r>
    </w:p>
    <w:p w14:paraId="0F176BB8">
      <w:pPr>
        <w:pStyle w:val="8"/>
        <w:tabs>
          <w:tab w:val="right" w:leader="dot" w:pos="9071"/>
        </w:tabs>
      </w:pPr>
      <w:r>
        <w:fldChar w:fldCharType="begin"/>
      </w:r>
      <w:r>
        <w:instrText xml:space="preserve"> HYPERLINK \l "_Toc29641" </w:instrText>
      </w:r>
      <w:r>
        <w:fldChar w:fldCharType="separate"/>
      </w:r>
      <w:r>
        <w:rPr>
          <w:rFonts w:hint="eastAsia"/>
          <w:lang w:val="en-US" w:eastAsia="zh-CN"/>
        </w:rPr>
        <w:t>4</w:t>
      </w:r>
      <w:r>
        <w:t>.7.2 IMF 保留数量与时间步长敏感性分析</w:t>
      </w:r>
      <w:r>
        <w:tab/>
      </w:r>
      <w:r>
        <w:fldChar w:fldCharType="begin"/>
      </w:r>
      <w:r>
        <w:instrText xml:space="preserve"> PAGEREF _Toc29641 \h </w:instrText>
      </w:r>
      <w:r>
        <w:fldChar w:fldCharType="separate"/>
      </w:r>
      <w:r>
        <w:t>38</w:t>
      </w:r>
      <w:r>
        <w:fldChar w:fldCharType="end"/>
      </w:r>
      <w:r>
        <w:fldChar w:fldCharType="end"/>
      </w:r>
    </w:p>
    <w:p w14:paraId="108C2207">
      <w:pPr>
        <w:pStyle w:val="8"/>
        <w:tabs>
          <w:tab w:val="right" w:leader="dot" w:pos="9071"/>
        </w:tabs>
      </w:pPr>
      <w:r>
        <w:fldChar w:fldCharType="begin"/>
      </w:r>
      <w:r>
        <w:instrText xml:space="preserve"> HYPERLINK \l "_Toc10469" </w:instrText>
      </w:r>
      <w:r>
        <w:fldChar w:fldCharType="separate"/>
      </w:r>
      <w:r>
        <w:rPr>
          <w:rFonts w:hint="eastAsia"/>
          <w:lang w:val="en-US" w:eastAsia="zh-CN"/>
        </w:rPr>
        <w:t>4</w:t>
      </w:r>
      <w:r>
        <w:t>.7.3 全局最优模型拟合效果验证</w:t>
      </w:r>
      <w:r>
        <w:tab/>
      </w:r>
      <w:r>
        <w:fldChar w:fldCharType="begin"/>
      </w:r>
      <w:r>
        <w:instrText xml:space="preserve"> PAGEREF _Toc10469 \h </w:instrText>
      </w:r>
      <w:r>
        <w:fldChar w:fldCharType="separate"/>
      </w:r>
      <w:r>
        <w:t>39</w:t>
      </w:r>
      <w:r>
        <w:fldChar w:fldCharType="end"/>
      </w:r>
      <w:r>
        <w:fldChar w:fldCharType="end"/>
      </w:r>
    </w:p>
    <w:p w14:paraId="6B021226">
      <w:pPr>
        <w:pStyle w:val="12"/>
        <w:tabs>
          <w:tab w:val="right" w:leader="dot" w:pos="9071"/>
          <w:tab w:val="clear" w:pos="1100"/>
          <w:tab w:val="clear" w:pos="9061"/>
        </w:tabs>
      </w:pPr>
      <w:r>
        <w:fldChar w:fldCharType="begin"/>
      </w:r>
      <w:r>
        <w:instrText xml:space="preserve"> HYPERLINK \l "_Toc28022" </w:instrText>
      </w:r>
      <w:r>
        <w:fldChar w:fldCharType="separate"/>
      </w:r>
      <w:r>
        <w:rPr>
          <w:rFonts w:hint="eastAsia"/>
          <w:lang w:val="en-US" w:eastAsia="zh-CN"/>
        </w:rPr>
        <w:t>4</w:t>
      </w:r>
      <w:r>
        <w:t>.8 模型改进方向</w:t>
      </w:r>
      <w:r>
        <w:tab/>
      </w:r>
      <w:r>
        <w:fldChar w:fldCharType="begin"/>
      </w:r>
      <w:r>
        <w:instrText xml:space="preserve"> PAGEREF _Toc28022 \h </w:instrText>
      </w:r>
      <w:r>
        <w:fldChar w:fldCharType="separate"/>
      </w:r>
      <w:r>
        <w:t>40</w:t>
      </w:r>
      <w:r>
        <w:fldChar w:fldCharType="end"/>
      </w:r>
      <w:r>
        <w:fldChar w:fldCharType="end"/>
      </w:r>
    </w:p>
    <w:p w14:paraId="497F3111">
      <w:pPr>
        <w:pStyle w:val="11"/>
        <w:tabs>
          <w:tab w:val="right" w:leader="dot" w:pos="9071"/>
        </w:tabs>
        <w:spacing w:line="324" w:lineRule="auto"/>
        <w:rPr>
          <w:rFonts w:hint="eastAsia" w:ascii="黑体" w:hAnsi="黑体" w:eastAsia="黑体"/>
          <w:b/>
          <w:bCs/>
          <w:sz w:val="24"/>
        </w:rPr>
      </w:pPr>
      <w:r>
        <w:fldChar w:fldCharType="begin"/>
      </w:r>
      <w:r>
        <w:instrText xml:space="preserve"> HYPERLINK \l "_Toc1732" </w:instrText>
      </w:r>
      <w:r>
        <w:fldChar w:fldCharType="separate"/>
      </w:r>
      <w:r>
        <w:rPr>
          <w:rFonts w:hint="eastAsia"/>
          <w:b/>
          <w:bCs/>
          <w:sz w:val="24"/>
          <w:szCs w:val="32"/>
          <w:lang w:val="en-US" w:eastAsia="zh-CN"/>
        </w:rPr>
        <w:t>5</w:t>
      </w:r>
      <w:r>
        <w:rPr>
          <w:rFonts w:ascii="黑体" w:hAnsi="黑体" w:eastAsia="黑体"/>
          <w:b/>
          <w:bCs/>
          <w:sz w:val="24"/>
        </w:rPr>
        <w:t xml:space="preserve"> </w:t>
      </w:r>
      <w:r>
        <w:rPr>
          <w:rFonts w:hint="eastAsia" w:ascii="黑体" w:hAnsi="黑体" w:eastAsia="黑体"/>
          <w:b/>
          <w:bCs/>
          <w:sz w:val="24"/>
        </w:rPr>
        <w:t>结论与展望</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_Toc1732 \h </w:instrText>
      </w:r>
      <w:r>
        <w:rPr>
          <w:rFonts w:hint="eastAsia" w:ascii="黑体" w:hAnsi="黑体" w:eastAsia="黑体"/>
          <w:b/>
          <w:bCs/>
          <w:sz w:val="24"/>
        </w:rPr>
        <w:fldChar w:fldCharType="separate"/>
      </w:r>
      <w:r>
        <w:rPr>
          <w:rFonts w:hint="eastAsia" w:ascii="黑体" w:hAnsi="黑体" w:eastAsia="黑体"/>
          <w:b/>
          <w:bCs/>
          <w:sz w:val="24"/>
        </w:rPr>
        <w:t>41</w:t>
      </w:r>
      <w:r>
        <w:rPr>
          <w:rFonts w:hint="eastAsia" w:ascii="黑体" w:hAnsi="黑体" w:eastAsia="黑体"/>
          <w:b/>
          <w:bCs/>
          <w:sz w:val="24"/>
        </w:rPr>
        <w:fldChar w:fldCharType="end"/>
      </w:r>
      <w:r>
        <w:rPr>
          <w:rFonts w:hint="eastAsia" w:ascii="黑体" w:hAnsi="黑体" w:eastAsia="黑体"/>
          <w:b/>
          <w:bCs/>
          <w:sz w:val="24"/>
        </w:rPr>
        <w:fldChar w:fldCharType="end"/>
      </w:r>
    </w:p>
    <w:p w14:paraId="2F8A3D5B">
      <w:pPr>
        <w:pStyle w:val="12"/>
        <w:tabs>
          <w:tab w:val="right" w:leader="dot" w:pos="9071"/>
          <w:tab w:val="clear" w:pos="1100"/>
          <w:tab w:val="clear" w:pos="9061"/>
        </w:tabs>
      </w:pPr>
      <w:r>
        <w:fldChar w:fldCharType="begin"/>
      </w:r>
      <w:r>
        <w:instrText xml:space="preserve"> HYPERLINK \l "_Toc3526" </w:instrText>
      </w:r>
      <w:r>
        <w:fldChar w:fldCharType="separate"/>
      </w:r>
      <w:r>
        <w:rPr>
          <w:rFonts w:hint="eastAsia"/>
          <w:lang w:val="en-US" w:eastAsia="zh-CN"/>
        </w:rPr>
        <w:t>5</w:t>
      </w:r>
      <w:r>
        <w:t>.1 研究总结</w:t>
      </w:r>
      <w:r>
        <w:tab/>
      </w:r>
      <w:r>
        <w:fldChar w:fldCharType="begin"/>
      </w:r>
      <w:r>
        <w:instrText xml:space="preserve"> PAGEREF _Toc3526 \h </w:instrText>
      </w:r>
      <w:r>
        <w:fldChar w:fldCharType="separate"/>
      </w:r>
      <w:r>
        <w:t>41</w:t>
      </w:r>
      <w:r>
        <w:fldChar w:fldCharType="end"/>
      </w:r>
      <w:r>
        <w:fldChar w:fldCharType="end"/>
      </w:r>
    </w:p>
    <w:p w14:paraId="6560A047">
      <w:pPr>
        <w:pStyle w:val="12"/>
        <w:tabs>
          <w:tab w:val="right" w:leader="dot" w:pos="9071"/>
          <w:tab w:val="clear" w:pos="1100"/>
          <w:tab w:val="clear" w:pos="9061"/>
        </w:tabs>
      </w:pPr>
      <w:r>
        <w:fldChar w:fldCharType="begin"/>
      </w:r>
      <w:r>
        <w:instrText xml:space="preserve"> HYPERLINK \l "_Toc10285" </w:instrText>
      </w:r>
      <w:r>
        <w:fldChar w:fldCharType="separate"/>
      </w:r>
      <w:r>
        <w:rPr>
          <w:rFonts w:hint="eastAsia"/>
          <w:lang w:val="en-US" w:eastAsia="zh-CN"/>
        </w:rPr>
        <w:t>5</w:t>
      </w:r>
      <w:r>
        <w:t>.2 未来工作展望</w:t>
      </w:r>
      <w:r>
        <w:tab/>
      </w:r>
      <w:r>
        <w:fldChar w:fldCharType="begin"/>
      </w:r>
      <w:r>
        <w:instrText xml:space="preserve"> PAGEREF _Toc10285 \h </w:instrText>
      </w:r>
      <w:r>
        <w:fldChar w:fldCharType="separate"/>
      </w:r>
      <w:r>
        <w:t>41</w:t>
      </w:r>
      <w:r>
        <w:fldChar w:fldCharType="end"/>
      </w:r>
      <w:r>
        <w:fldChar w:fldCharType="end"/>
      </w:r>
    </w:p>
    <w:p w14:paraId="46F1A3ED">
      <w:pPr>
        <w:pStyle w:val="11"/>
        <w:tabs>
          <w:tab w:val="right" w:leader="dot" w:pos="9071"/>
        </w:tabs>
        <w:spacing w:line="324" w:lineRule="auto"/>
        <w:rPr>
          <w:rFonts w:hint="eastAsia" w:ascii="黑体" w:hAnsi="黑体" w:eastAsia="黑体"/>
          <w:b/>
          <w:bCs/>
          <w:sz w:val="24"/>
        </w:rPr>
      </w:pPr>
      <w:r>
        <w:fldChar w:fldCharType="begin"/>
      </w:r>
      <w:r>
        <w:instrText xml:space="preserve"> HYPERLINK \l "_Toc4646" </w:instrText>
      </w:r>
      <w:r>
        <w:fldChar w:fldCharType="separate"/>
      </w:r>
      <w:r>
        <w:rPr>
          <w:rFonts w:hint="eastAsia" w:ascii="黑体" w:hAnsi="黑体" w:eastAsia="黑体"/>
          <w:b/>
          <w:bCs/>
          <w:sz w:val="24"/>
        </w:rPr>
        <w:t>参考文献</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_Toc4646 \h </w:instrText>
      </w:r>
      <w:r>
        <w:rPr>
          <w:rFonts w:hint="eastAsia" w:ascii="黑体" w:hAnsi="黑体" w:eastAsia="黑体"/>
          <w:b/>
          <w:bCs/>
          <w:sz w:val="24"/>
        </w:rPr>
        <w:fldChar w:fldCharType="separate"/>
      </w:r>
      <w:r>
        <w:rPr>
          <w:rFonts w:hint="eastAsia" w:ascii="黑体" w:hAnsi="黑体" w:eastAsia="黑体"/>
          <w:b/>
          <w:bCs/>
          <w:sz w:val="24"/>
        </w:rPr>
        <w:t>43</w:t>
      </w:r>
      <w:r>
        <w:rPr>
          <w:rFonts w:hint="eastAsia" w:ascii="黑体" w:hAnsi="黑体" w:eastAsia="黑体"/>
          <w:b/>
          <w:bCs/>
          <w:sz w:val="24"/>
        </w:rPr>
        <w:fldChar w:fldCharType="end"/>
      </w:r>
      <w:r>
        <w:rPr>
          <w:rFonts w:hint="eastAsia" w:ascii="黑体" w:hAnsi="黑体" w:eastAsia="黑体"/>
          <w:b/>
          <w:bCs/>
          <w:sz w:val="24"/>
        </w:rPr>
        <w:fldChar w:fldCharType="end"/>
      </w:r>
    </w:p>
    <w:p w14:paraId="3F2A96A9">
      <w:pPr>
        <w:pStyle w:val="11"/>
        <w:tabs>
          <w:tab w:val="right" w:leader="dot" w:pos="9071"/>
        </w:tabs>
        <w:spacing w:line="324" w:lineRule="auto"/>
        <w:rPr>
          <w:rFonts w:hint="eastAsia" w:ascii="黑体" w:hAnsi="黑体" w:eastAsia="黑体"/>
          <w:b/>
          <w:bCs/>
          <w:sz w:val="24"/>
        </w:rPr>
      </w:pPr>
      <w:r>
        <w:fldChar w:fldCharType="begin"/>
      </w:r>
      <w:r>
        <w:instrText xml:space="preserve"> HYPERLINK \l "_Toc4703" </w:instrText>
      </w:r>
      <w:r>
        <w:fldChar w:fldCharType="separate"/>
      </w:r>
      <w:r>
        <w:rPr>
          <w:rFonts w:hint="eastAsia" w:ascii="黑体" w:hAnsi="黑体" w:eastAsia="黑体"/>
          <w:b/>
          <w:bCs/>
          <w:sz w:val="24"/>
        </w:rPr>
        <w:t>致谢</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_Toc4703 \h </w:instrText>
      </w:r>
      <w:r>
        <w:rPr>
          <w:rFonts w:hint="eastAsia" w:ascii="黑体" w:hAnsi="黑体" w:eastAsia="黑体"/>
          <w:b/>
          <w:bCs/>
          <w:sz w:val="24"/>
        </w:rPr>
        <w:fldChar w:fldCharType="separate"/>
      </w:r>
      <w:r>
        <w:rPr>
          <w:rFonts w:hint="eastAsia" w:ascii="黑体" w:hAnsi="黑体" w:eastAsia="黑体"/>
          <w:b/>
          <w:bCs/>
          <w:sz w:val="24"/>
        </w:rPr>
        <w:t>44</w:t>
      </w:r>
      <w:r>
        <w:rPr>
          <w:rFonts w:hint="eastAsia" w:ascii="黑体" w:hAnsi="黑体" w:eastAsia="黑体"/>
          <w:b/>
          <w:bCs/>
          <w:sz w:val="24"/>
        </w:rPr>
        <w:fldChar w:fldCharType="end"/>
      </w:r>
      <w:r>
        <w:rPr>
          <w:rFonts w:hint="eastAsia" w:ascii="黑体" w:hAnsi="黑体" w:eastAsia="黑体"/>
          <w:b/>
          <w:bCs/>
          <w:sz w:val="24"/>
        </w:rPr>
        <w:fldChar w:fldCharType="end"/>
      </w:r>
    </w:p>
    <w:p w14:paraId="5FE2A9E2">
      <w:pPr>
        <w:pStyle w:val="11"/>
        <w:tabs>
          <w:tab w:val="right" w:leader="dot" w:pos="9071"/>
        </w:tabs>
        <w:spacing w:line="324" w:lineRule="auto"/>
        <w:rPr>
          <w:rFonts w:hint="eastAsia" w:ascii="黑体" w:hAnsi="黑体" w:eastAsia="黑体"/>
          <w:b/>
          <w:bCs/>
          <w:sz w:val="24"/>
        </w:rPr>
      </w:pPr>
      <w:r>
        <w:fldChar w:fldCharType="begin"/>
      </w:r>
      <w:r>
        <w:instrText xml:space="preserve"> HYPERLINK \l "_Toc23095" </w:instrText>
      </w:r>
      <w:r>
        <w:fldChar w:fldCharType="separate"/>
      </w:r>
      <w:r>
        <w:rPr>
          <w:rFonts w:hint="eastAsia" w:ascii="黑体" w:hAnsi="黑体" w:eastAsia="黑体"/>
          <w:b/>
          <w:bCs/>
          <w:sz w:val="24"/>
        </w:rPr>
        <w:t>附录A  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_Toc23095 \h </w:instrText>
      </w:r>
      <w:r>
        <w:rPr>
          <w:rFonts w:hint="eastAsia" w:ascii="黑体" w:hAnsi="黑体" w:eastAsia="黑体"/>
          <w:b/>
          <w:bCs/>
          <w:sz w:val="24"/>
        </w:rPr>
        <w:fldChar w:fldCharType="separate"/>
      </w:r>
      <w:r>
        <w:rPr>
          <w:rFonts w:hint="eastAsia" w:ascii="黑体" w:hAnsi="黑体" w:eastAsia="黑体"/>
          <w:b/>
          <w:bCs/>
          <w:sz w:val="24"/>
        </w:rPr>
        <w:t>45</w:t>
      </w:r>
      <w:r>
        <w:rPr>
          <w:rFonts w:hint="eastAsia" w:ascii="黑体" w:hAnsi="黑体" w:eastAsia="黑体"/>
          <w:b/>
          <w:bCs/>
          <w:sz w:val="24"/>
        </w:rPr>
        <w:fldChar w:fldCharType="end"/>
      </w:r>
      <w:r>
        <w:rPr>
          <w:rFonts w:hint="eastAsia" w:ascii="黑体" w:hAnsi="黑体" w:eastAsia="黑体"/>
          <w:b/>
          <w:bCs/>
          <w:sz w:val="24"/>
        </w:rPr>
        <w:fldChar w:fldCharType="end"/>
      </w:r>
    </w:p>
    <w:p w14:paraId="159C30CD">
      <w:pPr>
        <w:pStyle w:val="11"/>
        <w:tabs>
          <w:tab w:val="right" w:leader="dot" w:pos="9071"/>
        </w:tabs>
        <w:spacing w:line="324" w:lineRule="auto"/>
        <w:rPr>
          <w:rFonts w:hint="eastAsia" w:ascii="黑体" w:hAnsi="黑体" w:eastAsia="黑体"/>
          <w:b/>
          <w:bCs/>
          <w:sz w:val="24"/>
        </w:rPr>
      </w:pPr>
      <w:r>
        <w:fldChar w:fldCharType="begin"/>
      </w:r>
      <w:r>
        <w:instrText xml:space="preserve"> HYPERLINK \l "_Toc20356" </w:instrText>
      </w:r>
      <w:r>
        <w:fldChar w:fldCharType="separate"/>
      </w:r>
      <w:r>
        <w:rPr>
          <w:rFonts w:hint="eastAsia" w:ascii="黑体" w:hAnsi="黑体" w:eastAsia="黑体"/>
          <w:b/>
          <w:bCs/>
          <w:sz w:val="24"/>
        </w:rPr>
        <w:t>附录B  XXXXXXX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_Toc20356 \h </w:instrText>
      </w:r>
      <w:r>
        <w:rPr>
          <w:rFonts w:hint="eastAsia" w:ascii="黑体" w:hAnsi="黑体" w:eastAsia="黑体"/>
          <w:b/>
          <w:bCs/>
          <w:sz w:val="24"/>
        </w:rPr>
        <w:fldChar w:fldCharType="separate"/>
      </w:r>
      <w:r>
        <w:rPr>
          <w:rFonts w:hint="eastAsia" w:ascii="黑体" w:hAnsi="黑体" w:eastAsia="黑体"/>
          <w:b/>
          <w:bCs/>
          <w:sz w:val="24"/>
        </w:rPr>
        <w:t>46</w:t>
      </w:r>
      <w:r>
        <w:rPr>
          <w:rFonts w:hint="eastAsia" w:ascii="黑体" w:hAnsi="黑体" w:eastAsia="黑体"/>
          <w:b/>
          <w:bCs/>
          <w:sz w:val="24"/>
        </w:rPr>
        <w:fldChar w:fldCharType="end"/>
      </w:r>
      <w:r>
        <w:rPr>
          <w:rFonts w:hint="eastAsia" w:ascii="黑体" w:hAnsi="黑体" w:eastAsia="黑体"/>
          <w:b/>
          <w:bCs/>
          <w:sz w:val="24"/>
        </w:rPr>
        <w:fldChar w:fldCharType="end"/>
      </w:r>
    </w:p>
    <w:p w14:paraId="2408D8F4">
      <w:pPr>
        <w:pStyle w:val="23"/>
        <w:ind w:firstLine="0" w:firstLineChars="0"/>
      </w:pPr>
      <w:r>
        <w:fldChar w:fldCharType="end"/>
      </w:r>
    </w:p>
    <w:p w14:paraId="0277D020">
      <w:pPr>
        <w:pStyle w:val="23"/>
        <w:ind w:firstLine="0" w:firstLineChars="0"/>
      </w:pPr>
    </w:p>
    <w:p w14:paraId="49781A0A">
      <w:pPr>
        <w:rPr>
          <w:rFonts w:hint="eastAsia" w:ascii="黑体" w:hAnsi="黑体" w:eastAsia="黑体" w:cs="宋体"/>
          <w:sz w:val="32"/>
          <w:szCs w:val="32"/>
        </w:rPr>
      </w:pPr>
      <w:r>
        <w:rPr>
          <w:rFonts w:hint="eastAsia" w:ascii="黑体" w:hAnsi="黑体" w:eastAsia="黑体" w:cs="宋体"/>
          <w:sz w:val="32"/>
          <w:szCs w:val="32"/>
        </w:rPr>
        <w:br w:type="page"/>
      </w:r>
    </w:p>
    <w:p w14:paraId="70083ED6">
      <w:pPr>
        <w:spacing w:before="312" w:beforeLines="100" w:after="312" w:afterLines="100"/>
        <w:ind w:firstLine="643"/>
        <w:jc w:val="center"/>
        <w:rPr>
          <w:rFonts w:hint="eastAsia" w:ascii="黑体" w:hAnsi="黑体" w:eastAsia="黑体" w:cs="宋体"/>
          <w:sz w:val="32"/>
          <w:szCs w:val="32"/>
        </w:rPr>
      </w:pPr>
    </w:p>
    <w:p w14:paraId="1F8BD73D">
      <w:pPr>
        <w:pStyle w:val="19"/>
      </w:pPr>
      <w:bookmarkStart w:id="1" w:name="_Toc21933"/>
      <w:bookmarkStart w:id="2" w:name="_Toc227161677"/>
      <w:bookmarkStart w:id="3" w:name="_Toc14319"/>
      <w:bookmarkStart w:id="4" w:name="_Toc31514"/>
      <w:bookmarkStart w:id="5" w:name="05fa3cc0"/>
      <w:r>
        <w:rPr>
          <w:rFonts w:hint="eastAsia"/>
        </w:rPr>
        <w:t>绪论</w:t>
      </w:r>
      <w:bookmarkEnd w:id="1"/>
      <w:bookmarkEnd w:id="2"/>
      <w:bookmarkEnd w:id="3"/>
      <w:bookmarkEnd w:id="4"/>
    </w:p>
    <w:p w14:paraId="52CD1554">
      <w:pPr>
        <w:pStyle w:val="21"/>
        <w:spacing w:before="156" w:after="156"/>
      </w:pPr>
      <w:r>
        <w:rPr>
          <w:rFonts w:hint="eastAsia"/>
        </w:rPr>
        <w:t xml:space="preserve"> </w:t>
      </w:r>
      <w:bookmarkStart w:id="6" w:name="_Toc227161678"/>
      <w:bookmarkStart w:id="7" w:name="_Toc22921"/>
      <w:bookmarkStart w:id="8" w:name="_Toc22960"/>
      <w:bookmarkStart w:id="9" w:name="_Toc1767"/>
      <w:r>
        <w:rPr>
          <w:rFonts w:hint="eastAsia"/>
        </w:rPr>
        <w:t>研究背景与意义</w:t>
      </w:r>
      <w:bookmarkEnd w:id="6"/>
      <w:bookmarkEnd w:id="7"/>
      <w:bookmarkEnd w:id="8"/>
      <w:bookmarkEnd w:id="9"/>
    </w:p>
    <w:bookmarkEnd w:id="5"/>
    <w:p w14:paraId="20B80D03">
      <w:pPr>
        <w:pStyle w:val="22"/>
        <w:spacing w:before="156" w:after="156"/>
        <w:outlineLvl w:val="2"/>
      </w:pPr>
      <w:bookmarkStart w:id="10" w:name="eba08a55"/>
      <w:r>
        <w:rPr>
          <w:rFonts w:hint="eastAsia"/>
        </w:rPr>
        <w:t xml:space="preserve"> </w:t>
      </w:r>
      <w:bookmarkStart w:id="11" w:name="_Toc5787"/>
      <w:bookmarkStart w:id="12" w:name="_Toc227161679"/>
      <w:bookmarkStart w:id="13" w:name="_Toc11328"/>
      <w:bookmarkStart w:id="14" w:name="_Toc2129"/>
      <w:r>
        <w:rPr>
          <w:rFonts w:hint="eastAsia"/>
        </w:rPr>
        <w:t>研究背景</w:t>
      </w:r>
      <w:bookmarkEnd w:id="11"/>
      <w:bookmarkEnd w:id="12"/>
      <w:bookmarkEnd w:id="13"/>
      <w:bookmarkEnd w:id="14"/>
    </w:p>
    <w:bookmarkEnd w:id="10"/>
    <w:p w14:paraId="4FD7E93B">
      <w:pPr>
        <w:pStyle w:val="23"/>
        <w:ind w:firstLine="480"/>
      </w:pPr>
      <w:bookmarkStart w:id="15" w:name="u7e363c55"/>
      <w:r>
        <w:rPr>
          <w:rFonts w:hint="eastAsia"/>
        </w:rPr>
        <w:t xml:space="preserve">全球能源危机和环境问题日渐严重，人工智能技术发展势头迅猛，世界各国正在将开发和利用清洁能源作为重要发展战略，以应对环境改善和庞大的 AI 算力需求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291B5EAB">
      <w:pPr>
        <w:pStyle w:val="23"/>
        <w:ind w:firstLine="480"/>
      </w:pPr>
      <w:r>
        <w:rPr>
          <w:rFonts w:hint="eastAsia"/>
        </w:rPr>
        <w:t xml:space="preserve">由于太阳辐射强度、环境温度、相对湿度等自然条件的影响，光伏发电功率具有间歇性、波动性和随机性的变化特征。此外，光伏功率的震荡还会导致弃光现象发生。这些因素加重了电网的有功功率平衡难度，严重威胁了电网安全 。实现高精度、高稳定性的短期光伏功率预测，对保障电网安全具有重要意义 </w:t>
      </w:r>
      <w:r>
        <w:rPr>
          <w:rFonts w:hint="eastAsia"/>
          <w:vertAlign w:val="superscript"/>
        </w:rPr>
        <w:t>[12]</w:t>
      </w:r>
      <w:r>
        <w:rPr>
          <w:rFonts w:hint="eastAsia"/>
        </w:rPr>
        <w:t>。</w:t>
      </w:r>
    </w:p>
    <w:p w14:paraId="1A0B7E9F">
      <w:pPr>
        <w:pStyle w:val="23"/>
        <w:ind w:firstLine="480"/>
      </w:pPr>
      <w:r>
        <w:rPr>
          <w:rFonts w:hint="eastAsia"/>
        </w:rPr>
        <w:t xml:space="preserve">传统统计模型（如回归分析）因对光伏功率的长时序记忆能力不足，对非平稳数据序列的预测存在较大误差 。深度学习中，循环神经网络及其改进模型（LSTM、GRU、BiGRU）对时序处理具有优势，但在处理强波动光伏功率时特征提取仍显不足 </w:t>
      </w:r>
      <w:r>
        <w:rPr>
          <w:rFonts w:hint="eastAsia"/>
          <w:vertAlign w:val="superscript"/>
        </w:rPr>
        <w:t>[11]</w:t>
      </w:r>
      <w:r>
        <w:rPr>
          <w:rFonts w:hint="eastAsia"/>
        </w:rPr>
        <w:t>。为解决此问题，本文引入经验模态分解（EMD）结合双向门控循环单元（BiGRU），通过“分解-预测-融合”思路进行建模 。</w:t>
      </w:r>
    </w:p>
    <w:bookmarkEnd w:id="15"/>
    <w:p w14:paraId="4E9BA29C">
      <w:pPr>
        <w:pStyle w:val="22"/>
        <w:spacing w:before="156" w:after="156"/>
        <w:outlineLvl w:val="2"/>
      </w:pPr>
      <w:bookmarkStart w:id="16" w:name="kqjsJ"/>
      <w:r>
        <w:rPr>
          <w:rFonts w:hint="eastAsia"/>
        </w:rPr>
        <w:t xml:space="preserve"> </w:t>
      </w:r>
      <w:bookmarkStart w:id="17" w:name="_Toc227161680"/>
      <w:bookmarkStart w:id="18" w:name="_Toc6076"/>
      <w:bookmarkStart w:id="19" w:name="_Toc31819"/>
      <w:bookmarkStart w:id="20" w:name="_Toc28087"/>
      <w:r>
        <w:t>研究意义</w:t>
      </w:r>
      <w:bookmarkEnd w:id="17"/>
      <w:bookmarkEnd w:id="18"/>
      <w:bookmarkEnd w:id="19"/>
      <w:bookmarkEnd w:id="20"/>
    </w:p>
    <w:bookmarkEnd w:id="16"/>
    <w:p w14:paraId="5431B1AD">
      <w:pPr>
        <w:pStyle w:val="24"/>
        <w:outlineLvl w:val="3"/>
      </w:pPr>
      <w:bookmarkStart w:id="21" w:name="BtPbf"/>
      <w:r>
        <w:rPr>
          <w:rFonts w:hint="eastAsia"/>
        </w:rPr>
        <w:t xml:space="preserve"> </w:t>
      </w:r>
      <w:r>
        <w:t>理论意义</w:t>
      </w:r>
    </w:p>
    <w:bookmarkEnd w:id="21"/>
    <w:p w14:paraId="117A212D">
      <w:pPr>
        <w:pStyle w:val="23"/>
        <w:ind w:firstLine="480"/>
      </w:pPr>
      <w:bookmarkStart w:id="22"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22"/>
    <w:p w14:paraId="15578155">
      <w:pPr>
        <w:pStyle w:val="24"/>
        <w:outlineLvl w:val="3"/>
      </w:pPr>
      <w:bookmarkStart w:id="23" w:name="7218a635"/>
      <w:r>
        <w:rPr>
          <w:rFonts w:hint="eastAsia"/>
        </w:rPr>
        <w:t xml:space="preserve"> </w:t>
      </w:r>
      <w:r>
        <w:t>实际意义</w:t>
      </w:r>
    </w:p>
    <w:bookmarkEnd w:id="23"/>
    <w:p w14:paraId="59096661">
      <w:pPr>
        <w:pStyle w:val="23"/>
        <w:ind w:firstLine="480"/>
      </w:pPr>
      <w:bookmarkStart w:id="24"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 xml:space="preserve">实现高精度光伏功率预测，可为电网调度部门提供决策参考，减少备用容量 </w:t>
      </w:r>
      <w:r>
        <w:rPr>
          <w:rFonts w:hint="eastAsia"/>
          <w:vertAlign w:val="superscript"/>
        </w:rPr>
        <w:t>[10]</w:t>
      </w:r>
      <w:r>
        <w:rPr>
          <w:rFonts w:hint="eastAsia"/>
        </w:rPr>
        <w:t>；对于光伏电站，精准预测能优化运维策略、降低弃光率，助力我国“双碳”目标实现。</w:t>
      </w:r>
    </w:p>
    <w:bookmarkEnd w:id="24"/>
    <w:p w14:paraId="58A98289">
      <w:pPr>
        <w:pStyle w:val="21"/>
        <w:spacing w:before="156" w:after="156"/>
      </w:pPr>
      <w:bookmarkStart w:id="25" w:name="m8pBo"/>
      <w:r>
        <w:rPr>
          <w:rFonts w:hint="eastAsia"/>
        </w:rPr>
        <w:t xml:space="preserve"> </w:t>
      </w:r>
      <w:bookmarkStart w:id="26" w:name="_Toc227161681"/>
      <w:bookmarkStart w:id="27" w:name="_Toc30132"/>
      <w:bookmarkStart w:id="28" w:name="_Toc10092"/>
      <w:bookmarkStart w:id="29" w:name="_Toc14107"/>
      <w:r>
        <w:rPr>
          <w:rFonts w:hint="eastAsia"/>
        </w:rPr>
        <w:t>国内外研究现状</w:t>
      </w:r>
      <w:bookmarkEnd w:id="26"/>
      <w:bookmarkEnd w:id="27"/>
      <w:bookmarkEnd w:id="28"/>
      <w:bookmarkEnd w:id="29"/>
    </w:p>
    <w:bookmarkEnd w:id="25"/>
    <w:p w14:paraId="7A019FCD">
      <w:pPr>
        <w:pStyle w:val="22"/>
        <w:spacing w:before="156" w:after="156"/>
        <w:outlineLvl w:val="2"/>
      </w:pPr>
      <w:bookmarkStart w:id="30" w:name="DHhVI"/>
      <w:r>
        <w:rPr>
          <w:rFonts w:hint="eastAsia"/>
        </w:rPr>
        <w:t xml:space="preserve"> </w:t>
      </w:r>
      <w:bookmarkStart w:id="31" w:name="_Toc16823"/>
      <w:bookmarkStart w:id="32" w:name="_Toc8596"/>
      <w:bookmarkStart w:id="33" w:name="_Toc15602"/>
      <w:bookmarkStart w:id="34" w:name="_Toc227161682"/>
      <w:r>
        <w:t>国外研究现状</w:t>
      </w:r>
      <w:bookmarkEnd w:id="31"/>
      <w:bookmarkEnd w:id="32"/>
      <w:bookmarkEnd w:id="33"/>
      <w:bookmarkEnd w:id="34"/>
    </w:p>
    <w:bookmarkEnd w:id="30"/>
    <w:p w14:paraId="2B5C7A1A">
      <w:pPr>
        <w:pStyle w:val="23"/>
        <w:ind w:firstLine="480"/>
        <w:rPr>
          <w:rFonts w:hint="eastAsia" w:ascii="宋体" w:hAnsi="宋体" w:cs="宋体"/>
        </w:rPr>
      </w:pPr>
      <w:bookmarkStart w:id="35" w:name="u48823d18"/>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 。在将 EMD 等信号分解技术引入后，非平稳变化问题得到了一定解决。</w:t>
      </w:r>
    </w:p>
    <w:p w14:paraId="15C51063">
      <w:pPr>
        <w:pStyle w:val="23"/>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35"/>
    <w:p w14:paraId="441270BE">
      <w:pPr>
        <w:pStyle w:val="22"/>
        <w:spacing w:before="156" w:after="156"/>
        <w:outlineLvl w:val="2"/>
      </w:pPr>
      <w:bookmarkStart w:id="36" w:name="9c6efab7"/>
      <w:r>
        <w:rPr>
          <w:rFonts w:hint="eastAsia"/>
        </w:rPr>
        <w:t xml:space="preserve"> </w:t>
      </w:r>
      <w:bookmarkStart w:id="37" w:name="_Toc227161683"/>
      <w:bookmarkStart w:id="38" w:name="_Toc15765"/>
      <w:bookmarkStart w:id="39" w:name="_Toc19787"/>
      <w:bookmarkStart w:id="40" w:name="_Toc13499"/>
      <w:r>
        <w:t>国内研究现状</w:t>
      </w:r>
      <w:bookmarkEnd w:id="37"/>
      <w:bookmarkEnd w:id="38"/>
      <w:bookmarkEnd w:id="39"/>
      <w:bookmarkEnd w:id="40"/>
    </w:p>
    <w:bookmarkEnd w:id="36"/>
    <w:p w14:paraId="127C0D81">
      <w:pPr>
        <w:pStyle w:val="23"/>
        <w:ind w:firstLine="480"/>
        <w:rPr>
          <w:rFonts w:hint="eastAsia" w:ascii="宋体" w:hAnsi="宋体" w:cs="宋体"/>
        </w:rPr>
      </w:pPr>
      <w:bookmarkStart w:id="41" w:name="u0b4dc413"/>
      <w:r>
        <w:rPr>
          <w:rFonts w:ascii="宋体" w:hAnsi="宋体" w:cs="宋体"/>
        </w:rPr>
        <w:t xml:space="preserve">国内光伏功率预测研究发展迅速。许多学者采用 LSTM、GRU 等模型，并通过参数优化提升性能 。随着研究深入，“分解+预测”组合模式成为热点 。研究表明，双向循环神经网络在数值预测方面表现优于单向模型 </w:t>
      </w:r>
      <w:r>
        <w:rPr>
          <w:rFonts w:ascii="宋体" w:hAnsi="宋体" w:cs="宋体"/>
          <w:vertAlign w:val="superscript"/>
        </w:rPr>
        <w:t>[11]</w:t>
      </w:r>
      <w:r>
        <w:rPr>
          <w:rFonts w:ascii="宋体" w:hAnsi="宋体" w:cs="宋体"/>
        </w:rPr>
        <w:t xml:space="preserve">。但在模型泛化、复杂天气适应性及模态混叠问题上仍有提升空间 </w:t>
      </w:r>
      <w:r>
        <w:rPr>
          <w:rFonts w:ascii="宋体" w:hAnsi="宋体" w:cs="宋体"/>
          <w:vertAlign w:val="superscript"/>
        </w:rPr>
        <w:t>[14]</w:t>
      </w:r>
      <w:r>
        <w:rPr>
          <w:rFonts w:ascii="宋体" w:hAnsi="宋体" w:cs="宋体"/>
        </w:rPr>
        <w:t>。</w:t>
      </w:r>
    </w:p>
    <w:p w14:paraId="3C1ED798">
      <w:pPr>
        <w:pStyle w:val="23"/>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 EMD 分解与 BiGRU 网络有机结合，构建了科学的组合模型，有效应对了非平稳数据预测问题 ；系统分析了 EMD 分解对深度学习预测的提升效果，为 EMD 在时序预测中的广泛应用提供理论参考 。</w:t>
      </w:r>
    </w:p>
    <w:bookmarkEnd w:id="41"/>
    <w:p w14:paraId="0641B1DF">
      <w:pPr>
        <w:pStyle w:val="22"/>
        <w:spacing w:before="156" w:after="156"/>
        <w:outlineLvl w:val="2"/>
      </w:pPr>
      <w:bookmarkStart w:id="42" w:name="18bc4b80"/>
      <w:r>
        <w:rPr>
          <w:rFonts w:hint="eastAsia"/>
        </w:rPr>
        <w:t xml:space="preserve"> </w:t>
      </w:r>
      <w:bookmarkStart w:id="43" w:name="_Toc3478"/>
      <w:bookmarkStart w:id="44" w:name="_Toc9787"/>
      <w:bookmarkStart w:id="45" w:name="_Toc31251"/>
      <w:bookmarkStart w:id="46" w:name="_Toc227161684"/>
      <w:r>
        <w:t>研究现状总结</w:t>
      </w:r>
      <w:bookmarkEnd w:id="43"/>
      <w:bookmarkEnd w:id="44"/>
      <w:bookmarkEnd w:id="45"/>
      <w:bookmarkEnd w:id="46"/>
    </w:p>
    <w:bookmarkEnd w:id="42"/>
    <w:p w14:paraId="21516EB6">
      <w:pPr>
        <w:pStyle w:val="23"/>
        <w:ind w:firstLine="480"/>
      </w:pPr>
      <w:bookmarkStart w:id="47" w:name="u14f5aa36"/>
      <w:r>
        <w:t>综合国内外研究来看，基于深度学习的光伏功率预测已经成为主流。尽管信号分解可以有效提升深度学习的预测精度，但仍有以下不足：</w:t>
      </w:r>
    </w:p>
    <w:bookmarkEnd w:id="47"/>
    <w:p w14:paraId="4C110685">
      <w:pPr>
        <w:pStyle w:val="23"/>
        <w:ind w:firstLine="480"/>
        <w:rPr>
          <w:rFonts w:hint="eastAsia" w:ascii="宋体" w:hAnsi="宋体" w:cs="宋体"/>
        </w:rPr>
      </w:pPr>
      <w:bookmarkStart w:id="48" w:name="u7531220f"/>
      <w:r>
        <w:rPr>
          <w:rFonts w:ascii="宋体" w:hAnsi="宋体" w:cs="宋体"/>
        </w:rPr>
        <w:t xml:space="preserve">单一模型难以处理强非平稳序列；EMD 分解存在模态混叠；BiGRU 网络参数缺乏系统优化；复杂天气下稳定性不足 </w:t>
      </w:r>
      <w:r>
        <w:rPr>
          <w:rFonts w:ascii="宋体" w:hAnsi="宋体" w:cs="宋体"/>
          <w:vertAlign w:val="superscript"/>
        </w:rPr>
        <w:t>[13]</w:t>
      </w:r>
      <w:r>
        <w:rPr>
          <w:rFonts w:ascii="宋体" w:hAnsi="宋体" w:cs="宋体"/>
        </w:rPr>
        <w:t>。针对此，本文提出 EMD-BiGRU 组合预测模型，旨在进一步提高预测精度。</w:t>
      </w:r>
    </w:p>
    <w:p w14:paraId="44340451">
      <w:pPr>
        <w:pStyle w:val="23"/>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48"/>
    <w:p w14:paraId="1A9675C3">
      <w:pPr>
        <w:pStyle w:val="21"/>
        <w:spacing w:before="156" w:after="156"/>
      </w:pPr>
      <w:bookmarkStart w:id="49" w:name="f000e63b"/>
      <w:r>
        <w:rPr>
          <w:rFonts w:hint="eastAsia"/>
        </w:rPr>
        <w:t xml:space="preserve"> </w:t>
      </w:r>
      <w:bookmarkStart w:id="50" w:name="_Toc27175"/>
      <w:bookmarkStart w:id="51" w:name="_Toc227161685"/>
      <w:bookmarkStart w:id="52" w:name="_Toc28157"/>
      <w:bookmarkStart w:id="53" w:name="_Toc25100"/>
      <w:r>
        <w:rPr>
          <w:rFonts w:hint="eastAsia"/>
        </w:rPr>
        <w:t>研究内容与技术路线</w:t>
      </w:r>
      <w:bookmarkEnd w:id="50"/>
      <w:bookmarkEnd w:id="51"/>
      <w:bookmarkEnd w:id="52"/>
      <w:bookmarkEnd w:id="53"/>
    </w:p>
    <w:bookmarkEnd w:id="49"/>
    <w:p w14:paraId="1930879E">
      <w:pPr>
        <w:pStyle w:val="22"/>
        <w:spacing w:before="156" w:after="156"/>
        <w:outlineLvl w:val="2"/>
      </w:pPr>
      <w:bookmarkStart w:id="54" w:name="f774e347"/>
      <w:r>
        <w:rPr>
          <w:rFonts w:hint="eastAsia"/>
        </w:rPr>
        <w:t xml:space="preserve"> </w:t>
      </w:r>
      <w:bookmarkStart w:id="55" w:name="_Toc227161686"/>
      <w:bookmarkStart w:id="56" w:name="_Toc18899"/>
      <w:bookmarkStart w:id="57" w:name="_Toc27901"/>
      <w:bookmarkStart w:id="58" w:name="_Toc25620"/>
      <w:r>
        <w:t>研究内容</w:t>
      </w:r>
      <w:bookmarkEnd w:id="55"/>
      <w:bookmarkEnd w:id="56"/>
      <w:bookmarkEnd w:id="57"/>
      <w:bookmarkEnd w:id="58"/>
    </w:p>
    <w:bookmarkEnd w:id="54"/>
    <w:p w14:paraId="75CF80B4">
      <w:pPr>
        <w:pStyle w:val="23"/>
        <w:ind w:firstLine="480"/>
      </w:pPr>
      <w:bookmarkStart w:id="59" w:name="ufa0f91d2"/>
      <w:r>
        <w:t xml:space="preserve"> 本文研究内容主要包括以下四个方面：</w:t>
      </w:r>
    </w:p>
    <w:bookmarkEnd w:id="59"/>
    <w:p w14:paraId="34895E18">
      <w:pPr>
        <w:pStyle w:val="23"/>
        <w:ind w:firstLine="480"/>
        <w:outlineLvl w:val="3"/>
      </w:pPr>
      <w:bookmarkStart w:id="60" w:name="u73a9eb31"/>
      <w:r>
        <w:t>（1）参考分析光伏功率预测相关论文，总结影响光伏功率的主要因素</w:t>
      </w:r>
    </w:p>
    <w:bookmarkEnd w:id="60"/>
    <w:p w14:paraId="14EB9D5B">
      <w:pPr>
        <w:pStyle w:val="23"/>
        <w:ind w:firstLine="480"/>
      </w:pPr>
      <w:bookmarkStart w:id="61" w:name="u7ee5de69"/>
      <w:r>
        <w:t>（2）解释EMD算法和BiGRU网络模型相关原理，并构建组合模型，基于实测光伏数据开展实验，分析对比其他常用模型（RNN、LSTM、GRU）效果，对组合模型进行评价总结。</w:t>
      </w:r>
    </w:p>
    <w:bookmarkEnd w:id="61"/>
    <w:p w14:paraId="2E006F58">
      <w:pPr>
        <w:pStyle w:val="23"/>
        <w:ind w:firstLine="480"/>
      </w:pPr>
      <w:bookmarkStart w:id="62" w:name="u0ddc5afa"/>
      <w:r>
        <w:t>（3）分析不同天气情况下组合模型的表现，探讨模型的不足，并研究模型优化方向。</w:t>
      </w:r>
    </w:p>
    <w:bookmarkEnd w:id="62"/>
    <w:p w14:paraId="61BC6127">
      <w:pPr>
        <w:pStyle w:val="22"/>
        <w:spacing w:before="156" w:after="156"/>
        <w:outlineLvl w:val="2"/>
      </w:pPr>
      <w:bookmarkStart w:id="63" w:name="64a6b25b"/>
      <w:r>
        <w:rPr>
          <w:rFonts w:hint="eastAsia"/>
        </w:rPr>
        <w:t xml:space="preserve"> </w:t>
      </w:r>
      <w:bookmarkStart w:id="64" w:name="_Toc17758"/>
      <w:bookmarkStart w:id="65" w:name="_Toc227161687"/>
      <w:bookmarkStart w:id="66" w:name="_Toc20350"/>
      <w:bookmarkStart w:id="67" w:name="_Toc29168"/>
      <w:r>
        <w:t>技术路线</w:t>
      </w:r>
      <w:bookmarkEnd w:id="64"/>
      <w:bookmarkEnd w:id="65"/>
      <w:bookmarkEnd w:id="66"/>
      <w:bookmarkEnd w:id="67"/>
    </w:p>
    <w:bookmarkEnd w:id="63"/>
    <w:p w14:paraId="12E7FB60">
      <w:pPr>
        <w:pStyle w:val="23"/>
        <w:ind w:firstLine="480"/>
      </w:pPr>
      <w:bookmarkStart w:id="68" w:name="u9bf61e4d"/>
      <w:r>
        <w:t>本文技术路线如下：</w:t>
      </w:r>
    </w:p>
    <w:bookmarkEnd w:id="68"/>
    <w:p w14:paraId="68A33C0F">
      <w:pPr>
        <w:pStyle w:val="23"/>
        <w:ind w:firstLine="480"/>
      </w:pPr>
      <w:bookmarkStart w:id="69" w:name="ua3ee32ec"/>
      <w:r>
        <w:t>（1）数据采集与预处理：读取实测光伏数据，完成缺失值处理、异常值剔除、归一化等操作。</w:t>
      </w:r>
    </w:p>
    <w:bookmarkEnd w:id="69"/>
    <w:p w14:paraId="5943EF67">
      <w:pPr>
        <w:pStyle w:val="23"/>
        <w:ind w:firstLine="480"/>
      </w:pPr>
      <w:bookmarkStart w:id="70" w:name="ue55c6ef8"/>
      <w:r>
        <w:t>（2）EMD 分解：对功率序列进行经验模态分解，得到平稳 IMF 分量与残差。</w:t>
      </w:r>
    </w:p>
    <w:p w14:paraId="1E442819">
      <w:pPr>
        <w:pStyle w:val="23"/>
        <w:ind w:firstLine="480"/>
      </w:pPr>
      <w:r>
        <w:t>（3）模型构建：搭建 BiGRU 网络，对各分量分别训练预测。</w:t>
      </w:r>
    </w:p>
    <w:bookmarkEnd w:id="70"/>
    <w:p w14:paraId="37C30D37">
      <w:pPr>
        <w:pStyle w:val="23"/>
        <w:ind w:firstLine="480"/>
        <w:outlineLvl w:val="3"/>
      </w:pPr>
      <w:bookmarkStart w:id="71" w:name="u671572ed"/>
      <w:r>
        <w:t>（4）结果融合：将各分量预测结果叠加，得到最终预测功率。</w:t>
      </w:r>
    </w:p>
    <w:bookmarkEnd w:id="71"/>
    <w:p w14:paraId="50DED16B">
      <w:pPr>
        <w:pStyle w:val="23"/>
        <w:ind w:firstLine="480"/>
      </w:pPr>
      <w:bookmarkStart w:id="72" w:name="uabd54f34"/>
      <w:r>
        <w:t>（5）实验验证：设置多组对比模型，使用 RMSE、MAPE、R² 评价模型性能。</w:t>
      </w:r>
    </w:p>
    <w:bookmarkEnd w:id="72"/>
    <w:p w14:paraId="0F14D8EE">
      <w:pPr>
        <w:pStyle w:val="23"/>
        <w:ind w:firstLine="480"/>
      </w:pPr>
      <w:bookmarkStart w:id="73" w:name="u15bf67a7"/>
      <w:r>
        <w:t>（6）结果分析：分析预测效果，总结模型优势，提出改进方向。</w:t>
      </w:r>
    </w:p>
    <w:p w14:paraId="2DD2DAE2">
      <w:pPr>
        <w:pStyle w:val="23"/>
        <w:ind w:firstLine="480"/>
        <w:jc w:val="center"/>
      </w:pPr>
      <w:r>
        <w:rPr>
          <w:rFonts w:hint="eastAsia"/>
        </w:rPr>
        <w:t>模型整体框架如</w:t>
      </w:r>
      <w:r>
        <w:fldChar w:fldCharType="begin"/>
      </w:r>
      <w:r>
        <w:instrText xml:space="preserve"> </w:instrText>
      </w:r>
      <w:r>
        <w:rPr>
          <w:rFonts w:hint="eastAsia"/>
        </w:rPr>
        <w:instrText xml:space="preserve">REF _Ref227194923 \h</w:instrText>
      </w:r>
      <w:r>
        <w:instrText xml:space="preserve">  \* MERGEFORMAT </w:instrText>
      </w:r>
      <w:r>
        <w:fldChar w:fldCharType="separate"/>
      </w:r>
      <w:r>
        <w:rPr>
          <w:rFonts w:hint="eastAsia"/>
        </w:rPr>
        <w:t>图1.</w:t>
      </w:r>
      <w:r>
        <w:t>1</w:t>
      </w:r>
      <w:r>
        <w:fldChar w:fldCharType="end"/>
      </w:r>
      <w:r>
        <w:rPr>
          <w:rFonts w:hint="eastAsia"/>
        </w:rPr>
        <w:t>所示：</w:t>
      </w:r>
      <w:r>
        <w:br w:type="textWrapping"/>
      </w:r>
      <w:r>
        <w:rPr>
          <w:rFonts w:hint="eastAsia"/>
        </w:rPr>
        <w:drawing>
          <wp:inline distT="0" distB="0" distL="114300" distR="114300">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7"/>
                    <a:stretch>
                      <a:fillRect/>
                    </a:stretch>
                  </pic:blipFill>
                  <pic:spPr>
                    <a:xfrm>
                      <a:off x="0" y="0"/>
                      <a:ext cx="4950347" cy="3451748"/>
                    </a:xfrm>
                    <a:prstGeom prst="rect">
                      <a:avLst/>
                    </a:prstGeom>
                  </pic:spPr>
                </pic:pic>
              </a:graphicData>
            </a:graphic>
          </wp:inline>
        </w:drawing>
      </w:r>
    </w:p>
    <w:p w14:paraId="0D23E154">
      <w:pPr>
        <w:pStyle w:val="7"/>
        <w:jc w:val="center"/>
        <w:rPr>
          <w:rFonts w:hint="eastAsia" w:ascii="宋体" w:hAnsi="宋体" w:cs="Times New Roman" w:eastAsiaTheme="minorEastAsia"/>
          <w:sz w:val="21"/>
          <w:szCs w:val="24"/>
        </w:rPr>
      </w:pPr>
      <w:bookmarkStart w:id="74" w:name="_Ref227194923"/>
      <w:r>
        <w:rPr>
          <w:rFonts w:hint="eastAsia" w:ascii="宋体" w:hAnsi="宋体" w:cs="Times New Roman" w:eastAsiaTheme="minorEastAsia"/>
          <w:sz w:val="21"/>
          <w:szCs w:val="24"/>
        </w:rPr>
        <w:t>图1.</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图1.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74"/>
      <w:r>
        <w:rPr>
          <w:rFonts w:hint="eastAsia" w:ascii="宋体" w:hAnsi="宋体" w:cs="Times New Roman" w:eastAsiaTheme="minorEastAsia"/>
          <w:sz w:val="21"/>
          <w:szCs w:val="24"/>
        </w:rPr>
        <w:t xml:space="preserve"> EMD-BiGRU 模型的整体架构</w:t>
      </w:r>
    </w:p>
    <w:bookmarkEnd w:id="73"/>
    <w:p w14:paraId="34880319">
      <w:pPr>
        <w:pStyle w:val="21"/>
        <w:spacing w:before="156" w:after="156"/>
      </w:pPr>
      <w:bookmarkStart w:id="75" w:name="_Toc6813"/>
      <w:bookmarkStart w:id="76" w:name="_Toc21254"/>
      <w:bookmarkStart w:id="77" w:name="_Toc3829"/>
      <w:bookmarkStart w:id="78" w:name="_Toc227161688"/>
      <w:bookmarkStart w:id="79" w:name="5fe860b4"/>
      <w:r>
        <w:t>论文结构</w:t>
      </w:r>
      <w:bookmarkEnd w:id="75"/>
      <w:bookmarkEnd w:id="76"/>
      <w:bookmarkEnd w:id="77"/>
      <w:bookmarkEnd w:id="78"/>
    </w:p>
    <w:bookmarkEnd w:id="79"/>
    <w:p w14:paraId="60EB96AB">
      <w:pPr>
        <w:pStyle w:val="23"/>
        <w:ind w:firstLine="480"/>
      </w:pPr>
      <w:bookmarkStart w:id="80" w:name="u37363088"/>
      <w:r>
        <w:t>本文共分为 6 章，具体结构如下：</w:t>
      </w:r>
    </w:p>
    <w:bookmarkEnd w:id="80"/>
    <w:p w14:paraId="49000DFD">
      <w:pPr>
        <w:pStyle w:val="23"/>
        <w:ind w:firstLine="480"/>
      </w:pPr>
      <w:bookmarkStart w:id="81" w:name="u4058056d"/>
      <w:r>
        <w:t>第 1 章——绪论，介绍研究背景、意义、国内外现状、研究内容与技术路线。</w:t>
      </w:r>
    </w:p>
    <w:bookmarkEnd w:id="81"/>
    <w:p w14:paraId="22258405">
      <w:pPr>
        <w:pStyle w:val="23"/>
        <w:ind w:firstLine="480"/>
      </w:pPr>
      <w:bookmarkStart w:id="82" w:name="u09ea1255"/>
      <w:r>
        <w:t>第 2 章——相关理论与技术基础，介绍光伏预测、评价指标、EMD、RNN、LSTM、GRU、BiGRU 及数据预处理方法。</w:t>
      </w:r>
    </w:p>
    <w:bookmarkEnd w:id="82"/>
    <w:p w14:paraId="144676E1">
      <w:pPr>
        <w:pStyle w:val="23"/>
        <w:ind w:firstLine="480"/>
      </w:pPr>
      <w:bookmarkStart w:id="83" w:name="u79977bf7"/>
      <w:r>
        <w:t>第 3 章—— EMD-BiGRU 预测模型设计，详细说明模型框架、数据流程、EMD 实现、网络结构与训练过程。</w:t>
      </w:r>
    </w:p>
    <w:bookmarkEnd w:id="83"/>
    <w:p w14:paraId="6E4B5F04">
      <w:pPr>
        <w:pStyle w:val="23"/>
        <w:ind w:firstLine="480"/>
      </w:pPr>
      <w:bookmarkStart w:id="84" w:name="ufac21280"/>
      <w:r>
        <w:t>第 4 章——数据集与实验环境，介绍实测数据、实验环境、参数设置与对比模型。</w:t>
      </w:r>
    </w:p>
    <w:bookmarkEnd w:id="84"/>
    <w:p w14:paraId="5C890F04">
      <w:pPr>
        <w:pStyle w:val="23"/>
        <w:ind w:firstLine="480"/>
      </w:pPr>
      <w:bookmarkStart w:id="85" w:name="u1c6d5f55"/>
      <w:r>
        <w:t>第 5 章——实验结果与分析，展示指标对比、预测曲线、损失曲线分析。</w:t>
      </w:r>
    </w:p>
    <w:bookmarkEnd w:id="85"/>
    <w:p w14:paraId="11120252">
      <w:pPr>
        <w:pStyle w:val="23"/>
        <w:ind w:firstLine="480"/>
      </w:pPr>
      <w:bookmarkStart w:id="86" w:name="uf3a27054"/>
      <w:r>
        <w:t>第 6 章——总结与展望，总结全文工作，指出创新点、不足与未来研究方向。</w:t>
      </w:r>
    </w:p>
    <w:bookmarkEnd w:id="86"/>
    <w:p w14:paraId="7AEFAC8C">
      <w:pPr>
        <w:pStyle w:val="19"/>
      </w:pPr>
      <w:bookmarkStart w:id="87" w:name="pJlj7"/>
      <w:r>
        <w:rPr>
          <w:rFonts w:hint="eastAsia"/>
        </w:rPr>
        <w:t xml:space="preserve"> </w:t>
      </w:r>
      <w:bookmarkStart w:id="88" w:name="_Toc1630"/>
      <w:bookmarkStart w:id="89" w:name="_Toc7351"/>
      <w:bookmarkStart w:id="90" w:name="_Toc227161689"/>
      <w:bookmarkStart w:id="91" w:name="_Toc24799"/>
      <w:r>
        <w:rPr>
          <w:rFonts w:hint="eastAsia"/>
        </w:rPr>
        <w:t>相关理论与技术基础</w:t>
      </w:r>
      <w:bookmarkEnd w:id="88"/>
      <w:bookmarkEnd w:id="89"/>
      <w:bookmarkEnd w:id="90"/>
      <w:bookmarkEnd w:id="91"/>
    </w:p>
    <w:bookmarkEnd w:id="87"/>
    <w:p w14:paraId="57BB6FDE">
      <w:pPr>
        <w:pStyle w:val="21"/>
        <w:spacing w:before="156" w:after="156"/>
      </w:pPr>
      <w:bookmarkStart w:id="92" w:name="bf289dd0"/>
      <w:r>
        <w:rPr>
          <w:rFonts w:hint="eastAsia"/>
        </w:rPr>
        <w:t xml:space="preserve"> </w:t>
      </w:r>
      <w:bookmarkStart w:id="93" w:name="_Toc15409"/>
      <w:bookmarkStart w:id="94" w:name="_Toc11216"/>
      <w:bookmarkStart w:id="95" w:name="_Toc19372"/>
      <w:bookmarkStart w:id="96" w:name="_Toc227161690"/>
      <w:r>
        <w:rPr>
          <w:rFonts w:hint="eastAsia"/>
        </w:rPr>
        <w:t>光伏功率短期预测基础</w:t>
      </w:r>
      <w:bookmarkEnd w:id="93"/>
      <w:bookmarkEnd w:id="94"/>
      <w:bookmarkEnd w:id="95"/>
      <w:bookmarkEnd w:id="96"/>
    </w:p>
    <w:bookmarkEnd w:id="92"/>
    <w:p w14:paraId="4CBF7EF9">
      <w:pPr>
        <w:pStyle w:val="22"/>
        <w:spacing w:before="156" w:after="156"/>
        <w:outlineLvl w:val="2"/>
      </w:pPr>
      <w:bookmarkStart w:id="97" w:name="cbe3df91"/>
      <w:r>
        <w:rPr>
          <w:rFonts w:hint="eastAsia"/>
        </w:rPr>
        <w:t xml:space="preserve"> </w:t>
      </w:r>
      <w:bookmarkStart w:id="98" w:name="_Toc227161691"/>
      <w:bookmarkStart w:id="99" w:name="_Toc20001"/>
      <w:bookmarkStart w:id="100" w:name="_Toc25104"/>
      <w:bookmarkStart w:id="101" w:name="_Toc25275"/>
      <w:r>
        <w:t>光伏功率的特性与影响因素</w:t>
      </w:r>
      <w:bookmarkEnd w:id="98"/>
      <w:bookmarkEnd w:id="99"/>
      <w:bookmarkEnd w:id="100"/>
      <w:bookmarkEnd w:id="101"/>
    </w:p>
    <w:bookmarkEnd w:id="97"/>
    <w:p w14:paraId="697702CD">
      <w:pPr>
        <w:pStyle w:val="23"/>
        <w:ind w:firstLine="480"/>
      </w:pPr>
      <w:bookmarkStart w:id="102" w:name="u45b54348"/>
      <w:r>
        <w:t>光伏发电是通过光生伏效应，将太阳能直接转化为电能的一种技术。由于受到多种自然环境因素的综合影响，光伏功率呈现出显著的非线性、非平稳性、间歇性与随机性。</w:t>
      </w:r>
    </w:p>
    <w:p w14:paraId="15B36557">
      <w:pPr>
        <w:pStyle w:val="23"/>
        <w:ind w:firstLine="480"/>
      </w:pPr>
      <w:r>
        <w:t xml:space="preserve">光伏发电系统的核心是光生伏特效应，其输出功率受外部气象条件的强烈调制。从统计学角度来看，光伏功率时间序列 </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表现出高度的非平稳性（Non-stationarity）和异方差性（Heteroscedasticity）。在理想晴天条件下，</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通常呈现类正弦的日周期波动；然而，在云层快速移动、降雨或气溶胶浓度剧变等复杂气象条件下，序列会叠加大量的高频非线性噪声 。这种强随机性和波动性使得传统的自回归移动平均模型（ARIMA）等线性时序模型难以有效拟合。</w:t>
      </w:r>
    </w:p>
    <w:bookmarkEnd w:id="102"/>
    <w:p w14:paraId="1E437F8B">
      <w:pPr>
        <w:pStyle w:val="23"/>
        <w:ind w:firstLine="480"/>
      </w:pPr>
      <w:bookmarkStart w:id="10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103"/>
    <w:p w14:paraId="1E80AF2C">
      <w:pPr>
        <w:pStyle w:val="22"/>
        <w:spacing w:before="156" w:after="156"/>
        <w:outlineLvl w:val="2"/>
      </w:pPr>
      <w:bookmarkStart w:id="104" w:name="7b949947"/>
      <w:r>
        <w:rPr>
          <w:rFonts w:hint="eastAsia"/>
        </w:rPr>
        <w:t xml:space="preserve"> </w:t>
      </w:r>
      <w:bookmarkStart w:id="105" w:name="_Toc22322"/>
      <w:bookmarkStart w:id="106" w:name="_Toc29008"/>
      <w:bookmarkStart w:id="107" w:name="_Toc227161692"/>
      <w:bookmarkStart w:id="108" w:name="_Toc25097"/>
      <w:r>
        <w:t>短期光伏预测的定义与分类</w:t>
      </w:r>
      <w:bookmarkEnd w:id="105"/>
      <w:bookmarkEnd w:id="106"/>
      <w:bookmarkEnd w:id="107"/>
      <w:bookmarkEnd w:id="108"/>
    </w:p>
    <w:bookmarkEnd w:id="104"/>
    <w:p w14:paraId="49CCDCE3">
      <w:pPr>
        <w:pStyle w:val="23"/>
        <w:ind w:firstLine="480"/>
      </w:pPr>
      <w:bookmarkStart w:id="109"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109"/>
    <w:p w14:paraId="5342C941">
      <w:pPr>
        <w:pStyle w:val="23"/>
        <w:ind w:firstLine="480"/>
      </w:pPr>
      <w:bookmarkStart w:id="110" w:name="u577d8fb0"/>
      <w:r>
        <w:t>模型的输入特征为 15 分钟一个时间间隔的数据元，其中包括气象与光伏功率数据。数据均来自于传感器的实地采集，基于此构建模型并完成光伏功率预测，属于典型的时间序列预测任务。</w:t>
      </w:r>
    </w:p>
    <w:bookmarkEnd w:id="110"/>
    <w:p w14:paraId="442FA5D2">
      <w:pPr>
        <w:pStyle w:val="22"/>
        <w:spacing w:before="156" w:after="156"/>
        <w:outlineLvl w:val="2"/>
      </w:pPr>
      <w:bookmarkStart w:id="111" w:name="a8af2f2b"/>
      <w:r>
        <w:rPr>
          <w:rFonts w:hint="eastAsia"/>
        </w:rPr>
        <w:t xml:space="preserve"> </w:t>
      </w:r>
      <w:bookmarkStart w:id="112" w:name="_Toc227161693"/>
      <w:bookmarkStart w:id="113" w:name="_Toc23897"/>
      <w:bookmarkStart w:id="114" w:name="_Toc19671"/>
      <w:bookmarkStart w:id="115" w:name="_Toc22460"/>
      <w:r>
        <w:t>预测结果评价指标</w:t>
      </w:r>
      <w:bookmarkEnd w:id="112"/>
      <w:bookmarkEnd w:id="113"/>
      <w:bookmarkEnd w:id="114"/>
      <w:bookmarkEnd w:id="115"/>
    </w:p>
    <w:bookmarkEnd w:id="111"/>
    <w:p w14:paraId="72F92FA5">
      <w:pPr>
        <w:pStyle w:val="23"/>
        <w:ind w:firstLine="480"/>
      </w:pPr>
      <w:bookmarkStart w:id="116" w:name="u8f89386e"/>
      <w:r>
        <w:rPr>
          <w:rFonts w:ascii="宋体" w:hAnsi="宋体" w:cs="宋体"/>
        </w:rPr>
        <w:t xml:space="preserve">光伏发电受太阳辐射、温度、湿度等因素影响，具有显著的非线性与间歇性 </w:t>
      </w:r>
      <w:r>
        <w:rPr>
          <w:rFonts w:ascii="宋体" w:hAnsi="宋体" w:cs="宋体"/>
          <w:vertAlign w:val="superscript"/>
        </w:rPr>
        <w:t>[10]</w:t>
      </w:r>
      <w:r>
        <w:rPr>
          <w:rFonts w:ascii="宋体" w:hAnsi="宋体" w:cs="宋体"/>
        </w:rPr>
        <w:t>。本文研究的短期功率预测，采用 15 分钟间隔的时序数据进行建模。</w:t>
      </w:r>
      <w:r>
        <w:t>为了科学、定量地衡量不同模型的预测精度，本文选取了4类常用的评价指标：均方根误差（RMSE）、平均绝对百分比误差（MAPE）以及决定系数（R²）。</w:t>
      </w:r>
    </w:p>
    <w:bookmarkEnd w:id="116"/>
    <w:p w14:paraId="5CA5BC49">
      <w:pPr>
        <w:pStyle w:val="23"/>
        <w:numPr>
          <w:ilvl w:val="0"/>
          <w:numId w:val="3"/>
        </w:numPr>
        <w:ind w:left="420" w:leftChars="0" w:firstLine="0" w:firstLineChars="0"/>
      </w:pPr>
      <w:bookmarkStart w:id="117" w:name="u758f578e"/>
      <w:r>
        <w:t>均方根误差（RMSE）RMSE 对较大误差更为敏感，能够突出极端偏差，是时序预测中最常用的核心指标。公式：</w:t>
      </w:r>
    </w:p>
    <w:p w14:paraId="5D35135C">
      <w:pPr>
        <w:pStyle w:val="23"/>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bookmarkEnd w:id="117"/>
    <w:p w14:paraId="58349E44">
      <w:pPr>
        <w:pStyle w:val="23"/>
        <w:numPr>
          <w:ilvl w:val="0"/>
          <w:numId w:val="3"/>
        </w:numPr>
        <w:ind w:left="420" w:leftChars="0" w:firstLine="0" w:firstLineChars="0"/>
      </w:pPr>
      <w:bookmarkStart w:id="118" w:name="u45f6db46"/>
      <w:r>
        <w:t>平均绝对百分比误差（MAPE，单位：%）MAPE 将误差相对化，消除量纲影响，便于不同场景下对比。公式：</w:t>
      </w:r>
    </w:p>
    <w:p w14:paraId="75A87B7B">
      <w:pPr>
        <w:pStyle w:val="23"/>
        <w:ind w:firstLineChars="0"/>
      </w:pPr>
      <m:oMathPara>
        <m:oMath>
          <m:r>
            <m:rPr/>
            <w:rPr>
              <w:rFonts w:ascii="Cambria Math" w:hAnsi="Cambria Math"/>
            </w:rPr>
            <m:t>MAPE=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rPr>
              </m:ctrlPr>
            </m:e>
          </m:nary>
          <m:r>
            <m:rPr>
              <m:sty m:val="p"/>
            </m:rPr>
            <w:rPr>
              <w:rFonts w:hint="eastAsia" w:ascii="Cambria Math" w:hAnsi="Cambria Math"/>
            </w:rPr>
            <m:t>×</m:t>
          </m:r>
          <m:r>
            <m:rPr/>
            <w:rPr>
              <w:rFonts w:ascii="Cambria Math" w:hAnsi="Cambria Math"/>
            </w:rPr>
            <m:t>100</m:t>
          </m:r>
        </m:oMath>
      </m:oMathPara>
    </w:p>
    <w:bookmarkEnd w:id="118"/>
    <w:p w14:paraId="5B960349">
      <w:pPr>
        <w:pStyle w:val="23"/>
        <w:numPr>
          <w:ilvl w:val="0"/>
          <w:numId w:val="3"/>
        </w:numPr>
        <w:ind w:left="420" w:leftChars="0" w:firstLine="0" w:firstLineChars="0"/>
      </w:pPr>
      <w:bookmarkStart w:id="119" w:name="u603838de"/>
      <w:r>
        <w:t>决定系数（R²）R² 反映预测曲线对真实曲线的拟合程度，取值越接近 1，说明拟合效果越好。公式：</w:t>
      </w:r>
    </w:p>
    <w:p w14:paraId="2508ED0D">
      <w:pPr>
        <w:pStyle w:val="23"/>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119"/>
    <w:p w14:paraId="627AC3EB">
      <w:pPr>
        <w:pStyle w:val="23"/>
        <w:ind w:firstLine="480"/>
      </w:pPr>
      <w:bookmarkStart w:id="120" w:name="u74d0b3ec"/>
      <w:r>
        <w:t>在上述指标中：RMSE、MAPE 越小，R² 越接近 1 ,则表示模型预测性能效果越好。</w:t>
      </w:r>
    </w:p>
    <w:bookmarkEnd w:id="120"/>
    <w:p w14:paraId="1ABAF10E">
      <w:pPr>
        <w:pStyle w:val="21"/>
        <w:spacing w:before="156" w:after="156"/>
        <w:rPr>
          <w:rFonts w:ascii="sans-serif" w:hAnsi="sans-serif" w:eastAsia="sans-serif" w:cs="sans-serif"/>
        </w:rPr>
      </w:pPr>
      <w:bookmarkStart w:id="121" w:name="u6304303a"/>
      <w:r>
        <w:rPr>
          <w:rFonts w:hint="eastAsia"/>
        </w:rPr>
        <w:t xml:space="preserve"> </w:t>
      </w:r>
      <w:bookmarkStart w:id="122" w:name="_Toc18875"/>
      <w:bookmarkStart w:id="123" w:name="_Toc22206"/>
      <w:bookmarkStart w:id="124" w:name="_Toc1444"/>
      <w:bookmarkStart w:id="125" w:name="_Toc227161694"/>
      <w:r>
        <w:t>经验模态分解（EMD）算法</w:t>
      </w:r>
      <w:r>
        <w:rPr>
          <w:rFonts w:hint="eastAsia"/>
        </w:rPr>
        <w:t>理论推导</w:t>
      </w:r>
      <w:bookmarkEnd w:id="121"/>
      <w:bookmarkEnd w:id="122"/>
      <w:bookmarkEnd w:id="123"/>
      <w:bookmarkEnd w:id="124"/>
      <w:bookmarkEnd w:id="125"/>
      <w:bookmarkStart w:id="126" w:name="ud9c55179"/>
    </w:p>
    <w:p w14:paraId="10BE6208">
      <w:pPr>
        <w:pStyle w:val="23"/>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72C38C5E">
      <w:pPr>
        <w:pStyle w:val="23"/>
        <w:ind w:firstLine="480"/>
      </w:pPr>
      <w:r>
        <w:t>为了突破这一局限，Norden E. Huang 等人提出了一种完全数据驱动的信号处理技术——经验模态分解（Empirical Mode Decomposition, EMD）。EMD 摒弃了先验基函数的束缚，能够直接根据信号自身的局部时间尺度特征，自适应地将复杂信号平滑分解为若干个具有明确物理意义的本征模函数（Intrinsic Mode Function, IMF）以及一个残余的趋势分量。</w:t>
      </w:r>
    </w:p>
    <w:p w14:paraId="52ECEC95">
      <w:pPr>
        <w:pStyle w:val="23"/>
        <w:ind w:firstLine="480"/>
      </w:pPr>
    </w:p>
    <w:p w14:paraId="663CE279">
      <w:pPr>
        <w:pStyle w:val="22"/>
        <w:spacing w:before="156" w:after="156"/>
        <w:outlineLvl w:val="2"/>
      </w:pPr>
      <w:r>
        <w:rPr>
          <w:rFonts w:hint="eastAsia"/>
        </w:rPr>
        <w:t xml:space="preserve"> </w:t>
      </w:r>
      <w:bookmarkStart w:id="127" w:name="_Toc16211"/>
      <w:bookmarkStart w:id="128" w:name="_Toc3251"/>
      <w:bookmarkStart w:id="129" w:name="_Toc227161695"/>
      <w:bookmarkStart w:id="130" w:name="_Toc8018"/>
      <w:r>
        <w:t>IMF的数学条件与筛选原理</w:t>
      </w:r>
      <w:bookmarkEnd w:id="127"/>
      <w:bookmarkEnd w:id="128"/>
      <w:bookmarkEnd w:id="129"/>
      <w:bookmarkEnd w:id="130"/>
    </w:p>
    <w:p w14:paraId="48C92DB3">
      <w:pPr>
        <w:pStyle w:val="23"/>
        <w:ind w:firstLine="480"/>
      </w:pPr>
      <w:r>
        <w:rPr>
          <w:rFonts w:ascii="宋体" w:hAnsi="宋体" w:cs="宋体"/>
          <w:kern w:val="0"/>
        </w:rPr>
        <w:t xml:space="preserve"> </w:t>
      </w:r>
      <w:r>
        <w:t>EMD 分解的核心目标是从原始复杂信号中剥离出具有不同震荡频率的平稳序列，即本征模函数（IMF）。为了保证分解出的信号在瞬时频率计算上具有明确的物理意义且不产生负频率，一个有效的 IMF 必须严格同时满足以下两个严苛的数学条件：</w:t>
      </w:r>
    </w:p>
    <w:p w14:paraId="3CE96928">
      <w:pPr>
        <w:pStyle w:val="24"/>
        <w:bidi w:val="0"/>
      </w:pPr>
      <w:r>
        <w:rPr>
          <w:b/>
          <w:bCs/>
        </w:rPr>
        <w:t>极值点与过零点数目均衡</w:t>
      </w:r>
    </w:p>
    <w:p w14:paraId="68EAFB86">
      <w:pPr>
        <w:pStyle w:val="23"/>
        <w:numPr>
          <w:ilvl w:val="0"/>
          <w:numId w:val="0"/>
        </w:numPr>
        <w:ind w:firstLine="420" w:firstLineChars="0"/>
      </w:pPr>
      <w:r>
        <w:t>在整个数据段内，信号的极值点（极大值与极小值的总和）数量与过零点的数量必须完全相等，或者最多相差一个。这一条件确保了 IMF 表现为一个类似于传统简谐波的窄带信号，而非宽带的复杂叠加波。</w:t>
      </w:r>
    </w:p>
    <w:p w14:paraId="0044D61B">
      <w:pPr>
        <w:pStyle w:val="24"/>
        <w:bidi w:val="0"/>
      </w:pPr>
      <w:r>
        <w:rPr>
          <w:b/>
          <w:bCs/>
        </w:rPr>
        <w:t>局部均值为零的对称性</w:t>
      </w:r>
    </w:p>
    <w:p w14:paraId="19C0392B">
      <w:pPr>
        <w:pStyle w:val="23"/>
        <w:numPr>
          <w:ilvl w:val="0"/>
          <w:numId w:val="0"/>
        </w:numPr>
        <w:ind w:firstLine="420" w:firstLineChars="0"/>
      </w:pPr>
      <w:r>
        <w:t xml:space="preserve">在任意时刻 </w:t>
      </w:r>
      <m:oMath>
        <m:r>
          <m:rPr/>
          <w:rPr>
            <w:rFonts w:ascii="Cambria Math" w:hAnsi="Cambria Math"/>
          </w:rPr>
          <m:t>t</m:t>
        </m:r>
      </m:oMath>
      <w:r>
        <w:t xml:space="preserve">，由信号的局部极大值点构成的上包络线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7E5DF943">
      <w:pPr>
        <w:pStyle w:val="23"/>
        <w:ind w:firstLine="480"/>
      </w:pPr>
    </w:p>
    <w:p w14:paraId="76308CF4">
      <w:pPr>
        <w:pStyle w:val="22"/>
        <w:spacing w:before="156" w:after="156"/>
        <w:outlineLvl w:val="2"/>
      </w:pPr>
      <w:r>
        <w:rPr>
          <w:rFonts w:hint="eastAsia"/>
        </w:rPr>
        <w:t xml:space="preserve"> </w:t>
      </w:r>
      <w:bookmarkStart w:id="131" w:name="_Toc29512"/>
      <w:bookmarkStart w:id="132" w:name="_Toc227161696"/>
      <w:bookmarkStart w:id="133" w:name="_Toc21308"/>
      <w:bookmarkStart w:id="134" w:name="_Toc27978"/>
      <w:r>
        <w:t>EMD 的筛分算法流程（Sifting Process）</w:t>
      </w:r>
      <w:bookmarkEnd w:id="131"/>
      <w:bookmarkEnd w:id="132"/>
      <w:bookmarkEnd w:id="133"/>
      <w:bookmarkEnd w:id="134"/>
    </w:p>
    <w:bookmarkEnd w:id="126"/>
    <w:p w14:paraId="3F9C522B">
      <w:pPr>
        <w:pStyle w:val="23"/>
        <w:ind w:firstLine="480"/>
      </w:pPr>
      <w:bookmarkStart w:id="13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 采用了一种被称为“筛分（Sifting）”的迭代逼近过程来提取 IMF。其详细的算法执行流程如下：</w:t>
      </w:r>
    </w:p>
    <w:p w14:paraId="6B091A41">
      <w:pPr>
        <w:pStyle w:val="23"/>
        <w:ind w:firstLine="482"/>
      </w:pPr>
      <w:r>
        <w:rPr>
          <w:rFonts w:hint="eastAsia"/>
          <w:lang w:eastAsia="zh-CN"/>
        </w:rPr>
        <w:t>（</w:t>
      </w:r>
      <w:r>
        <w:rPr>
          <w:rFonts w:hint="eastAsia"/>
          <w:lang w:val="en-US" w:eastAsia="zh-CN"/>
        </w:rPr>
        <w:t>1）</w:t>
      </w:r>
      <w:r>
        <w:t>极值点</w:t>
      </w:r>
      <w:r>
        <w:rPr>
          <w:rFonts w:hint="eastAsia"/>
          <w:lang w:eastAsia="zh-CN"/>
        </w:rPr>
        <w:t>识别。</w:t>
      </w:r>
      <w:r>
        <w:t xml:space="preserve">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57411943">
      <w:pPr>
        <w:pStyle w:val="23"/>
        <w:ind w:firstLine="482"/>
      </w:pPr>
      <w:r>
        <w:rPr>
          <w:rFonts w:hint="eastAsia"/>
          <w:lang w:val="en-US" w:eastAsia="zh-CN"/>
        </w:rPr>
        <w:t>（2）包络线拟合。</w:t>
      </w:r>
      <w:r>
        <w:t xml:space="preserve">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7772FDAC">
      <w:pPr>
        <w:pStyle w:val="23"/>
        <w:ind w:firstLine="482"/>
      </w:pPr>
      <w:r>
        <w:rPr>
          <w:rFonts w:hint="eastAsia"/>
          <w:lang w:val="en-US" w:eastAsia="zh-CN"/>
        </w:rPr>
        <w:t>（3）局部均值计算。</w:t>
      </w:r>
      <w:r>
        <w:t>计算上、下包络线在每一时刻的算术平均值，得到局部均值序列</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rPr>
          <w:rFonts w:hint="eastAsia"/>
        </w:rPr>
        <w:t>：</w:t>
      </w:r>
      <w:r>
        <w:t xml:space="preserve"> </w:t>
      </w:r>
    </w:p>
    <w:p w14:paraId="117AA3A0">
      <w:pPr>
        <w:pStyle w:val="23"/>
        <w:ind w:firstLine="480"/>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num>
            <m:den>
              <m:r>
                <m:rPr/>
                <w:rPr>
                  <w:rFonts w:ascii="Cambria Math" w:hAnsi="Cambria Math"/>
                </w:rPr>
                <m:t>2</m:t>
              </m:r>
              <m:ctrlPr>
                <w:rPr>
                  <w:rFonts w:ascii="Cambria Math" w:hAnsi="Cambria Math"/>
                  <w:i/>
                </w:rPr>
              </m:ctrlPr>
            </m:den>
          </m:f>
        </m:oMath>
      </m:oMathPara>
    </w:p>
    <w:p w14:paraId="28E3F995">
      <w:pPr>
        <w:pStyle w:val="23"/>
        <w:ind w:firstLine="482"/>
      </w:pPr>
      <w:r>
        <w:rPr>
          <w:rFonts w:hint="eastAsia"/>
          <w:lang w:val="en-US" w:eastAsia="zh-CN"/>
        </w:rPr>
        <w:t>（4）候选 IMF 提取。从</w:t>
      </w:r>
      <w:r>
        <w:t xml:space="preserve">原始信号中减去局部均值序列，试图剥离出高频波动特征，得到第一个候选的 IMF 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4CEA9568">
      <w:pPr>
        <w:pStyle w:val="23"/>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5E728D2C">
      <w:pPr>
        <w:pStyle w:val="23"/>
        <w:ind w:firstLine="482"/>
      </w:pPr>
      <w:r>
        <w:rPr>
          <w:rFonts w:hint="eastAsia"/>
          <w:lang w:val="en-US" w:eastAsia="zh-CN"/>
        </w:rPr>
        <w:t>（5）IMF 条件检验与迭代逼近。由</w:t>
      </w:r>
      <w:r>
        <w:t xml:space="preserve">于包络线拟合存在边缘效应或插值误差，第一次剥离出的 $h_1(t)$ 往往不能立刻满足 IMF 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 1 至步骤 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6B9EBB61">
      <w:pPr>
        <w:pStyle w:val="23"/>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438775BE">
      <w:pPr>
        <w:pStyle w:val="23"/>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 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3EBCDD74">
      <w:pPr>
        <w:pStyle w:val="23"/>
        <w:ind w:firstLine="482"/>
      </w:pPr>
      <w:r>
        <w:rPr>
          <w:rFonts w:hint="eastAsia"/>
          <w:lang w:eastAsia="zh-CN"/>
        </w:rPr>
        <w:t>（</w:t>
      </w:r>
      <w:r>
        <w:rPr>
          <w:rFonts w:hint="eastAsia"/>
          <w:lang w:val="en-US" w:eastAsia="zh-CN"/>
        </w:rPr>
        <w:t>6）</w:t>
      </w:r>
      <w:r>
        <w:t>残差分离与递归重构</w:t>
      </w:r>
      <w:r>
        <w:rPr>
          <w:rFonts w:hint="eastAsia"/>
          <w:lang w:val="en-US" w:eastAsia="zh-CN"/>
        </w:rPr>
        <w:t>。</w:t>
      </w:r>
      <w:r>
        <w:t xml:space="preserve">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 1 至 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 EMD 分解过程正式结束。</w:t>
      </w:r>
    </w:p>
    <w:p w14:paraId="6E888667">
      <w:pPr>
        <w:pStyle w:val="23"/>
        <w:ind w:firstLine="480"/>
      </w:pPr>
      <w:r>
        <w:t xml:space="preserve">最终，原始的高度非平稳信号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被完美重构为 </w:t>
      </w:r>
      <m:oMath>
        <m:r>
          <m:rPr/>
          <w:rPr>
            <w:rFonts w:ascii="Cambria Math" w:hAnsi="Cambria Math"/>
          </w:rPr>
          <m:t>n</m:t>
        </m:r>
      </m:oMath>
      <w:r>
        <w:t xml:space="preserve"> 个具有明确频带划分的平稳本征模函数与 1 个反映信号长期演变趋势的残差分量之和： </w:t>
      </w:r>
    </w:p>
    <w:p w14:paraId="06990067">
      <w:pPr>
        <w:pStyle w:val="23"/>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36B120F2">
      <w:pPr>
        <w:pStyle w:val="23"/>
        <w:ind w:firstLine="199" w:firstLineChars="83"/>
        <w:rPr>
          <w:rFonts w:hint="eastAsia" w:ascii="sans-serif" w:hAnsi="sans-serif" w:cs="sans-serif" w:eastAsiaTheme="minorEastAsia"/>
        </w:rPr>
      </w:pPr>
      <w:r>
        <w:rPr>
          <w:rFonts w:ascii="宋体" w:hAnsi="宋体" w:cs="宋体"/>
        </w:rPr>
        <w:t>通过这种逐层“筛分”的降维打击，EMD 及相关模态分解技术极大地削弱了光伏功率序列的非线性和非平稳性，为后续深度神经网络（如 BiGRU、TCN 等）的特征学习铺平了理论道路</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w:t>
      </w:r>
    </w:p>
    <w:p w14:paraId="4449C03A">
      <w:pPr>
        <w:pStyle w:val="22"/>
        <w:spacing w:before="156" w:after="156"/>
        <w:outlineLvl w:val="2"/>
      </w:pPr>
      <w:r>
        <w:rPr>
          <w:rFonts w:hint="eastAsia"/>
        </w:rPr>
        <w:t xml:space="preserve"> </w:t>
      </w:r>
      <w:bookmarkStart w:id="136" w:name="_Toc23523"/>
      <w:bookmarkStart w:id="137" w:name="_Toc31317"/>
      <w:bookmarkStart w:id="138" w:name="_Toc29459"/>
      <w:bookmarkStart w:id="139" w:name="_Toc227161697"/>
      <w:r>
        <w:t>模态混叠问题</w:t>
      </w:r>
      <w:bookmarkEnd w:id="136"/>
      <w:bookmarkEnd w:id="137"/>
      <w:bookmarkEnd w:id="138"/>
      <w:bookmarkEnd w:id="139"/>
    </w:p>
    <w:bookmarkEnd w:id="135"/>
    <w:p w14:paraId="5C604284">
      <w:pPr>
        <w:pStyle w:val="23"/>
        <w:ind w:firstLine="480"/>
      </w:pPr>
      <w:bookmarkStart w:id="140" w:name="u592a0e70"/>
      <w:r>
        <w:t>模态混叠是 EMD 的典型问题，指不同时间尺度的特征出现在同一个 IMF 分量中，导致分量物理意义模糊。其主要成因包括信号突变、间断点与噪声干扰。在实际应用中，可通过合理筛选有效分量、数据预处理等方式减轻其影响，本文即采用保留前序有效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140"/>
    <w:p w14:paraId="73E4ACCC">
      <w:pPr>
        <w:pStyle w:val="21"/>
        <w:spacing w:before="156" w:after="156"/>
      </w:pPr>
      <w:bookmarkStart w:id="141" w:name="1812ace2"/>
      <w:r>
        <w:t xml:space="preserve"> </w:t>
      </w:r>
      <w:bookmarkStart w:id="142" w:name="_Toc27631"/>
      <w:bookmarkStart w:id="143" w:name="_Toc1228"/>
      <w:bookmarkStart w:id="144" w:name="_Toc227161698"/>
      <w:bookmarkStart w:id="145" w:name="_Toc25995"/>
      <w:r>
        <w:t>循环神经网络相关模型</w:t>
      </w:r>
      <w:bookmarkEnd w:id="142"/>
      <w:bookmarkEnd w:id="143"/>
      <w:bookmarkEnd w:id="144"/>
      <w:bookmarkEnd w:id="145"/>
    </w:p>
    <w:bookmarkEnd w:id="141"/>
    <w:p w14:paraId="26C60F10">
      <w:pPr>
        <w:pStyle w:val="22"/>
        <w:spacing w:before="156" w:after="156"/>
        <w:outlineLvl w:val="2"/>
      </w:pPr>
      <w:bookmarkStart w:id="146" w:name="b218cf18"/>
      <w:r>
        <w:t xml:space="preserve"> </w:t>
      </w:r>
      <w:bookmarkStart w:id="147" w:name="_Toc227161699"/>
      <w:bookmarkStart w:id="148" w:name="_Toc10783"/>
      <w:bookmarkStart w:id="149" w:name="_Toc16736"/>
      <w:bookmarkStart w:id="150" w:name="_Toc19793"/>
      <w:r>
        <w:t>循环神经网络（RNN）</w:t>
      </w:r>
      <w:bookmarkEnd w:id="147"/>
      <w:bookmarkEnd w:id="148"/>
      <w:bookmarkEnd w:id="149"/>
      <w:bookmarkEnd w:id="150"/>
    </w:p>
    <w:bookmarkEnd w:id="146"/>
    <w:p w14:paraId="173CA385">
      <w:pPr>
        <w:pStyle w:val="23"/>
        <w:ind w:firstLine="480"/>
      </w:pPr>
      <w:bookmarkStart w:id="151"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0C59DC78">
      <w:pPr>
        <w:pStyle w:val="23"/>
        <w:ind w:firstLine="480"/>
      </w:pPr>
      <w:r>
        <w:t xml:space="preserve">从数学模型来看，RNN 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6E6B8F14">
      <w:pPr>
        <w:pStyle w:val="23"/>
        <w:ind w:firstLine="480"/>
      </w:pPr>
      <m:oMathPara>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e>
          </m:d>
        </m:oMath>
      </m:oMathPara>
    </w:p>
    <w:p w14:paraId="2F5CE7E8">
      <w:pPr>
        <w:pStyle w:val="23"/>
        <w:ind w:firstLine="48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1A3969A7">
      <w:pPr>
        <w:pStyle w:val="23"/>
        <w:ind w:firstLine="480"/>
      </w:pPr>
      <w:r>
        <w:rPr>
          <w:rFonts w:hint="eastAsia"/>
        </w:rPr>
        <w:t>在上述公式中：</w:t>
      </w:r>
    </w:p>
    <w:p w14:paraId="2796F241">
      <w:pPr>
        <w:pStyle w:val="23"/>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oMath>
      <w:r>
        <w:t xml:space="preserve"> </w:t>
      </w:r>
      <w:r>
        <w:rPr>
          <w:rFonts w:hint="eastAsia"/>
        </w:rPr>
        <w:t>表示输入层到隐藏层的权重矩阵；</w:t>
      </w:r>
    </w:p>
    <w:p w14:paraId="64D85F22">
      <w:pPr>
        <w:pStyle w:val="23"/>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 </w:t>
      </w:r>
      <w:r>
        <w:rPr>
          <w:rFonts w:hint="eastAsia"/>
        </w:rPr>
        <w:t>表示上一时刻隐藏状态到当前时刻隐藏状态的权重矩阵（即循环反馈的权重）</w:t>
      </w:r>
    </w:p>
    <w:p w14:paraId="5BC68C0B">
      <w:pPr>
        <w:pStyle w:val="23"/>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oMath>
      <w:r>
        <w:t xml:space="preserve"> </w:t>
      </w:r>
      <w:r>
        <w:rPr>
          <w:rFonts w:hint="eastAsia"/>
        </w:rPr>
        <w:t>表示隐藏层到输出层的权重矩阵；</w:t>
      </w:r>
    </w:p>
    <w:p w14:paraId="6AF76307">
      <w:pPr>
        <w:pStyle w:val="23"/>
        <w:ind w:firstLine="480"/>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2F9EE600">
      <w:pPr>
        <w:pStyle w:val="23"/>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sty m:val="p"/>
          </m:rPr>
          <w:rPr>
            <w:rFonts w:ascii="Cambria Math" w:hAnsi="Cambria Math"/>
            <w:b w:val="0"/>
            <w:i w:val="0"/>
          </w:rPr>
          <m:t>ReLU</m:t>
        </m:r>
      </m:oMath>
      <w:r>
        <w:rPr>
          <w:rFonts w:hint="eastAsia"/>
        </w:rPr>
        <w:t>，用于增加网络的非线性拟合能力；</w:t>
      </w:r>
    </w:p>
    <w:p w14:paraId="7DEA5B8C">
      <w:pPr>
        <w:pStyle w:val="23"/>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22C709FD">
      <w:pPr>
        <w:pStyle w:val="23"/>
        <w:ind w:firstLine="480"/>
      </w:pPr>
      <w:r>
        <w:rPr>
          <w:rFonts w:hint="eastAsia"/>
        </w:rPr>
        <w:t>在</w:t>
      </w:r>
      <w:r>
        <w:t>模型的训练阶段，RNN 通常采用随时间反向传播算法（Backpropagation Through Time, BPTT）来更新网络权重。然而，随着序列长度的增加，BPTT 算法暴露出了传统 RNN 最致命的缺陷——**梯度消失（Vanishing Gradient）或梯度爆炸（Exploding Gradient）**问题。</w:t>
      </w:r>
    </w:p>
    <w:p w14:paraId="48D6F9C3">
      <w:pPr>
        <w:pStyle w:val="23"/>
        <w:ind w:firstLine="480"/>
      </w:pPr>
      <w:r>
        <w:t xml:space="preserve">由于 RNN 在每个时间步都共享参数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，在计算损失函数对历史时刻状态的偏导数时，根据链式法则，会包含连乘项 </w:t>
      </w:r>
      <m:oMath>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nary>
      </m:oMath>
      <w: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7A389949">
      <w:pPr>
        <w:pStyle w:val="23"/>
        <w:ind w:firstLine="480"/>
        <w:rPr>
          <w:rFonts w:hint="eastAsia" w:ascii="宋体" w:hAnsi="宋体" w:cs="宋体"/>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Pr>
          <w:rFonts w:ascii="宋体" w:hAnsi="宋体" w:cs="宋体"/>
          <w:vertAlign w:val="superscript"/>
        </w:rPr>
        <w:t>[1</w:t>
      </w:r>
      <w:r>
        <w:rPr>
          <w:rFonts w:hint="eastAsia" w:ascii="宋体" w:hAnsi="宋体" w:cs="宋体"/>
          <w:vertAlign w:val="superscript"/>
        </w:rPr>
        <w:t>][</w:t>
      </w:r>
      <w:r>
        <w:rPr>
          <w:rFonts w:ascii="宋体" w:hAnsi="宋体" w:cs="宋体"/>
          <w:vertAlign w:val="superscript"/>
        </w:rPr>
        <w:t>3]</w:t>
      </w:r>
      <w:r>
        <w:rPr>
          <w:rFonts w:ascii="宋体" w:hAnsi="宋体" w:cs="宋体"/>
        </w:rPr>
        <w:t>。</w:t>
      </w:r>
    </w:p>
    <w:p w14:paraId="685D717D">
      <w:pPr>
        <w:pStyle w:val="23"/>
        <w:ind w:firstLine="480"/>
        <w:rPr>
          <w:rFonts w:hint="eastAsia" w:ascii="宋体" w:hAnsi="宋体" w:cs="宋体"/>
        </w:rPr>
      </w:pPr>
      <w:r>
        <w:rPr>
          <w:rFonts w:hint="eastAsia" w:ascii="宋体" w:hAnsi="宋体" w:cs="宋体"/>
        </w:rPr>
        <w:t>模型原理图如</w:t>
      </w:r>
      <w:r>
        <w:rPr>
          <w:rFonts w:hint="eastAsia" w:ascii="宋体" w:hAnsi="宋体" w:cs="宋体"/>
        </w:rPr>
        <w:fldChar w:fldCharType="begin"/>
      </w:r>
      <w:r>
        <w:rPr>
          <w:rFonts w:hint="eastAsia" w:ascii="宋体" w:hAnsi="宋体" w:cs="宋体"/>
        </w:rPr>
        <w:instrText xml:space="preserve"> REF _Ref227195079 \h  \* MERGEFORMAT </w:instrText>
      </w:r>
      <w:r>
        <w:rPr>
          <w:rFonts w:hint="eastAsia" w:ascii="宋体" w:hAnsi="宋体" w:cs="宋体"/>
        </w:rPr>
        <w:fldChar w:fldCharType="separate"/>
      </w:r>
      <w:r>
        <w:rPr>
          <w:rFonts w:hint="eastAsia" w:ascii="宋体" w:hAnsi="宋体" w:cs="宋体"/>
        </w:rPr>
        <w:t>图2.</w:t>
      </w:r>
      <w:r>
        <w:rPr>
          <w:rFonts w:ascii="宋体" w:hAnsi="宋体" w:cs="宋体"/>
        </w:rPr>
        <w:t>1</w:t>
      </w:r>
      <w:r>
        <w:rPr>
          <w:rFonts w:hint="eastAsia" w:ascii="宋体" w:hAnsi="宋体" w:cs="宋体"/>
        </w:rPr>
        <w:fldChar w:fldCharType="end"/>
      </w:r>
      <w:r>
        <w:rPr>
          <w:rFonts w:hint="eastAsia" w:ascii="宋体" w:hAnsi="宋体" w:cs="宋体"/>
        </w:rPr>
        <w:t>所示</w:t>
      </w:r>
    </w:p>
    <w:p w14:paraId="63D7BEDF">
      <w:pPr>
        <w:pStyle w:val="13"/>
        <w:keepNext/>
        <w:widowControl/>
        <w:spacing w:beforeAutospacing="0" w:line="14" w:lineRule="atLeast"/>
        <w:jc w:val="center"/>
      </w:pPr>
      <w:r>
        <w:drawing>
          <wp:inline distT="0" distB="0" distL="0" distR="0">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66C25184">
      <w:pPr>
        <w:pStyle w:val="7"/>
        <w:jc w:val="center"/>
        <w:rPr>
          <w:rFonts w:hint="eastAsia" w:ascii="sans-serif" w:hAnsi="sans-serif" w:cs="sans-serif" w:eastAsiaTheme="minorEastAsia"/>
        </w:rPr>
      </w:pPr>
      <w:bookmarkStart w:id="152" w:name="_Ref2271950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1</w:t>
      </w:r>
      <w:r>
        <w:rPr>
          <w:rFonts w:ascii="宋体" w:hAnsi="宋体" w:cs="Times New Roman" w:eastAsiaTheme="minorEastAsia"/>
          <w:sz w:val="21"/>
          <w:szCs w:val="24"/>
        </w:rPr>
        <w:fldChar w:fldCharType="end"/>
      </w:r>
      <w:bookmarkEnd w:id="152"/>
      <w:r>
        <w:rPr>
          <w:rFonts w:hint="eastAsia" w:ascii="宋体" w:hAnsi="宋体" w:cs="Times New Roman" w:eastAsiaTheme="minorEastAsia"/>
          <w:sz w:val="21"/>
          <w:szCs w:val="24"/>
        </w:rPr>
        <w:t xml:space="preserve"> RNN 的结构图</w:t>
      </w:r>
    </w:p>
    <w:p w14:paraId="47BE335B">
      <w:pPr>
        <w:pStyle w:val="22"/>
        <w:spacing w:before="156" w:after="156"/>
        <w:outlineLvl w:val="2"/>
      </w:pPr>
      <w:r>
        <w:t xml:space="preserve"> </w:t>
      </w:r>
      <w:bookmarkStart w:id="153" w:name="_Toc227161700"/>
      <w:bookmarkStart w:id="154" w:name="_Toc1526"/>
      <w:bookmarkStart w:id="155" w:name="_Toc18115"/>
      <w:bookmarkStart w:id="156" w:name="_Toc4765"/>
      <w:r>
        <w:t>长短期记忆网络（LSTM）</w:t>
      </w:r>
      <w:bookmarkEnd w:id="153"/>
      <w:bookmarkEnd w:id="154"/>
      <w:bookmarkEnd w:id="155"/>
      <w:bookmarkEnd w:id="156"/>
    </w:p>
    <w:bookmarkEnd w:id="151"/>
    <w:p w14:paraId="66C5144E">
      <w:pPr>
        <w:pStyle w:val="23"/>
        <w:ind w:firstLine="480"/>
      </w:pPr>
      <w:bookmarkStart w:id="157"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31A8E3E8">
      <w:pPr>
        <w:pStyle w:val="23"/>
        <w:ind w:firstLine="480"/>
      </w:pPr>
      <w:r>
        <w:t>长短期记忆网络（LSTM）是 RNN 的改进模型，通过引入门控机制解决梯度消失问题。LSTM 包含三个门结构：</w:t>
      </w:r>
    </w:p>
    <w:p w14:paraId="373C0084">
      <w:pPr>
        <w:pStyle w:val="23"/>
        <w:numPr>
          <w:ilvl w:val="0"/>
          <w:numId w:val="0"/>
        </w:numPr>
        <w:ind w:leftChars="200"/>
      </w:pPr>
      <w:r>
        <w:rPr>
          <w:rFonts w:hint="eastAsia"/>
          <w:lang w:eastAsia="zh-CN"/>
        </w:rPr>
        <w:t>（</w:t>
      </w:r>
      <w:r>
        <w:rPr>
          <w:rFonts w:hint="eastAsia"/>
          <w:lang w:val="en-US" w:eastAsia="zh-CN"/>
        </w:rPr>
        <w:t>1）</w:t>
      </w:r>
      <w:r>
        <w:t xml:space="preserve">遗忘门（Forget Gate），控制历史信息的丢弃： 遗忘门负责审查上一时刻的隐藏状态 </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和当前时刻的输入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xml:space="preserve">，并通过一个 Sigmoid 激活函数输出一个介于 0 到 1 之间的权重矩阵。该权重决定了对上一时刻细胞状态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中各类信息的保留程度（0 代表彻底丢弃，1 代表完全保留）。在光伏预测中，遗忘门可以自适应地“忘记”昨天与今天毫无关联的局部气象干扰（如昨日短暂的阵雨）。</w:t>
      </w:r>
    </w:p>
    <w:p w14:paraId="13EC9B80">
      <w:pPr>
        <w:pStyle w:val="23"/>
        <w:ind w:firstLine="84" w:firstLineChars="35"/>
      </w:pPr>
      <w:r>
        <w:t>遗忘门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r>
        <w:t xml:space="preserve">控制上一时刻信息的保留程度： </w:t>
      </w:r>
    </w:p>
    <w:p w14:paraId="77164547">
      <w:pPr>
        <w:pStyle w:val="23"/>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2C6CB572">
      <w:pPr>
        <w:pStyle w:val="23"/>
        <w:ind w:firstLine="482"/>
      </w:pPr>
      <w:r>
        <w:t xml:space="preserve">（2）输入门与候选状态（Input Gate and Candidate State），控制当前时刻信息的写入：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157"/>
      <w:bookmarkStart w:id="158" w:name="u9677dfe7"/>
    </w:p>
    <w:bookmarkEnd w:id="158"/>
    <w:p w14:paraId="6179AB9B">
      <w:pPr>
        <w:pStyle w:val="23"/>
        <w:ind w:firstLine="480"/>
      </w:pPr>
      <w:bookmarkStart w:id="159"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13B9474E">
      <w:pPr>
        <w:pStyle w:val="23"/>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45F147B0">
      <w:pPr>
        <w:pStyle w:val="23"/>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5458084C">
      <w:pPr>
        <w:pStyle w:val="23"/>
        <w:ind w:firstLine="482"/>
      </w:pPr>
      <w:r>
        <w:t xml:space="preserve">（3）细胞状态更新（Cell State Update）：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504331E3">
      <w:pPr>
        <w:pStyle w:val="23"/>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159"/>
    <w:p w14:paraId="3CDDA8FB">
      <w:pPr>
        <w:pStyle w:val="23"/>
        <w:ind w:firstLine="480"/>
      </w:pPr>
      <m:oMathPara>
        <m:oMath>
          <m:sSub>
            <w:bookmarkStart w:id="160" w:name="ua0a5d2e2"/>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1EA88505">
      <w:pPr>
        <w:pStyle w:val="23"/>
        <w:ind w:firstLine="482"/>
      </w:pPr>
      <w:r>
        <w:t xml:space="preserve">（4）输出门与隐藏状态（Output Gate and Hidden State）：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4203D081">
      <w:pPr>
        <w:pStyle w:val="23"/>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2762CDD7">
      <w:pPr>
        <w:pStyle w:val="23"/>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147F76F1">
      <w:pPr>
        <w:pStyle w:val="23"/>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7902BA1D">
      <w:pPr>
        <w:pStyle w:val="23"/>
        <w:ind w:firstLine="480"/>
      </w:pPr>
    </w:p>
    <w:bookmarkEnd w:id="160"/>
    <w:p w14:paraId="78AADE12">
      <w:pPr>
        <w:pStyle w:val="23"/>
        <w:ind w:firstLine="480"/>
      </w:pPr>
      <w:bookmarkStart w:id="161"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Pr>
          <w:rFonts w:ascii="宋体" w:hAnsi="宋体" w:cs="宋体"/>
          <w:vertAlign w:val="superscript"/>
        </w:rPr>
        <w:t>[6]</w:t>
      </w:r>
      <w:r>
        <w:t>。</w:t>
      </w:r>
      <w:r>
        <w:rPr>
          <w:rFonts w:hint="eastAsia"/>
        </w:rPr>
        <w:t>模型原理如</w:t>
      </w:r>
      <w:r>
        <w:fldChar w:fldCharType="begin"/>
      </w:r>
      <w:r>
        <w:instrText xml:space="preserve"> </w:instrText>
      </w:r>
      <w:r>
        <w:rPr>
          <w:rFonts w:hint="eastAsia"/>
        </w:rPr>
        <w:instrText xml:space="preserve">REF _Ref227195178 \h</w:instrText>
      </w:r>
      <w:r>
        <w:instrText xml:space="preserve">  \* MERGEFORMAT </w:instrText>
      </w:r>
      <w:r>
        <w:fldChar w:fldCharType="separate"/>
      </w:r>
      <w:r>
        <w:rPr>
          <w:rFonts w:hint="eastAsia"/>
        </w:rPr>
        <w:t>图2.</w:t>
      </w:r>
      <w:r>
        <w:t>2</w:t>
      </w:r>
      <w:r>
        <w:fldChar w:fldCharType="end"/>
      </w:r>
      <w:r>
        <w:rPr>
          <w:rFonts w:hint="eastAsia"/>
        </w:rPr>
        <w:t>所示</w:t>
      </w:r>
    </w:p>
    <w:p w14:paraId="4E165C56">
      <w:pPr>
        <w:pStyle w:val="23"/>
        <w:keepNext/>
        <w:ind w:firstLine="480"/>
        <w:jc w:val="center"/>
      </w:pPr>
      <w:r>
        <w:drawing>
          <wp:inline distT="0" distB="0" distL="114300" distR="114300">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3757627" cy="2731742"/>
                    </a:xfrm>
                    <a:prstGeom prst="rect">
                      <a:avLst/>
                    </a:prstGeom>
                    <a:noFill/>
                    <a:ln>
                      <a:noFill/>
                    </a:ln>
                  </pic:spPr>
                </pic:pic>
              </a:graphicData>
            </a:graphic>
          </wp:inline>
        </w:drawing>
      </w:r>
    </w:p>
    <w:p w14:paraId="4AE13C90">
      <w:pPr>
        <w:pStyle w:val="7"/>
        <w:jc w:val="center"/>
        <w:rPr>
          <w:rFonts w:hint="eastAsia" w:ascii="宋体" w:hAnsi="宋体" w:cs="Times New Roman" w:eastAsiaTheme="minorEastAsia"/>
          <w:sz w:val="21"/>
          <w:szCs w:val="24"/>
        </w:rPr>
      </w:pPr>
      <w:bookmarkStart w:id="162" w:name="_Ref227195178"/>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2</w:t>
      </w:r>
      <w:r>
        <w:rPr>
          <w:rFonts w:ascii="宋体" w:hAnsi="宋体" w:cs="Times New Roman" w:eastAsiaTheme="minorEastAsia"/>
          <w:sz w:val="21"/>
          <w:szCs w:val="24"/>
        </w:rPr>
        <w:fldChar w:fldCharType="end"/>
      </w:r>
      <w:bookmarkEnd w:id="162"/>
      <w:r>
        <w:rPr>
          <w:rFonts w:hint="eastAsia" w:ascii="宋体" w:hAnsi="宋体" w:cs="Times New Roman" w:eastAsiaTheme="minorEastAsia"/>
          <w:sz w:val="21"/>
          <w:szCs w:val="24"/>
        </w:rPr>
        <w:t xml:space="preserve"> LSTM 的结构图</w:t>
      </w:r>
    </w:p>
    <w:p w14:paraId="3DDD3AAD">
      <w:pPr>
        <w:pStyle w:val="23"/>
        <w:ind w:firstLine="480"/>
      </w:pPr>
    </w:p>
    <w:bookmarkEnd w:id="161"/>
    <w:p w14:paraId="6B20DAEF">
      <w:pPr>
        <w:pStyle w:val="22"/>
        <w:spacing w:before="156" w:after="156"/>
        <w:outlineLvl w:val="2"/>
      </w:pPr>
      <w:bookmarkStart w:id="163" w:name="f660a65a"/>
      <w:r>
        <w:t xml:space="preserve"> </w:t>
      </w:r>
      <w:bookmarkStart w:id="164" w:name="_Toc22501"/>
      <w:bookmarkStart w:id="165" w:name="_Toc1949"/>
      <w:bookmarkStart w:id="166" w:name="_Toc8739"/>
      <w:bookmarkStart w:id="167" w:name="_Toc227161701"/>
      <w:r>
        <w:t>门控循环单元（GRU）</w:t>
      </w:r>
      <w:bookmarkEnd w:id="164"/>
      <w:bookmarkEnd w:id="165"/>
      <w:bookmarkEnd w:id="166"/>
      <w:bookmarkEnd w:id="167"/>
    </w:p>
    <w:bookmarkEnd w:id="163"/>
    <w:p w14:paraId="667BE5BA">
      <w:pPr>
        <w:pStyle w:val="23"/>
        <w:ind w:firstLine="480"/>
      </w:pPr>
      <w:bookmarkStart w:id="168"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3A2907C8">
      <w:pPr>
        <w:pStyle w:val="23"/>
        <w:ind w:firstLine="480"/>
      </w:pPr>
      <w:r>
        <w:t>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$t$，GRU 的前向传播过程由以下几个核心机制构成：</w:t>
      </w:r>
    </w:p>
    <w:p w14:paraId="531C5D1F">
      <w:pPr>
        <w:pStyle w:val="23"/>
        <w:ind w:firstLine="482"/>
      </w:pPr>
      <w:r>
        <w:t xml:space="preserve">（1）重置门（Reset Gate），控制历史记忆的丢弃：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022D4376">
      <w:pPr>
        <w:pStyle w:val="23"/>
        <w:ind w:firstLine="482"/>
        <w:jc w:val="left"/>
      </w:pPr>
      <w:r>
        <w:t xml:space="preserve">（2）更新门（Update Gate），平衡历史与现在的比重：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1D81A723">
      <w:pPr>
        <w:pStyle w:val="23"/>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11F5B612">
      <w:pPr>
        <w:pStyle w:val="23"/>
        <w:ind w:firstLine="482"/>
      </w:pPr>
      <w:r>
        <w:t xml:space="preserve">（3）候选隐藏状态（Candidate Hidden State），构建当前新知：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1A569E8B">
      <w:pPr>
        <w:pStyle w:val="23"/>
        <w:ind w:firstLine="482"/>
      </w:pPr>
      <w:r>
        <w:t xml:space="preserve">（4）当前隐藏状态（Current Hidden State），实现最终输出：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080CF159">
      <w:pPr>
        <w:pStyle w:val="23"/>
        <w:ind w:firstLine="480"/>
      </w:pPr>
      <w:r>
        <w:rPr>
          <w:rFonts w:hint="eastAsia"/>
        </w:rPr>
        <w:t>模型原理</w:t>
      </w:r>
      <w:r>
        <w:t>如</w:t>
      </w:r>
      <w:r>
        <w:fldChar w:fldCharType="begin"/>
      </w:r>
      <w:r>
        <w:instrText xml:space="preserve"> </w:instrText>
      </w:r>
      <w:r>
        <w:rPr>
          <w:rFonts w:hint="eastAsia"/>
        </w:rPr>
        <w:instrText xml:space="preserve">REF _Ref227195279 \h</w:instrText>
      </w:r>
      <w:r>
        <w:instrText xml:space="preserve">  \* MERGEFORMAT </w:instrText>
      </w:r>
      <w:r>
        <w:fldChar w:fldCharType="separate"/>
      </w:r>
      <w:r>
        <w:rPr>
          <w:rFonts w:hint="eastAsia"/>
        </w:rPr>
        <w:t>图2.</w:t>
      </w:r>
      <w:r>
        <w:t>3</w:t>
      </w:r>
      <w:r>
        <w:fldChar w:fldCharType="end"/>
      </w:r>
      <w:r>
        <w:rPr>
          <w:rFonts w:hint="eastAsia"/>
        </w:rPr>
        <w:t>所示</w:t>
      </w:r>
    </w:p>
    <w:p w14:paraId="7393954E">
      <w:pPr>
        <w:pStyle w:val="23"/>
        <w:keepNext/>
        <w:ind w:firstLine="480"/>
        <w:jc w:val="center"/>
      </w:pPr>
      <w:r>
        <w:drawing>
          <wp:inline distT="0" distB="0" distL="0" distR="0">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7FD3D774">
      <w:pPr>
        <w:pStyle w:val="7"/>
        <w:jc w:val="center"/>
        <w:rPr>
          <w:rFonts w:hint="eastAsia" w:ascii="宋体" w:hAnsi="宋体" w:cs="Times New Roman" w:eastAsiaTheme="minorEastAsia"/>
          <w:sz w:val="21"/>
          <w:szCs w:val="24"/>
        </w:rPr>
      </w:pPr>
      <w:bookmarkStart w:id="169" w:name="_Ref2271952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3</w:t>
      </w:r>
      <w:r>
        <w:rPr>
          <w:rFonts w:ascii="宋体" w:hAnsi="宋体" w:cs="Times New Roman" w:eastAsiaTheme="minorEastAsia"/>
          <w:sz w:val="21"/>
          <w:szCs w:val="24"/>
        </w:rPr>
        <w:fldChar w:fldCharType="end"/>
      </w:r>
      <w:bookmarkEnd w:id="169"/>
      <w:r>
        <w:rPr>
          <w:rFonts w:hint="eastAsia" w:ascii="宋体" w:hAnsi="宋体" w:cs="Times New Roman" w:eastAsiaTheme="minorEastAsia"/>
          <w:sz w:val="21"/>
          <w:szCs w:val="24"/>
        </w:rPr>
        <w:t xml:space="preserve"> GRU 的结构图</w:t>
      </w:r>
    </w:p>
    <w:p w14:paraId="7CFD82BC">
      <w:pPr>
        <w:pStyle w:val="23"/>
        <w:ind w:firstLine="480"/>
      </w:pPr>
    </w:p>
    <w:bookmarkEnd w:id="168"/>
    <w:p w14:paraId="248D6168">
      <w:pPr>
        <w:pStyle w:val="22"/>
        <w:spacing w:before="156" w:after="156"/>
        <w:outlineLvl w:val="2"/>
      </w:pPr>
      <w:bookmarkStart w:id="170" w:name="0ba71926"/>
      <w:r>
        <w:t xml:space="preserve"> </w:t>
      </w:r>
      <w:bookmarkStart w:id="171" w:name="_Toc227161702"/>
      <w:bookmarkStart w:id="172" w:name="_Toc5976"/>
      <w:bookmarkStart w:id="173" w:name="_Toc6480"/>
      <w:bookmarkStart w:id="174" w:name="_Toc26485"/>
      <w:r>
        <w:t>双向门控循环单元（BiGRU）</w:t>
      </w:r>
      <w:bookmarkEnd w:id="171"/>
      <w:bookmarkEnd w:id="172"/>
      <w:bookmarkEnd w:id="173"/>
      <w:bookmarkEnd w:id="174"/>
    </w:p>
    <w:bookmarkEnd w:id="170"/>
    <w:p w14:paraId="5EDE970A">
      <w:pPr>
        <w:pStyle w:val="23"/>
        <w:ind w:firstLine="480"/>
      </w:pPr>
      <w:bookmarkStart w:id="175"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1C5546AF">
      <w:pPr>
        <w:pStyle w:val="23"/>
        <w:ind w:firstLine="480"/>
      </w:pPr>
      <w:r>
        <w:t>为了充分挖掘光伏数据中隐含的全局时空相关性，本文引入了双向 GRU（Bidirectional GRU, BiGRU）结构。BiGRU 采用两个相互独立、方向相反的 GRU 隐藏层对输入序列进行同步扫描：</w:t>
      </w:r>
    </w:p>
    <w:p w14:paraId="0E855835">
      <w:pPr>
        <w:pStyle w:val="23"/>
        <w:ind w:firstLine="482"/>
      </w:pPr>
      <w:r>
        <w:t xml:space="preserve">正向 GRU 层：按照时间正序 $t=1, 2, \dots, T$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2C95984F">
      <w:pPr>
        <w:pStyle w:val="23"/>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0200EB3D">
      <w:pPr>
        <w:pStyle w:val="23"/>
        <w:ind w:firstLine="482"/>
      </w:pPr>
      <w:r>
        <w:t xml:space="preserve">反向 GRU 层：按照时间逆序 $t=T, T-1, \dots, 1$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784D4325">
      <w:pPr>
        <w:pStyle w:val="23"/>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4715E74B">
      <w:pPr>
        <w:pStyle w:val="23"/>
        <w:ind w:firstLine="482"/>
      </w:pPr>
      <w:r>
        <w:t xml:space="preserve">特征拼接与输出：在每一个独立的时间步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2E56F499">
      <w:pPr>
        <w:pStyle w:val="23"/>
        <w:ind w:firstLine="48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oMath>
      </m:oMathPara>
    </w:p>
    <w:p w14:paraId="58F26EF1">
      <w:pPr>
        <w:pStyle w:val="23"/>
        <w:ind w:firstLine="482"/>
      </w:pPr>
      <w:r>
        <w:rPr>
          <w:b/>
          <w:bCs/>
        </w:rPr>
        <w:t>总结</w:t>
      </w:r>
      <w:r>
        <w:t>：BiGRU 网络彻底打破了单向模型在时间视野上的局限性。凭借这种双向扫描机制，模型在预测时刻不仅拥有过去的“记忆”，更具备了未来的“视野”。</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ascii="宋体" w:hAnsi="宋体" w:cs="宋体"/>
          <w:vertAlign w:val="superscript"/>
        </w:rPr>
        <w:t>[4</w:t>
      </w:r>
      <w:r>
        <w:rPr>
          <w:rFonts w:hint="eastAsia" w:ascii="宋体" w:hAnsi="宋体" w:cs="宋体"/>
          <w:vertAlign w:val="superscript"/>
        </w:rPr>
        <w:t>][</w:t>
      </w:r>
      <w:r>
        <w:rPr>
          <w:rFonts w:ascii="宋体" w:hAnsi="宋体" w:cs="宋体"/>
          <w:vertAlign w:val="superscript"/>
        </w:rPr>
        <w:t>5]</w:t>
      </w:r>
      <w:r>
        <w:rPr>
          <w:rFonts w:ascii="宋体" w:hAnsi="宋体" w:cs="宋体"/>
        </w:rPr>
        <w:t>。</w:t>
      </w:r>
      <w:r>
        <w:rPr>
          <w:rFonts w:hint="eastAsia" w:ascii="宋体" w:hAnsi="宋体" w:cs="宋体"/>
        </w:rPr>
        <w:t>模型原理如</w:t>
      </w:r>
      <w:r>
        <w:rPr>
          <w:rFonts w:hint="eastAsia" w:ascii="宋体" w:hAnsi="宋体" w:cs="宋体"/>
        </w:rPr>
        <w:fldChar w:fldCharType="begin"/>
      </w:r>
      <w:r>
        <w:rPr>
          <w:rFonts w:hint="eastAsia" w:ascii="宋体" w:hAnsi="宋体" w:cs="宋体"/>
        </w:rPr>
        <w:instrText xml:space="preserve"> REF _Ref227195343 \h </w:instrText>
      </w:r>
      <w:r>
        <w:rPr>
          <w:rFonts w:hint="eastAsia" w:ascii="宋体" w:hAnsi="宋体" w:cs="宋体"/>
        </w:rPr>
        <w:fldChar w:fldCharType="separate"/>
      </w:r>
      <w:r>
        <w:rPr>
          <w:rFonts w:hint="eastAsia" w:ascii="宋体" w:hAnsi="宋体" w:eastAsiaTheme="minorEastAsia"/>
          <w:sz w:val="21"/>
        </w:rPr>
        <w:t>图2.</w:t>
      </w:r>
      <w:r>
        <w:rPr>
          <w:rFonts w:ascii="宋体" w:hAnsi="宋体" w:eastAsiaTheme="minorEastAsia"/>
          <w:sz w:val="21"/>
        </w:rPr>
        <w:t>4</w:t>
      </w:r>
      <w:r>
        <w:rPr>
          <w:rFonts w:hint="eastAsia" w:ascii="宋体" w:hAnsi="宋体" w:cs="宋体"/>
        </w:rPr>
        <w:fldChar w:fldCharType="end"/>
      </w:r>
      <w:r>
        <w:rPr>
          <w:rFonts w:hint="eastAsia" w:ascii="宋体" w:hAnsi="宋体" w:cs="宋体"/>
        </w:rPr>
        <w:t>所示：</w:t>
      </w:r>
    </w:p>
    <w:p w14:paraId="6796F9D3">
      <w:pPr>
        <w:pStyle w:val="23"/>
        <w:keepNext/>
        <w:ind w:firstLine="480"/>
        <w:jc w:val="center"/>
      </w:pPr>
      <w:r>
        <w:rPr>
          <w:rFonts w:hint="eastAsia"/>
        </w:rPr>
        <w:drawing>
          <wp:inline distT="0" distB="0" distL="0" distR="0">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25FB1189">
      <w:pPr>
        <w:pStyle w:val="7"/>
        <w:jc w:val="center"/>
        <w:rPr>
          <w:rFonts w:hint="eastAsia" w:ascii="宋体" w:hAnsi="宋体" w:cs="Times New Roman" w:eastAsiaTheme="minorEastAsia"/>
          <w:sz w:val="21"/>
          <w:szCs w:val="24"/>
        </w:rPr>
      </w:pPr>
      <w:bookmarkStart w:id="176" w:name="_Ref227195343"/>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176"/>
      <w:r>
        <w:rPr>
          <w:rFonts w:hint="eastAsia" w:ascii="宋体" w:hAnsi="宋体" w:cs="Times New Roman" w:eastAsiaTheme="minorEastAsia"/>
          <w:sz w:val="21"/>
          <w:szCs w:val="24"/>
        </w:rPr>
        <w:t xml:space="preserve"> BiGRU的结构图</w:t>
      </w:r>
    </w:p>
    <w:bookmarkEnd w:id="175"/>
    <w:p w14:paraId="2BDC6E3E">
      <w:pPr>
        <w:widowControl/>
        <w:jc w:val="center"/>
      </w:pPr>
      <w:bookmarkStart w:id="177" w:name="u94e2b9a6"/>
    </w:p>
    <w:bookmarkEnd w:id="177"/>
    <w:p w14:paraId="427E0036">
      <w:pPr>
        <w:pStyle w:val="21"/>
        <w:spacing w:before="156" w:after="156"/>
      </w:pPr>
      <w:bookmarkStart w:id="178" w:name="e6a7cc54"/>
      <w:r>
        <w:t xml:space="preserve"> </w:t>
      </w:r>
      <w:bookmarkStart w:id="179" w:name="_Toc227161703"/>
      <w:bookmarkStart w:id="180" w:name="_Toc1008"/>
      <w:bookmarkStart w:id="181" w:name="_Toc5100"/>
      <w:bookmarkStart w:id="182" w:name="_Toc18304"/>
      <w:r>
        <w:t>数据预处理技术</w:t>
      </w:r>
      <w:bookmarkEnd w:id="179"/>
      <w:bookmarkEnd w:id="180"/>
      <w:bookmarkEnd w:id="181"/>
      <w:bookmarkEnd w:id="182"/>
    </w:p>
    <w:bookmarkEnd w:id="178"/>
    <w:p w14:paraId="76DB0097">
      <w:pPr>
        <w:pStyle w:val="23"/>
        <w:ind w:firstLine="480"/>
      </w:pPr>
      <w:bookmarkStart w:id="183" w:name="ud35c5d05"/>
      <w:r>
        <w:t>实地采集的光伏数据有时会出现缺失、异常、量纲不统一等问题，这些数据不能直接输入模型进行训练。因此我们需要经过一些预处理步骤使得模型更好地进行训练。</w:t>
      </w:r>
    </w:p>
    <w:bookmarkEnd w:id="183"/>
    <w:p w14:paraId="4AB28D0D">
      <w:pPr>
        <w:pStyle w:val="22"/>
        <w:spacing w:before="156" w:after="156"/>
        <w:outlineLvl w:val="2"/>
      </w:pPr>
      <w:bookmarkStart w:id="184" w:name="27125031"/>
      <w:r>
        <w:t xml:space="preserve"> </w:t>
      </w:r>
      <w:bookmarkStart w:id="185" w:name="_Toc29424"/>
      <w:bookmarkStart w:id="186" w:name="_Toc31212"/>
      <w:bookmarkStart w:id="187" w:name="_Toc227161704"/>
      <w:bookmarkStart w:id="188" w:name="_Toc13402"/>
      <w:r>
        <w:t>数据清洗</w:t>
      </w:r>
      <w:bookmarkEnd w:id="185"/>
      <w:bookmarkEnd w:id="186"/>
      <w:bookmarkEnd w:id="187"/>
      <w:bookmarkEnd w:id="188"/>
    </w:p>
    <w:bookmarkEnd w:id="184"/>
    <w:p w14:paraId="3EDA10A7">
      <w:pPr>
        <w:pStyle w:val="23"/>
        <w:ind w:firstLine="480"/>
      </w:pPr>
      <w:bookmarkStart w:id="189"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189"/>
    <w:p w14:paraId="4EBDA3D8">
      <w:pPr>
        <w:pStyle w:val="22"/>
        <w:spacing w:before="156" w:after="156"/>
        <w:outlineLvl w:val="2"/>
      </w:pPr>
      <w:bookmarkStart w:id="190" w:name="b2935f4e"/>
      <w:r>
        <w:t xml:space="preserve"> </w:t>
      </w:r>
      <w:bookmarkStart w:id="191" w:name="_Toc22435"/>
      <w:bookmarkStart w:id="192" w:name="_Toc31557"/>
      <w:bookmarkStart w:id="193" w:name="_Toc23373"/>
      <w:bookmarkStart w:id="194" w:name="_Toc227161705"/>
      <w:r>
        <w:t>数据归一化</w:t>
      </w:r>
      <w:bookmarkEnd w:id="191"/>
      <w:bookmarkEnd w:id="192"/>
      <w:bookmarkEnd w:id="193"/>
      <w:bookmarkEnd w:id="194"/>
    </w:p>
    <w:bookmarkEnd w:id="190"/>
    <w:p w14:paraId="5C4372C1">
      <w:pPr>
        <w:pStyle w:val="23"/>
        <w:ind w:firstLine="480"/>
      </w:pPr>
      <w:bookmarkStart w:id="195" w:name="u535f0ee4"/>
      <w:r>
        <w:t>在光伏功率短期预测任务中，输入模型的数据集通常呈现出多源异构的特点。为了消除异构特征之间的数值尺度差异，保障深度循环神经网络（如 BiGRU）的平稳训练，必须在特征工程阶段对原始数据进行严格的归一化处理。本文采用在深度学习领域应用最为广泛的最大最小归一化（Min-Max Scaling）方法。</w:t>
      </w:r>
    </w:p>
    <w:p w14:paraId="2296356D">
      <w:pPr>
        <w:pStyle w:val="23"/>
        <w:ind w:firstLine="480"/>
        <w:outlineLvl w:val="3"/>
      </w:pPr>
      <w:r>
        <w:t>（1）最大最小归一化的数学推导</w:t>
      </w:r>
    </w:p>
    <w:p w14:paraId="778C4BDE">
      <w:pPr>
        <w:pStyle w:val="23"/>
        <w:ind w:firstLine="480"/>
      </w:pPr>
      <w:r>
        <w:t>最大最小归一化是一种线性变换技术，其核心思想是通过平移和缩放，将原始数据矩阵中的所有特征值等比例地映射到特定的无量纲区间（通常为 [0, 1]）。对于给定的原始气象或功率特征序列 $x$，其归一化后的值 $x_{norm}$ 的计算公式如下：</w:t>
      </w:r>
    </w:p>
    <w:p w14:paraId="5C478978">
      <w:pPr>
        <w:pStyle w:val="23"/>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3F71AA51">
      <w:pPr>
        <w:pStyle w:val="23"/>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分别代表该特征序列在训练集样本空间中的全局最小值和全局最大值。</w:t>
      </w:r>
    </w:p>
    <w:p w14:paraId="069FCA95">
      <w:pPr>
        <w:pStyle w:val="23"/>
        <w:ind w:firstLine="480"/>
        <w:outlineLvl w:val="3"/>
      </w:pPr>
      <w:r>
        <w:t>（2）多源异构特征的“量纲孤岛”消除</w:t>
      </w:r>
    </w:p>
    <w:p w14:paraId="3B2B71D9">
      <w:pPr>
        <w:pStyle w:val="23"/>
        <w:ind w:firstLine="480"/>
      </w:pPr>
      <w:r>
        <w:t xml:space="preserve">在光伏微气象数据集中，不同特征的物理量纲和数值跨度存在巨大差异。例如，到达地表的短波辐射强度通常在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w:rPr>
                <w:rFonts w:ascii="Cambria Math" w:hAnsi="Cambria Math"/>
                <w:b w:val="0"/>
                <w:i w:val="0"/>
              </w:rPr>
              <m:t>W/m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之间剧烈波动，而地表气温可能在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w:rPr>
                <w:rFonts w:ascii="Cambria Math" w:hAnsi="Cambria Math"/>
                <w:b w:val="0"/>
                <w:i w:val="0"/>
              </w: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w:rPr>
                <w:rFonts w:ascii="Cambria Math" w:hAnsi="Cambria Math"/>
                <w:b w:val="0"/>
                <w:i w:val="0"/>
              </w:rPr>
              <m:t>C</m:t>
            </m:r>
            <m:ctrlPr>
              <w:rPr>
                <w:rFonts w:ascii="Cambria Math" w:hAnsi="Cambria Math"/>
                <w:i/>
              </w:rPr>
            </m:ctrlPr>
          </m:sup>
        </m:sSup>
      </m:oMath>
      <w:r>
        <w:t xml:space="preserve"> 之间变化，相对湿度则是 </w:t>
      </w:r>
      <m:oMath>
        <m:r>
          <m:rPr/>
          <w:rPr>
            <w:rFonts w:ascii="Cambria Math" w:hAnsi="Cambria Math"/>
          </w:rPr>
          <m:t xml:space="preserve">0 </m:t>
        </m:r>
        <m:r>
          <m:rPr>
            <m:sty m:val="p"/>
          </m:rPr>
          <w:rPr>
            <w:rFonts w:ascii="Cambria Math" w:hAnsi="Cambria Math" w:cs="Cambria Math"/>
          </w:rPr>
          <m:t>∼</m:t>
        </m:r>
        <m:r>
          <m:rPr/>
          <w:rPr>
            <w:rFonts w:ascii="Cambria Math" w:hAnsi="Cambria Math"/>
          </w:rPr>
          <m:t>100\%</m:t>
        </m:r>
      </m:oMath>
      <w:r>
        <w:t xml:space="preserve"> 的百分比数值。如果直接将这些未经缩放的原始数据喂入神经网络，数值绝对值较大的特征（如短波辐射）将会在矩阵乘法和损失函数计算中占据绝对主导地位，导致网络自动“忽视”数值绝对值较小但物理意义极其重要的特征（如气温或风速）。通过 Min-Max 归一化，所有特征均被压缩至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的统一尺度内，赋予了各维度特征在网络初始化阶段相等的权重起跑线，彻底消除了量纲差异带来的模型偏见。</w:t>
      </w:r>
    </w:p>
    <w:p w14:paraId="0CBB62C2">
      <w:pPr>
        <w:pStyle w:val="23"/>
        <w:ind w:firstLine="480"/>
        <w:outlineLvl w:val="3"/>
      </w:pPr>
      <w:r>
        <w:t>（3）提升深度学习优化效率的底层机理</w:t>
      </w:r>
    </w:p>
    <w:p w14:paraId="0BC8668D">
      <w:pPr>
        <w:pStyle w:val="23"/>
        <w:ind w:firstLine="480"/>
      </w:pPr>
      <w:r>
        <w:t>从反向传播与优化算法的底层几何视角来看，归一化对提升模型的收敛速度至关重要。当特征尺度差异巨大时，神经网络的损失函数空间（Loss Landscape）会呈现出一个极度狭长的椭圆形拓扑结构。在这种地形中，梯度下降算法在跨越等高线时会产生严重的“Z”字型震荡，导致收敛极其缓慢甚至陷入局部最优解（Local Minima）。经过最大最小归一化处理后，损失空间会被重塑为一个相对均匀的超球体结构，此时梯度的下降方向能够更精准地指向全局最优点，不仅极大地加速了 AdamW 等优化器的收敛速度，还显著降低了梯度爆炸（Exploding Gradient）的风险。此外，将输入数值限制在 [0, 1] 区间，还能有效防止输入过大导致 Sigmoid 或 Tanh 等激活函数进入“饱和区”，从而规避梯度消失问题。</w:t>
      </w:r>
    </w:p>
    <w:p w14:paraId="2212D9EF">
      <w:pPr>
        <w:pStyle w:val="23"/>
        <w:ind w:firstLine="480"/>
        <w:outlineLvl w:val="3"/>
      </w:pPr>
      <w:r>
        <w:t>（4）反归一化（Inverse Transform）的必要性</w:t>
      </w:r>
    </w:p>
    <w:p w14:paraId="483F6DD5">
      <w:pPr>
        <w:pStyle w:val="23"/>
        <w:ind w:firstLine="480"/>
      </w:pPr>
      <w:r>
        <w:t xml:space="preserve">需要特别指出的是，由于网络输出的预测功率值同样处于 </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t xml:space="preserve"> 的无量纲区间内，为了评估模型的实际物理预测精度（如计算 RMSE 和 MAE），在模型输出端必须应用反归一化操作，将预测值重新映射回兆瓦（MW）或千瓦（kW）的真实功率量纲。反归一化的数学表达为：</w:t>
      </w:r>
    </w:p>
    <w:p w14:paraId="44654D36">
      <w:pPr>
        <w:pStyle w:val="23"/>
        <w:ind w:firstLine="480"/>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real</m:t>
                  </m:r>
                  <m:ctrlPr>
                    <w:rPr>
                      <w:rFonts w:ascii="Cambria Math" w:hAnsi="Cambria Math"/>
                      <w:i/>
                    </w:rPr>
                  </m:ctrlPr>
                </m:sub>
              </m:sSub>
              <m:ctrlPr>
                <w:rPr>
                  <w:rFonts w:ascii="Cambria Math" w:hAnsi="Cambria Math"/>
                </w:rPr>
              </m:ctrlPr>
            </m:e>
          </m:acc>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norm</m:t>
                  </m:r>
                  <m:ctrlPr>
                    <w:rPr>
                      <w:rFonts w:ascii="Cambria Math" w:hAnsi="Cambria Math"/>
                      <w:i/>
                    </w:rPr>
                  </m:ctrlPr>
                </m:sub>
              </m:sSub>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oMath>
      </m:oMathPara>
    </w:p>
    <w:p w14:paraId="7D4FD95F">
      <w:pPr>
        <w:pStyle w:val="23"/>
        <w:ind w:firstLine="480"/>
      </w:pPr>
      <w:r>
        <w:t>通过这种“先映射缩放，后还原量纲”的严谨闭环数据处理流程，模型在保障了内部张量运算稳定性的同时，也确保了最终预测结果在工程应用上的直观性与准确性。</w:t>
      </w:r>
    </w:p>
    <w:bookmarkEnd w:id="195"/>
    <w:p w14:paraId="7B52F9A9">
      <w:pPr>
        <w:pStyle w:val="19"/>
      </w:pPr>
      <w:bookmarkStart w:id="196" w:name="_Toc227161706"/>
      <w:bookmarkStart w:id="197" w:name="_Toc7109"/>
      <w:bookmarkStart w:id="198" w:name="_Toc18233"/>
      <w:bookmarkStart w:id="199" w:name="_Toc8351"/>
      <w:bookmarkStart w:id="200" w:name="a8abfe54"/>
      <w:r>
        <w:rPr>
          <w:rFonts w:hint="eastAsia"/>
        </w:rPr>
        <w:t>基于 EMD-BiGRU 的光伏功率预测模型设计</w:t>
      </w:r>
      <w:bookmarkEnd w:id="196"/>
      <w:bookmarkEnd w:id="197"/>
      <w:bookmarkEnd w:id="198"/>
      <w:bookmarkEnd w:id="199"/>
    </w:p>
    <w:bookmarkEnd w:id="200"/>
    <w:p w14:paraId="3940B4D1">
      <w:pPr>
        <w:pStyle w:val="21"/>
        <w:spacing w:before="156" w:after="156"/>
      </w:pPr>
      <w:bookmarkStart w:id="201" w:name="66c8ad1e"/>
      <w:r>
        <w:t xml:space="preserve"> </w:t>
      </w:r>
      <w:bookmarkStart w:id="202" w:name="_Toc227161707"/>
      <w:bookmarkStart w:id="203" w:name="_Toc17844"/>
      <w:bookmarkStart w:id="204" w:name="_Toc21050"/>
      <w:bookmarkStart w:id="205" w:name="_Toc23058"/>
      <w:r>
        <w:t>模型整体框架</w:t>
      </w:r>
      <w:bookmarkEnd w:id="202"/>
      <w:bookmarkEnd w:id="203"/>
      <w:bookmarkEnd w:id="204"/>
      <w:bookmarkEnd w:id="205"/>
    </w:p>
    <w:bookmarkEnd w:id="201"/>
    <w:p w14:paraId="0265897A">
      <w:pPr>
        <w:pStyle w:val="23"/>
        <w:ind w:firstLine="480"/>
      </w:pPr>
      <w:bookmarkStart w:id="206" w:name="u2f2a1a44"/>
      <w:r>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EMD）与双向门控循环单元（BiGRU）深度融合的组合预测模型（EMD-BiGRU）。</w:t>
      </w:r>
    </w:p>
    <w:p w14:paraId="0C57AEBE">
      <w:pPr>
        <w:pStyle w:val="23"/>
        <w:ind w:firstLine="480"/>
      </w:pPr>
      <w:r>
        <w:rPr>
          <w:rFonts w:ascii="宋体" w:hAnsi="宋体" w:cs="宋体"/>
        </w:rPr>
        <w:t>该组合模型严格遵循“分解—预测—融合”的整体范式，这也是目前深度学习解决复杂新能源时序预测的主流且高效的策略，旨在通过“分而治之”的手段最大限度地挖掘数据中的深层映射规律</w:t>
      </w:r>
      <w:r>
        <w:rPr>
          <w:rFonts w:ascii="宋体" w:hAnsi="宋体" w:cs="宋体"/>
          <w:vertAlign w:val="superscript"/>
        </w:rPr>
        <w:t>[3]</w:t>
      </w:r>
      <w:r>
        <w:rPr>
          <w:rFonts w:ascii="宋体" w:hAnsi="宋体" w:cs="宋体"/>
        </w:rPr>
        <w:t>。</w:t>
      </w:r>
      <w:r>
        <w:t>模型的前期构建与运转机制可细化为以下几个核心实施阶段：</w:t>
      </w:r>
    </w:p>
    <w:p w14:paraId="1AD762F4">
      <w:pPr>
        <w:pStyle w:val="23"/>
        <w:ind w:firstLine="482"/>
      </w:pPr>
      <w:r>
        <w:rPr>
          <w:rFonts w:ascii="宋体" w:hAnsi="宋体" w:cs="宋体"/>
        </w:rPr>
        <w:t>首先，进行多源数据感知与高标准预处理。同</w:t>
      </w:r>
      <w:r>
        <w:t>步采集原始的光伏输出功率序列及对应的多维气象特征（如温湿度、辐射量等）。由于多源数据存在严重的量纲差异与潜在噪声，模型首先对原始序列执行严格的数据清洗与异常值剔除，并采用最大最小归一化（Min-Max Scaling）处理，为后续的深度网络训练提供尺度统一、质量可靠的数据基座。</w:t>
      </w:r>
    </w:p>
    <w:p w14:paraId="53FBF063">
      <w:pPr>
        <w:pStyle w:val="23"/>
        <w:ind w:firstLine="482"/>
      </w:pPr>
      <w:r>
        <w:rPr>
          <w:rFonts w:ascii="宋体" w:hAnsi="宋体" w:cs="宋体"/>
        </w:rPr>
        <w:t>其次，执行基于 EMD 的序列降维与特征解耦。</w:t>
      </w:r>
      <w:r>
        <w:t>针对预处理后的非平稳光伏功率序列，引入 EMD 算法进行自适应筛分，将其剥离为若干个频率自高向低排列的本征模函数（IMF）分量以及一个反映长远演变趋势的残余分量。这一步骤有效滤除了原始信号中的无序物理波动，将极度复杂的整体时序映射任务，巧妙拆解为多个规律性更强、振幅更加平稳的子序列预测任务。</w:t>
      </w:r>
    </w:p>
    <w:p w14:paraId="0341FB0B">
      <w:pPr>
        <w:pStyle w:val="23"/>
        <w:ind w:firstLine="482"/>
      </w:pPr>
      <w:r>
        <w:t>随后，进入双向时序独立建模与参数动态寻优阶段。将</w:t>
      </w:r>
      <w:r>
        <w:rPr>
          <w:rFonts w:ascii="宋体" w:hAnsi="宋体" w:cs="宋体"/>
        </w:rPr>
        <w:t>分解得到的每一个独立分</w:t>
      </w:r>
      <w:r>
        <w:t>量与环境气象特征矩阵进行特征拼接，分别作为独立的输入源送入并行的 BiGRU 网络中。BiGRU 凭借其正反双向的门控机制，能够充分捕捉各频段信号的历史依赖与未来上下文趋势。在此网络训练过程中，持续通过验证集的损失函数反馈来动态调整和优化 BiGRU 网络的超参数（如输入时间步长、隐藏层神经元节点数、批量大小等），以确保每一个独立的子模型均能拟合至最佳泛化状态。</w:t>
      </w:r>
    </w:p>
    <w:p w14:paraId="1548948A">
      <w:pPr>
        <w:pStyle w:val="23"/>
        <w:ind w:firstLine="482"/>
      </w:pPr>
      <w:r>
        <w:t>最后，完成预测结果的无损重构与反归一化。当并行的双向网络完成对各个频段子序列的预测后，模型在输出端将各分量预测结果进行反归一化还原，并运用线性叠加原理进行融合，从而输出最终的真实物理量纲下的短期光伏功率预测值。</w:t>
      </w:r>
    </w:p>
    <w:p w14:paraId="1C7726D0">
      <w:pPr>
        <w:pStyle w:val="23"/>
        <w:ind w:firstLine="480"/>
      </w:pPr>
      <w:r>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2218B848">
      <w:pPr>
        <w:pStyle w:val="23"/>
        <w:ind w:firstLine="480"/>
      </w:pPr>
      <w:r>
        <w:t>从具体的网络拓扑与工程实现角度来看，模型执行流程如下：</w:t>
      </w:r>
    </w:p>
    <w:p w14:paraId="296256E8">
      <w:pPr>
        <w:pStyle w:val="23"/>
        <w:numPr>
          <w:ilvl w:val="0"/>
          <w:numId w:val="4"/>
        </w:numPr>
        <w:ind w:firstLineChars="0"/>
      </w:pPr>
      <w:r>
        <w:t xml:space="preserve">数据并行分解层：对原始光伏功率序列执行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 以及趋势分量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w:t>
      </w:r>
    </w:p>
    <w:p w14:paraId="3CACD753">
      <w:pPr>
        <w:pStyle w:val="23"/>
        <w:numPr>
          <w:ilvl w:val="0"/>
          <w:numId w:val="4"/>
        </w:numPr>
        <w:ind w:firstLineChars="0"/>
      </w:pPr>
      <w:r>
        <w:t xml:space="preserve">特征高维重构层：将气象特征矩阵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meteo</m:t>
            </m:r>
            <m:ctrlPr>
              <w:rPr>
                <w:rFonts w:ascii="Cambria Math" w:hAnsi="Cambria Math"/>
              </w:rPr>
            </m:ctrlPr>
          </m:sub>
        </m:sSub>
      </m:oMath>
      <w:r>
        <w:t xml:space="preserve"> 与分解后的各分量拼接。</w:t>
      </w:r>
    </w:p>
    <w:p w14:paraId="4DCD6B36">
      <w:pPr>
        <w:pStyle w:val="23"/>
        <w:numPr>
          <w:ilvl w:val="0"/>
          <w:numId w:val="4"/>
        </w:numPr>
        <w:ind w:firstLineChars="0"/>
      </w:pPr>
      <w:r>
        <w:t>双向时序提特征层：使用两层隐藏单元的 BiGRU 网络提取深层动态特征。</w:t>
      </w:r>
    </w:p>
    <w:p w14:paraId="5C96CB36">
      <w:pPr>
        <w:pStyle w:val="23"/>
        <w:numPr>
          <w:ilvl w:val="0"/>
          <w:numId w:val="4"/>
        </w:numPr>
        <w:ind w:firstLineChars="0"/>
      </w:pPr>
      <w:r>
        <w:t xml:space="preserve">全连接映射与叠加层：运用线性叠加原理重构光伏功率预测值 </w:t>
      </w:r>
      <m:oMath>
        <m:acc>
          <m:accPr>
            <m:ctrlPr>
              <w:rPr>
                <w:rFonts w:ascii="Cambria Math" w:hAnsi="Cambria Math"/>
              </w:rPr>
            </m:ctrlPr>
          </m:acc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1FFEB33B">
      <w:pPr>
        <w:pStyle w:val="23"/>
        <w:ind w:left="-200" w:firstLineChars="0"/>
      </w:pPr>
      <w:r>
        <w:rPr>
          <w:rFonts w:hint="eastAsia"/>
        </w:rPr>
        <w:t>预测模型整体结构如</w:t>
      </w:r>
      <w:r>
        <w:fldChar w:fldCharType="begin"/>
      </w:r>
      <w:r>
        <w:instrText xml:space="preserve"> </w:instrText>
      </w:r>
      <w:r>
        <w:rPr>
          <w:rFonts w:hint="eastAsia"/>
        </w:rPr>
        <w:instrText xml:space="preserve">REF _Ref227195460 \h</w:instrText>
      </w:r>
      <w:r>
        <w:instrText xml:space="preserve">  \* MERGEFORMAT </w:instrText>
      </w:r>
      <w:r>
        <w:fldChar w:fldCharType="separate"/>
      </w:r>
      <w:r>
        <w:rPr>
          <w:rFonts w:hint="eastAsia"/>
        </w:rPr>
        <w:t>图3.</w:t>
      </w:r>
      <w:r>
        <w:t>1</w:t>
      </w:r>
      <w:r>
        <w:fldChar w:fldCharType="end"/>
      </w:r>
      <w:r>
        <w:rPr>
          <w:rFonts w:hint="eastAsia"/>
        </w:rPr>
        <w:t>所示：</w:t>
      </w:r>
    </w:p>
    <w:p w14:paraId="092EA565">
      <w:pPr>
        <w:pStyle w:val="23"/>
        <w:keepNext/>
        <w:ind w:left="720" w:firstLine="0" w:firstLineChars="0"/>
      </w:pPr>
      <w:r>
        <w:rPr>
          <w:rFonts w:hint="eastAsia"/>
        </w:rPr>
        <w:drawing>
          <wp:inline distT="0" distB="0" distL="114300" distR="11430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2"/>
                    <a:stretch>
                      <a:fillRect/>
                    </a:stretch>
                  </pic:blipFill>
                  <pic:spPr>
                    <a:xfrm>
                      <a:off x="0" y="0"/>
                      <a:ext cx="5758815" cy="1990725"/>
                    </a:xfrm>
                    <a:prstGeom prst="rect">
                      <a:avLst/>
                    </a:prstGeom>
                  </pic:spPr>
                </pic:pic>
              </a:graphicData>
            </a:graphic>
          </wp:inline>
        </w:drawing>
      </w:r>
    </w:p>
    <w:p w14:paraId="5D8BC7B1">
      <w:pPr>
        <w:pStyle w:val="7"/>
        <w:jc w:val="center"/>
        <w:rPr>
          <w:rFonts w:hint="eastAsia" w:ascii="宋体" w:hAnsi="宋体" w:cs="Times New Roman" w:eastAsiaTheme="minorEastAsia"/>
          <w:sz w:val="21"/>
          <w:szCs w:val="24"/>
        </w:rPr>
      </w:pPr>
      <w:bookmarkStart w:id="207" w:name="_Ref227195460"/>
      <w:r>
        <w:rPr>
          <w:rFonts w:hint="eastAsia" w:ascii="宋体" w:hAnsi="宋体" w:cs="Times New Roman" w:eastAsiaTheme="minorEastAsia"/>
          <w:sz w:val="21"/>
          <w:szCs w:val="24"/>
        </w:rPr>
        <w:t>图3.</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图3.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07"/>
      <w:r>
        <w:rPr>
          <w:rFonts w:hint="eastAsia" w:ascii="宋体" w:hAnsi="宋体" w:cs="Times New Roman" w:eastAsiaTheme="minorEastAsia"/>
          <w:sz w:val="21"/>
          <w:szCs w:val="24"/>
        </w:rPr>
        <w:t xml:space="preserve"> EMD-BiGRU 预测模型的结构图</w:t>
      </w:r>
    </w:p>
    <w:bookmarkEnd w:id="206"/>
    <w:p w14:paraId="5678AD63">
      <w:pPr>
        <w:pStyle w:val="21"/>
        <w:spacing w:before="156" w:after="156"/>
      </w:pPr>
      <w:bookmarkStart w:id="208" w:name="_Toc227161708"/>
      <w:bookmarkStart w:id="209" w:name="_Toc5690"/>
      <w:bookmarkStart w:id="210" w:name="_Toc12203"/>
      <w:bookmarkStart w:id="211" w:name="_Toc10672"/>
      <w:bookmarkStart w:id="212" w:name="d81e8e3e"/>
      <w:r>
        <w:t>数据处理流程</w:t>
      </w:r>
      <w:bookmarkEnd w:id="208"/>
      <w:bookmarkEnd w:id="209"/>
      <w:bookmarkEnd w:id="210"/>
      <w:bookmarkEnd w:id="211"/>
    </w:p>
    <w:bookmarkEnd w:id="212"/>
    <w:p w14:paraId="6EA091DE">
      <w:pPr>
        <w:pStyle w:val="23"/>
        <w:ind w:firstLine="480"/>
      </w:pPr>
      <w:bookmarkStart w:id="213" w:name="u160c1fc2"/>
      <w:r>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2108E8DD">
      <w:pPr>
        <w:pStyle w:val="23"/>
        <w:ind w:firstLine="482"/>
      </w:pPr>
      <w:r>
        <w:t>（1）数据清洗与异常检测：首先读取实测的光伏功率时间序列及同步气象数据。针对设备掉线产生的缺失值，采用线性插值法（Linear Interpolation）进行填补；针对不符合物理规律的极端异常值（如夜间出现正功率、正午出现零功率或负值），通过孤立森林（Isolation Forest）算法结合物理阈值进行清洗，确保数据的真实性与连续性。</w:t>
      </w:r>
    </w:p>
    <w:p w14:paraId="6DDA1975">
      <w:pPr>
        <w:pStyle w:val="23"/>
        <w:ind w:firstLine="482"/>
      </w:pPr>
      <w:r>
        <w:t>（2）多维气象特征融合：光伏功率的波动是多物理场强耦合的结果。本文精确提取了到达地表的短波辐射、2米气温、地表气温及相对湿度等核心气象特征，将其与历史光伏功率纵向拼接，构建出高维特征矩阵。</w:t>
      </w:r>
    </w:p>
    <w:p w14:paraId="630FA007">
      <w:pPr>
        <w:pStyle w:val="23"/>
        <w:ind w:firstLine="482"/>
      </w:pPr>
      <w:r>
        <w:t xml:space="preserve">（3）量纲消除与归一化：由于辐射（通常高达上千 </w:t>
      </w:r>
      <m:oMath>
        <m:sSup>
          <m:sSupPr>
            <m:ctrlPr>
              <w:rPr>
                <w:rFonts w:ascii="Cambria Math" w:hAnsi="Cambria Math"/>
                <w:i/>
              </w:rPr>
            </m:ctrlPr>
          </m:sSupPr>
          <m:e>
            <m:r>
              <m:rPr>
                <m:nor/>
                <m:sty m:val="p"/>
              </m:rPr>
              <w:rPr>
                <w:rFonts w:ascii="Cambria Math" w:hAnsi="Cambria Math"/>
                <w:b w:val="0"/>
                <w:i w:val="0"/>
              </w:rPr>
              <m:t>W/m</m:t>
            </m:r>
            <m:ctrlPr>
              <w:rPr>
                <w:rFonts w:ascii="Cambria Math" w:hAnsi="Cambria Math"/>
              </w:rPr>
            </m:ctrlPr>
          </m:e>
          <m:sup>
            <m:r>
              <m:rPr/>
              <w:rPr>
                <w:rFonts w:ascii="Cambria Math" w:hAnsi="Cambria Math"/>
              </w:rPr>
              <m:t>2</m:t>
            </m:r>
            <m:ctrlPr>
              <w:rPr>
                <w:rFonts w:ascii="Cambria Math" w:hAnsi="Cambria Math"/>
                <w:i/>
              </w:rPr>
            </m:ctrlPr>
          </m:sup>
        </m:sSup>
      </m:oMath>
      <w:r>
        <w:t xml:space="preserve">）与相对湿度（百分比）等特征在数值绝对尺度上存在巨大差异，为避免大数值特征在反向传播中主导梯度更新，本文采用最大最小归一化（Min-Max Scaling）将所有特征严格映射至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区间。这一标准化流程彻底消除了量纲壁垒，显著提升了网络权重的寻优效率和训练稳定性。</w:t>
      </w:r>
    </w:p>
    <w:p w14:paraId="697B1690">
      <w:pPr>
        <w:pStyle w:val="23"/>
        <w:ind w:firstLine="482"/>
      </w:pPr>
      <w:r>
        <w:t xml:space="preserve">（4）数据集科学划分：为充分评估模型的泛化能力并防止过拟合，将清洗且归一化后的全量数据按照 </w:t>
      </w:r>
      <m:oMath>
        <m:r>
          <m:rPr/>
          <w:rPr>
            <w:rFonts w:ascii="Cambria Math" w:hAnsi="Cambria Math"/>
          </w:rPr>
          <m:t xml:space="preserve">7 : </m:t>
        </m:r>
        <m:r>
          <m:rPr/>
          <w:rPr>
            <w:rFonts w:hint="eastAsia" w:ascii="Cambria Math" w:hAnsi="Cambria Math"/>
          </w:rPr>
          <m:t>3</m:t>
        </m:r>
      </m:oMath>
      <w:r>
        <w:t xml:space="preserve"> 的黄金比例，严格按时间先后顺序划分为训练集（用于网络参数更新）、验证集（用于早停机制监控模型状态）以及测试集（用于最终预测性能的客观评估）。</w:t>
      </w:r>
    </w:p>
    <w:p w14:paraId="321D9357">
      <w:pPr>
        <w:pStyle w:val="23"/>
        <w:ind w:firstLine="480"/>
      </w:pPr>
      <w:r>
        <w:t xml:space="preserve"> 时序数据的滑动窗口转换机制</w:t>
      </w:r>
    </w:p>
    <w:p w14:paraId="33AA4234">
      <w:pPr>
        <w:pStyle w:val="23"/>
        <w:ind w:firstLine="480"/>
      </w:pPr>
      <w:r>
        <w:t>在将气象特征和光伏功率输入神经网络前，必须转换为监督学习张量。本文采用滑动时间窗口法。</w:t>
      </w:r>
    </w:p>
    <w:p w14:paraId="25BA9750">
      <w:pPr>
        <w:pStyle w:val="21"/>
        <w:spacing w:before="156" w:after="156"/>
      </w:pPr>
      <w:r>
        <w:t xml:space="preserve"> </w:t>
      </w:r>
      <w:bookmarkStart w:id="214" w:name="_Toc15969"/>
      <w:bookmarkStart w:id="215" w:name="_Toc227161709"/>
      <w:bookmarkStart w:id="216" w:name="_Toc1103"/>
      <w:bookmarkStart w:id="217" w:name="_Toc23616"/>
      <w:r>
        <w:t>时序数据的滑动窗口转换机制</w:t>
      </w:r>
      <w:bookmarkEnd w:id="214"/>
      <w:bookmarkEnd w:id="215"/>
      <w:bookmarkEnd w:id="216"/>
      <w:bookmarkEnd w:id="217"/>
    </w:p>
    <w:p w14:paraId="024BAA6A">
      <w:pPr>
        <w:pStyle w:val="23"/>
        <w:ind w:firstLine="480"/>
      </w:pPr>
      <w:r>
        <w:t>深度循环神经网络（如 BiGRU）属于监督学习模型，其前向传播过程要求输入必须是具备 [样本数, 时间步长, 特征维度] 结构的三维张量（Tensor）。然而，原始的气象与功率数据是以一维或二维流式序列存在的。为了建立过去气象演变与未来功率输出之间的非线性映射，本文采用滑动时间窗口法（Sliding Window Approach）对数据进行有监督张量重构。</w:t>
      </w:r>
    </w:p>
    <w:p w14:paraId="2BD54986">
      <w:pPr>
        <w:pStyle w:val="23"/>
        <w:ind w:firstLine="480"/>
      </w:pPr>
      <w:r>
        <w:t xml:space="preserve">设定历史观测时间步长为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oMath>
      <w:r>
        <w:t xml:space="preserve">，预测目标步长为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rPr>
          <w:rFonts w:hint="eastAsia"/>
        </w:rPr>
        <w:t>。</w:t>
      </w:r>
      <w:r>
        <w:t xml:space="preserve">在时间轴上设置步长（Stride）为 1 的滑动窗口，对于任意当前时刻 </w:t>
      </w:r>
      <m:oMath>
        <m:r>
          <m:rPr/>
          <w:rPr>
            <w:rFonts w:ascii="Cambria Math" w:hAnsi="Cambria Math"/>
          </w:rPr>
          <m:t>t</m:t>
        </m:r>
      </m:oMath>
      <w:r>
        <w:t xml:space="preserve">，模型提取从 </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r>
          <m:rPr/>
          <w:rPr>
            <w:rFonts w:ascii="Cambria Math" w:hAnsi="Cambria Math"/>
          </w:rPr>
          <m:t>+1</m:t>
        </m:r>
      </m:oMath>
      <w:r>
        <w:t xml:space="preserve"> 到 </w:t>
      </w:r>
      <m:oMath>
        <m:r>
          <m:rPr/>
          <w:rPr>
            <w:rFonts w:ascii="Cambria Math" w:hAnsi="Cambria Math"/>
          </w:rPr>
          <m:t>t</m:t>
        </m:r>
      </m:oMath>
      <w:r>
        <w:t xml:space="preserve"> 时刻的二维特征矩阵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作为网络输入：</w:t>
      </w:r>
    </w:p>
    <w:p w14:paraId="3072692F">
      <w:pPr>
        <w:pStyle w:val="23"/>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
              <m:ctrlPr>
                <w:rPr>
                  <w:rFonts w:ascii="Cambria Math" w:hAnsi="Cambria Math"/>
                </w:rPr>
              </m:ctrlPr>
            </m:e>
          </m:d>
        </m:oMath>
      </m:oMathPara>
    </w:p>
    <w:p w14:paraId="3039EFD7">
      <w:pPr>
        <w:pStyle w:val="23"/>
        <w:ind w:firstLine="480"/>
      </w:pPr>
      <w:r>
        <w:t xml:space="preserve">其中 </w:t>
      </w:r>
      <m:oMath>
        <m:r>
          <m:rPr/>
          <w:rPr>
            <w:rFonts w:ascii="Cambria Math" w:hAnsi="Cambria Math"/>
          </w:rPr>
          <m:t>F</m:t>
        </m:r>
      </m:oMath>
      <w:r>
        <w:t xml:space="preserve"> 为气象与功率的联合特征维度。同时，将时刻 </w:t>
      </w:r>
      <m:oMath>
        <m:r>
          <m:rPr/>
          <w:rPr>
            <w:rFonts w:ascii="Cambria Math" w:hAnsi="Cambria Math"/>
          </w:rPr>
          <m:t>t+1</m:t>
        </m:r>
      </m:oMath>
      <w:r>
        <w:t xml:space="preserve"> 到 </w:t>
      </w:r>
      <m:oMath>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t xml:space="preserve"> 的真实功率值提取为标签向量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39B2D4B0">
      <w:pPr>
        <w:pStyle w:val="23"/>
        <w:ind w:firstLine="480"/>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oMath>
      </m:oMathPara>
    </w:p>
    <w:p w14:paraId="1C9625A7">
      <w:pPr>
        <w:pStyle w:val="23"/>
        <w:ind w:firstLine="480"/>
      </w:pPr>
      <w:r>
        <w:t xml:space="preserve">通过这种高频滑动的重构机制，原本连续的时间序列被切割并堆叠为成千上万个相互独立又包含时序演变逻辑的特征-标签对 </w:t>
      </w:r>
      <m:oMath>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，极大丰富了深度学习网络的训练样本空间。</w:t>
      </w:r>
    </w:p>
    <w:p w14:paraId="472F369C">
      <w:pPr>
        <w:pStyle w:val="23"/>
        <w:ind w:firstLine="480"/>
      </w:pPr>
    </w:p>
    <w:p w14:paraId="794EC853">
      <w:pPr>
        <w:pStyle w:val="21"/>
        <w:spacing w:before="156" w:after="156"/>
      </w:pPr>
      <w:r>
        <w:t xml:space="preserve"> </w:t>
      </w:r>
      <w:bookmarkStart w:id="218" w:name="_Toc227161710"/>
      <w:bookmarkStart w:id="219" w:name="_Toc1793"/>
      <w:bookmarkStart w:id="220" w:name="_Toc31552"/>
      <w:bookmarkStart w:id="221" w:name="_Toc20320"/>
      <w:r>
        <w:t>损失函数设计与网络参数寻优</w:t>
      </w:r>
      <w:bookmarkEnd w:id="218"/>
      <w:bookmarkEnd w:id="219"/>
      <w:bookmarkEnd w:id="220"/>
      <w:bookmarkEnd w:id="221"/>
    </w:p>
    <w:p w14:paraId="5E680732">
      <w:pPr>
        <w:pStyle w:val="23"/>
        <w:ind w:firstLine="480"/>
      </w:pPr>
      <w:r>
        <w:t>在深度神经网络的参数优化过程中，损失函数（Loss Function）决定了梯度下降的方向，而优化器（Optimizer）决定了步伐的大小。光伏功率序列中常包含因云团骤聚等极端天气引发的瞬态离群点，传统的均方误差（MSE）对大误差极其敏感，容易导致梯度爆炸；而平均绝对误差（MAE）在误差极小处梯度不平滑，难以收敛到全局最优点。</w:t>
      </w:r>
    </w:p>
    <w:p w14:paraId="57E8EA7F">
      <w:pPr>
        <w:pStyle w:val="23"/>
        <w:ind w:firstLine="480"/>
      </w:pPr>
      <w:r>
        <w:t xml:space="preserve">为克服上述缺陷，本文创新性地采用 </w:t>
      </w:r>
      <w:r>
        <w:rPr>
          <w:b/>
          <w:bCs/>
        </w:rPr>
        <w:t>Huber Loss</w:t>
      </w:r>
      <w:r>
        <w:t xml:space="preserve"> 函数作为网络训练的评判标准。它结合了 MSE 与 MAE 的双重优势。</w:t>
      </w:r>
    </w:p>
    <w:p w14:paraId="1D78E21B">
      <w:pPr>
        <w:pStyle w:val="23"/>
        <w:ind w:firstLine="480"/>
      </w:pPr>
      <w:r>
        <w:t xml:space="preserve">当预测误差较小（绝对值 </w:t>
      </w:r>
      <m:oMath>
        <m:r>
          <m:rPr>
            <m:sty m:val="p"/>
          </m:rPr>
          <w:rPr>
            <w:rFonts w:hint="eastAsia" w:ascii="Cambria Math" w:hAnsi="Cambria Math"/>
          </w:rPr>
          <m:t>≤</m:t>
        </m:r>
        <m:r>
          <m:rPr>
            <m:sty m:val="p"/>
          </m:rPr>
          <w:rPr>
            <w:rFonts w:ascii="Cambria Math" w:hAnsi="Cambria Math"/>
          </w:rPr>
          <m:t>δ</m:t>
        </m:r>
      </m:oMath>
      <w:r>
        <w:t>）时，呈现为二次函数，使模型在接近最优点时梯度平滑衰减，易于精准收敛：</w:t>
      </w:r>
    </w:p>
    <w:p w14:paraId="4186E2BA">
      <w:pPr>
        <w:pStyle w:val="23"/>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6EB4C6E5">
      <w:pPr>
        <w:pStyle w:val="23"/>
        <w:ind w:firstLine="480"/>
      </w:pPr>
      <w:r>
        <w:t xml:space="preserve">当预测误差较大（绝对值 </w:t>
      </w:r>
      <m:oMath>
        <m:r>
          <m:rP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为平滑截断阈值），呈现为线性函数，有效限制了极端天气离群点产生的异常大梯度，赋予模型极强的抗噪鲁棒性：</w:t>
      </w:r>
    </w:p>
    <w:p w14:paraId="283F2A6A">
      <w:pPr>
        <w:pStyle w:val="23"/>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1A4AFBA7">
      <w:pPr>
        <w:pStyle w:val="23"/>
        <w:ind w:firstLine="480"/>
      </w:pPr>
      <w:r>
        <w:t xml:space="preserve">在优化策略方面，本文摒弃了常规的 Adam 算法，选用了具有权重衰减解耦机制的高阶优化器AdamW (Adam with Weight Decay)。传统的 L2 正则化在 Adam 中与自适应学习率耦合，往往导致对深层网络参数的惩罚力度不足。AdamW 则在参数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oMath>
      <w:r>
        <w:t xml:space="preserve"> 的更新步骤中，显式地独立减去权重衰减项。其参数更新法则为：</w:t>
      </w:r>
    </w:p>
    <w:p w14:paraId="49A4F2A9">
      <w:pPr>
        <w:pStyle w:val="23"/>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den>
              </m:f>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57FE11B0">
      <w:pPr>
        <w:pStyle w:val="23"/>
        <w:ind w:firstLine="480"/>
      </w:pPr>
      <w:r>
        <w:t>式中，</w:t>
      </w:r>
      <m:oMath>
        <m:r>
          <m:rPr>
            <m:sty m:val="p"/>
          </m:rPr>
          <w:rPr>
            <w:rFonts w:ascii="Cambria Math" w:hAnsi="Cambria Math"/>
          </w:rPr>
          <m:t>η</m:t>
        </m:r>
      </m:oMath>
      <w:r>
        <w:t xml:space="preserve"> 为全局学习率；</w:t>
      </w:r>
      <m:oMath>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和 </w:t>
      </w:r>
      <m:oMath>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分别为偏差校正后的一阶动量（控制梯度惯性方向）和二阶动量（自适应调节各参数学习步长）；</w:t>
      </w:r>
      <m:oMath>
        <m:r>
          <m:rPr>
            <m:sty m:val="p"/>
          </m:rPr>
          <w:rPr>
            <w:rFonts w:ascii="Cambria Math" w:hAnsi="Cambria Math"/>
          </w:rPr>
          <m:t>ϵ</m:t>
        </m:r>
      </m:oMath>
      <w:r>
        <w:t xml:space="preserve"> 为防止分母为零的极小常数；</w:t>
      </w:r>
      <m:oMath>
        <m:r>
          <m:rPr>
            <m:sty m:val="p"/>
          </m:rPr>
          <w:rPr>
            <w:rFonts w:ascii="Cambria Math" w:hAnsi="Cambria Math"/>
          </w:rPr>
          <m:t>λ</m:t>
        </m:r>
      </m:oMath>
      <w:r>
        <w:t xml:space="preserve"> 为独立的权重衰减系数。AdamW 的引入有效抑制了深层 BiGRU 网络在处理高维气象特征时的过拟合现象，使得模型在测试集上表现出更优异的泛化边界。</w:t>
      </w:r>
    </w:p>
    <w:p w14:paraId="48F9740A">
      <w:pPr>
        <w:pStyle w:val="23"/>
        <w:ind w:firstLine="480"/>
      </w:pPr>
    </w:p>
    <w:bookmarkEnd w:id="213"/>
    <w:p w14:paraId="24E57B13">
      <w:pPr>
        <w:pStyle w:val="21"/>
        <w:spacing w:before="156" w:after="156"/>
      </w:pPr>
      <w:bookmarkStart w:id="222" w:name="69328ed8"/>
      <w:r>
        <w:t xml:space="preserve"> </w:t>
      </w:r>
      <w:bookmarkStart w:id="223" w:name="_Toc25972"/>
      <w:bookmarkStart w:id="224" w:name="_Toc227161711"/>
      <w:bookmarkStart w:id="225" w:name="_Toc25122"/>
      <w:bookmarkStart w:id="226" w:name="_Toc17548"/>
      <w:r>
        <w:t>EMD 分解实现</w:t>
      </w:r>
      <w:bookmarkEnd w:id="223"/>
      <w:bookmarkEnd w:id="224"/>
      <w:bookmarkEnd w:id="225"/>
      <w:bookmarkEnd w:id="226"/>
    </w:p>
    <w:bookmarkEnd w:id="222"/>
    <w:p w14:paraId="12AF60C5">
      <w:pPr>
        <w:pStyle w:val="23"/>
        <w:ind w:firstLine="480"/>
      </w:pPr>
      <w:bookmarkStart w:id="227" w:name="u17bfc0c0"/>
      <w:r>
        <w:t>经验模态分解是本文模型的关键处理步骤，其作用是将非光伏历史功率平稳序列转化，使其分为多种不同IMF分量，这种分量是相对平稳的。</w:t>
      </w:r>
    </w:p>
    <w:bookmarkEnd w:id="227"/>
    <w:p w14:paraId="6D202960">
      <w:pPr>
        <w:pStyle w:val="23"/>
        <w:ind w:firstLine="480"/>
      </w:pPr>
      <w:bookmarkStart w:id="228"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228"/>
    <w:p w14:paraId="05E0307B">
      <w:pPr>
        <w:pStyle w:val="23"/>
        <w:ind w:firstLine="480"/>
      </w:pPr>
      <w:bookmarkStart w:id="229" w:name="ue6e9f018"/>
      <w:r>
        <w:t>处理后的各分量具有更明显的周期性与平稳性，能够显著降低BiGRU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bookmarkEnd w:id="229"/>
    <w:p w14:paraId="04B081AE">
      <w:pPr>
        <w:pStyle w:val="23"/>
        <w:ind w:firstLine="480"/>
      </w:pPr>
      <w:bookmarkStart w:id="230" w:name="u6d6b5aa6"/>
      <w:r>
        <w:t>EMD分解完成后，关于光伏功率的IMF分量会与原始气象特征数据合并，形成最终的模型输入。</w:t>
      </w:r>
    </w:p>
    <w:bookmarkEnd w:id="230"/>
    <w:p w14:paraId="026B9D06">
      <w:pPr>
        <w:pStyle w:val="21"/>
        <w:spacing w:before="156" w:after="156"/>
      </w:pPr>
      <w:bookmarkStart w:id="231" w:name="133b8f8c"/>
      <w:r>
        <w:t xml:space="preserve"> </w:t>
      </w:r>
      <w:bookmarkStart w:id="232" w:name="_Toc227161712"/>
      <w:bookmarkStart w:id="233" w:name="_Toc7530"/>
      <w:bookmarkStart w:id="234" w:name="_Toc18750"/>
      <w:bookmarkStart w:id="235" w:name="_Toc32717"/>
      <w:r>
        <w:t>BiGRU 神经网络结构</w:t>
      </w:r>
      <w:r>
        <w:rPr>
          <w:rFonts w:hint="eastAsia"/>
        </w:rPr>
        <w:t>实现</w:t>
      </w:r>
      <w:bookmarkEnd w:id="232"/>
      <w:bookmarkEnd w:id="233"/>
      <w:bookmarkEnd w:id="234"/>
      <w:bookmarkEnd w:id="235"/>
    </w:p>
    <w:bookmarkEnd w:id="231"/>
    <w:p w14:paraId="7573941E">
      <w:pPr>
        <w:pStyle w:val="23"/>
        <w:ind w:firstLine="480"/>
      </w:pPr>
      <w:bookmarkStart w:id="236" w:name="u2c2d8b9c"/>
      <w:r>
        <w:t>光伏功率预测本质上是一个受多变量气象因素高度耦合影响的非线性时间序列回归问题。为了精准捕捉序列中的动态变化规律，本文设计并实现了一个拓扑结构严密、信息传递高效的端到端（End-to-End）BiGRU 深度预测网络。</w:t>
      </w:r>
    </w:p>
    <w:p w14:paraId="6E0631CB">
      <w:pPr>
        <w:pStyle w:val="22"/>
        <w:spacing w:before="156" w:after="156"/>
        <w:outlineLvl w:val="2"/>
      </w:pPr>
      <w:bookmarkStart w:id="237" w:name="_Toc6295"/>
      <w:bookmarkStart w:id="238" w:name="_Toc27973"/>
      <w:bookmarkStart w:id="239" w:name="_Toc227161713"/>
      <w:bookmarkStart w:id="240" w:name="_Toc28524"/>
      <w:bookmarkStart w:id="241" w:name="b177aa7b"/>
      <w:r>
        <w:t>网络整体结构</w:t>
      </w:r>
      <w:bookmarkEnd w:id="237"/>
      <w:bookmarkEnd w:id="238"/>
      <w:bookmarkEnd w:id="239"/>
      <w:bookmarkEnd w:id="240"/>
    </w:p>
    <w:bookmarkEnd w:id="241"/>
    <w:p w14:paraId="7EB12311">
      <w:pPr>
        <w:pStyle w:val="23"/>
        <w:ind w:firstLine="480"/>
      </w:pPr>
      <w:r>
        <w:t>本文所构建的预测网络遵循经典的“输入层 — 隐藏层 — 输出层”级联架构，各层之间分工明确、数据流转顺畅，具体结构功能解析如下：</w:t>
      </w:r>
    </w:p>
    <w:p w14:paraId="6C9B39C9">
      <w:pPr>
        <w:pStyle w:val="24"/>
        <w:bidi w:val="0"/>
      </w:pPr>
      <w:r>
        <w:t>输入层（Input Layer）：数据感知与张量构建</w:t>
      </w:r>
    </w:p>
    <w:p w14:paraId="1A04C28B">
      <w:pPr>
        <w:pStyle w:val="23"/>
        <w:ind w:firstLine="480"/>
      </w:pPr>
      <w:r>
        <w:t>该层负责接收经过特征工程处理后的多维多源数据。在输入网络前，流式的气象与功率数据被严格重构为满足深度学习底层张量运算要求的三维矩阵形式，即 [样本数 (Batch Size), 时间步长 (Time Steps), 特征维度 (Features)]。这种三维立体结构完好地保留了数据在时间轴上的时序演变轨迹以及在特征维度上的空间耦合关系，为后续的特征提取提供了高质量的原始信息。</w:t>
      </w:r>
    </w:p>
    <w:p w14:paraId="43A7FEFA">
      <w:pPr>
        <w:pStyle w:val="24"/>
        <w:bidi w:val="0"/>
        <w:rPr>
          <w:lang w:val="en-US" w:eastAsia="zh-CN"/>
        </w:rPr>
      </w:pPr>
      <w:r>
        <w:rPr>
          <w:lang w:val="en-US" w:eastAsia="zh-CN"/>
        </w:rPr>
        <w:t>隐藏层（Hidden Layer）：双向时序特征深度提取</w:t>
      </w:r>
    </w:p>
    <w:p w14:paraId="1EED844E">
      <w:pPr>
        <w:pStyle w:val="23"/>
        <w:ind w:firstLine="480"/>
      </w:pPr>
      <w:r>
        <w:t>作为整个模型的核心“特征提取引擎”，该层采用了双向门控循环单元（BiGRU）结构。传统的单向循环神经网络仅能顺着时间轴提取“过去对现在”的历史状态；而本文的 BiGRU 内部包含正向和反向两个平行的 GRU 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18F962C1">
      <w:pPr>
        <w:pStyle w:val="24"/>
        <w:bidi w:val="0"/>
      </w:pPr>
      <w:r>
        <w:t>输出层（Output Layer）：特征降维与功率映射</w:t>
      </w:r>
    </w:p>
    <w:p w14:paraId="324E455B">
      <w:pPr>
        <w:pStyle w:val="23"/>
        <w:ind w:firstLine="480"/>
      </w:pPr>
      <w:r>
        <w:t>隐藏层输出的高维抽象特征向量将被送入由全连接层（Fully Connected Layer / Dense Layer）构成的输出层。全连接层充当了高级回归器的角色，通过线性权重矩阵和偏置项，将高维的时序特征空间平滑地降维投影到目标预测空间，最终输出下一时刻（或未来多个时间步）的标量光伏功率预测值。</w:t>
      </w:r>
    </w:p>
    <w:p w14:paraId="7FC77338">
      <w:pPr>
        <w:pStyle w:val="22"/>
        <w:spacing w:before="156" w:after="156"/>
        <w:outlineLvl w:val="2"/>
      </w:pPr>
      <w:bookmarkStart w:id="242" w:name="_Toc21681"/>
      <w:bookmarkStart w:id="243" w:name="_Toc227161714"/>
      <w:bookmarkStart w:id="244" w:name="_Toc364"/>
      <w:bookmarkStart w:id="245" w:name="_Toc10076"/>
      <w:r>
        <w:t>神经元与层数设置</w:t>
      </w:r>
      <w:bookmarkEnd w:id="242"/>
      <w:bookmarkEnd w:id="243"/>
      <w:bookmarkEnd w:id="244"/>
      <w:bookmarkEnd w:id="245"/>
    </w:p>
    <w:p w14:paraId="219C3045">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在深度学习模型中，网络架构的超参数（Hyperparameters）设定直接决定了模型的特征表达容量（Capacity）与寻优路径的稳定性。为确保网络在复杂光伏数据集上具备强大的泛化能力，并严格控制计算开销，本文经过多轮的交叉验证与参数空间调试，确立了以下核心参数配置：</w:t>
      </w:r>
    </w:p>
    <w:p w14:paraId="7FF48388">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隐藏层神经元规模（Hidden Size = 64）设定 BiGRU 隐藏层的单元数为 64。该规模在确保网络具备足够维度的特征刻画能力的同时，有效避免了因参数量冗余而导致的“维度灾难”和显存溢出，是预测精度与计算代价之间的最佳平衡点。</w:t>
      </w:r>
    </w:p>
    <w:p w14:paraId="6266E8A6">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激活函数机制（Activation = ReLU）：在全连接映射层中引入线性整流函数（ReLU）。相较于传统的 Sigmoid 或 Tanh 函数，ReLU 具备单侧抑制特性与线性非饱和性。它能够极大缓解深度网络在反向传播过程中的梯度消失（Vanishing Gradient）问题，显著加速了网络的整体收敛进程。</w:t>
      </w:r>
    </w:p>
    <w:p w14:paraId="20F8060B">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优化算法选择（Optimizer = Adam）：采用自适应矩估计（Adam）优化器驱动模型训练。Adam 能够基于损失梯度的历史一阶动量和二阶动量，动态且自适应地为网络中的每一个权重参数分配独立的学习率。这一特性使得模型在平缓的误差曲面上能加速逼近，在陡峭的峡谷地形中能有效防止震荡。</w:t>
      </w:r>
    </w:p>
    <w:p w14:paraId="660C9063">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目标损失函数（Loss = MSE）：选用均方误差（Mean Squared Error）作为网络反向传播的评判标准。MSE 能够对模型预测输出与真实光伏功率之间的较大绝对偏差施加平方级别的严厉惩罚，促使网络权重在训练初期快速向全局最优点靠拢。</w:t>
      </w:r>
    </w:p>
    <w:p w14:paraId="0B0C0F3E">
      <w:pPr>
        <w:pStyle w:val="23"/>
        <w:keepNext w:val="0"/>
        <w:keepLines w:val="0"/>
        <w:pageBreakBefore w:val="0"/>
        <w:widowControl w:val="0"/>
        <w:numPr>
          <w:ilvl w:val="0"/>
          <w:numId w:val="5"/>
        </w:numPr>
        <w:kinsoku/>
        <w:wordWrap/>
        <w:overflowPunct/>
        <w:topLinePunct w:val="0"/>
        <w:autoSpaceDE/>
        <w:autoSpaceDN/>
        <w:bidi w:val="0"/>
        <w:adjustRightInd/>
        <w:snapToGrid/>
        <w:ind w:left="0" w:leftChars="0" w:firstLine="425" w:firstLineChars="0"/>
        <w:textAlignment w:val="auto"/>
      </w:pPr>
      <w:r>
        <w:t xml:space="preserve">训练周期与学习率（Epochs = 100, LR = 0.001）：初始全局学习率设定为 </w:t>
      </w:r>
      <m:oMath>
        <m:r>
          <m:rPr/>
          <w:rPr>
            <w:rFonts w:ascii="Cambria Math" w:hAnsi="Cambria Math"/>
          </w:rPr>
          <m:t>0.001</m:t>
        </m:r>
      </m:oMath>
      <w:r>
        <w:t>，训练总轮次设定为 100 轮。</w:t>
      </w:r>
    </w:p>
    <w:p w14:paraId="68B178DD">
      <w:pPr>
        <w:pStyle w:val="23"/>
        <w:ind w:firstLine="482"/>
      </w:pPr>
      <w:r>
        <w:rPr>
          <w:b/>
          <w:bCs/>
        </w:rPr>
        <w:t>综合评价：</w:t>
      </w:r>
    </w:p>
    <w:p w14:paraId="7B76B117">
      <w:pPr>
        <w:pStyle w:val="23"/>
        <w:ind w:firstLine="480"/>
      </w:pPr>
      <w:r>
        <w:t>上述严密的超参数组合，保证了模型在梯度下降过程中步伐的稳健性与连贯性。</w:t>
      </w:r>
      <w:r>
        <w:rPr>
          <w:rFonts w:ascii="宋体" w:hAnsi="宋体" w:cs="宋体"/>
        </w:rPr>
        <w:t>适中的神经元数量配合自适应学习率优化，使得网络在充分挖掘非平稳气象数据内蕴规律的同时，展现出极高的训练效率，这与当前引入复杂机制（如注意力机制、卷积网络等）以提升 BiGRU 特征提取能力的思路不谋而合</w:t>
      </w:r>
      <w:r>
        <w:rPr>
          <w:rFonts w:ascii="宋体" w:hAnsi="宋体" w:cs="宋体"/>
          <w:vertAlign w:val="superscript"/>
        </w:rPr>
        <w:t>[5]</w:t>
      </w:r>
      <w:r>
        <w:rPr>
          <w:rFonts w:ascii="宋体" w:hAnsi="宋体" w:cs="宋体"/>
        </w:rPr>
        <w:t>。</w:t>
      </w:r>
      <w:r>
        <w:t>更重要的是，该配置从根本上限制了网络对训练集局部噪声的过度拟合，使得模型在面对未知的测试集（极端天气工况）时，依然不易出现过拟合（Overfitting）崩溃，保持了卓越的预测稳定性。</w:t>
      </w:r>
    </w:p>
    <w:p w14:paraId="1374B466">
      <w:pPr>
        <w:pStyle w:val="23"/>
        <w:ind w:firstLine="480"/>
      </w:pPr>
    </w:p>
    <w:bookmarkEnd w:id="236"/>
    <w:p w14:paraId="7F395609">
      <w:pPr>
        <w:pStyle w:val="21"/>
        <w:spacing w:before="156" w:after="156"/>
      </w:pPr>
      <w:bookmarkStart w:id="246" w:name="_Toc6817"/>
      <w:bookmarkStart w:id="247" w:name="_Toc227161715"/>
      <w:bookmarkStart w:id="248" w:name="_Toc14598"/>
      <w:bookmarkStart w:id="249" w:name="_Toc2320"/>
      <w:bookmarkStart w:id="250" w:name="96151f49"/>
      <w:r>
        <w:t>模型训练与参数优化</w:t>
      </w:r>
      <w:bookmarkEnd w:id="246"/>
      <w:bookmarkEnd w:id="247"/>
      <w:bookmarkEnd w:id="248"/>
      <w:bookmarkEnd w:id="249"/>
    </w:p>
    <w:p w14:paraId="55A6A52F">
      <w:pPr>
        <w:pStyle w:val="23"/>
        <w:ind w:firstLine="480"/>
      </w:pPr>
      <w:r>
        <w:t>深度学习模型的非线性映射能力高度依赖于科学的训练机制与合理的超参数空间搜索。为了使 EMD-BiGRU 模型能够精准拟合气象因素与光伏功率之间的复杂时空演变规律，本文设计了严谨的有监督训练流程与参数寻优策略。</w:t>
      </w:r>
    </w:p>
    <w:bookmarkEnd w:id="250"/>
    <w:p w14:paraId="751BD71C">
      <w:pPr>
        <w:pStyle w:val="22"/>
        <w:spacing w:before="156" w:after="156"/>
        <w:outlineLvl w:val="2"/>
      </w:pPr>
      <w:bookmarkStart w:id="251" w:name="f9bcf763"/>
      <w:r>
        <w:t xml:space="preserve"> </w:t>
      </w:r>
      <w:bookmarkStart w:id="252" w:name="_Toc30846"/>
      <w:bookmarkStart w:id="253" w:name="_Toc227161716"/>
      <w:bookmarkStart w:id="254" w:name="_Toc11674"/>
      <w:bookmarkStart w:id="255" w:name="_Toc12299"/>
      <w:r>
        <w:t>模型训练流程</w:t>
      </w:r>
      <w:bookmarkEnd w:id="252"/>
      <w:bookmarkEnd w:id="253"/>
      <w:bookmarkEnd w:id="254"/>
      <w:bookmarkEnd w:id="255"/>
    </w:p>
    <w:bookmarkEnd w:id="251"/>
    <w:p w14:paraId="4818419C">
      <w:pPr>
        <w:pStyle w:val="23"/>
        <w:ind w:firstLine="480"/>
      </w:pPr>
      <w:bookmarkStart w:id="256" w:name="c511b78e"/>
      <w:r>
        <w:t>本研究中的 BiGRU 网络训练采用端到端（End-to-End）的有监督学习（Supervised Learning）范式，基于随时间反向传播算法（Backpropagation Through Time, BPTT）进行参数的迭代寻优。具体的闭环训练流程如下：</w:t>
      </w:r>
    </w:p>
    <w:p w14:paraId="6599E200">
      <w:pPr>
        <w:pStyle w:val="23"/>
        <w:keepNext w:val="0"/>
        <w:keepLines w:val="0"/>
        <w:pageBreakBefore w:val="0"/>
        <w:widowControl w:val="0"/>
        <w:numPr>
          <w:ilvl w:val="0"/>
          <w:numId w:val="6"/>
        </w:numPr>
        <w:tabs>
          <w:tab w:val="left" w:pos="-1"/>
          <w:tab w:val="clear" w:pos="420"/>
        </w:tabs>
        <w:kinsoku/>
        <w:wordWrap/>
        <w:overflowPunct/>
        <w:topLinePunct w:val="0"/>
        <w:autoSpaceDE/>
        <w:autoSpaceDN/>
        <w:bidi w:val="0"/>
        <w:adjustRightInd/>
        <w:snapToGrid/>
        <w:ind w:left="0" w:leftChars="0" w:firstLine="425" w:firstLineChars="0"/>
        <w:textAlignment w:val="auto"/>
      </w:pPr>
      <w:r>
        <w:t>网络初始化：在训练伊始，采用 Xavier 或 Kaiming 初始化策略对 BiGRU 网络的权重矩阵（Weight Matrices）和偏置向量（Bias Vectors）进行随机赋值，以打破网络对称性并防止在训练初期出现梯度消失或梯度爆炸现象。</w:t>
      </w:r>
    </w:p>
    <w:p w14:paraId="5B7FFC28">
      <w:pPr>
        <w:pStyle w:val="23"/>
        <w:keepNext w:val="0"/>
        <w:keepLines w:val="0"/>
        <w:pageBreakBefore w:val="0"/>
        <w:widowControl w:val="0"/>
        <w:numPr>
          <w:ilvl w:val="0"/>
          <w:numId w:val="6"/>
        </w:numPr>
        <w:tabs>
          <w:tab w:val="left" w:pos="-1"/>
          <w:tab w:val="clear" w:pos="420"/>
        </w:tabs>
        <w:kinsoku/>
        <w:wordWrap/>
        <w:overflowPunct/>
        <w:topLinePunct w:val="0"/>
        <w:autoSpaceDE/>
        <w:autoSpaceDN/>
        <w:bidi w:val="0"/>
        <w:adjustRightInd/>
        <w:snapToGrid/>
        <w:ind w:left="0" w:leftChars="0" w:firstLine="425" w:firstLineChars="0"/>
        <w:textAlignment w:val="auto"/>
      </w:pPr>
      <w:r>
        <w:rPr>
          <w:b/>
          <w:bCs/>
        </w:rPr>
        <w:t>前向特征传播</w:t>
      </w:r>
      <w:r>
        <w:t>：将划分好的训练集三维时序张量按批次（Batch）输入网络。数据依次流经双向门控隐藏层进行时序上下文特征提取，最终通过全连接层映射，输出当前网络状态下的光伏功率预测值。</w:t>
      </w:r>
    </w:p>
    <w:p w14:paraId="57F9626C">
      <w:pPr>
        <w:pStyle w:val="23"/>
        <w:keepNext w:val="0"/>
        <w:keepLines w:val="0"/>
        <w:pageBreakBefore w:val="0"/>
        <w:widowControl w:val="0"/>
        <w:numPr>
          <w:ilvl w:val="0"/>
          <w:numId w:val="6"/>
        </w:numPr>
        <w:tabs>
          <w:tab w:val="left" w:pos="-1"/>
          <w:tab w:val="clear" w:pos="420"/>
        </w:tabs>
        <w:kinsoku/>
        <w:wordWrap/>
        <w:overflowPunct/>
        <w:topLinePunct w:val="0"/>
        <w:autoSpaceDE/>
        <w:autoSpaceDN/>
        <w:bidi w:val="0"/>
        <w:adjustRightInd/>
        <w:snapToGrid/>
        <w:ind w:left="0" w:leftChars="0" w:firstLine="425" w:firstLineChars="0"/>
        <w:textAlignment w:val="auto"/>
      </w:pPr>
      <w:r>
        <w:rPr>
          <w:b/>
          <w:bCs/>
        </w:rPr>
        <w:t>损失函数计算</w:t>
      </w:r>
      <w:r>
        <w:t>：在输出端，计算网络预测值与真实功率标签之间的均方误差（Mean Squared Error, MSE）。该损失函数通过量化预测值与真实值之间的欧氏距离平方，精准评估当前模型前向传播的全局偏差程度。</w:t>
      </w:r>
    </w:p>
    <w:p w14:paraId="1541A58D">
      <w:pPr>
        <w:pStyle w:val="23"/>
        <w:keepNext w:val="0"/>
        <w:keepLines w:val="0"/>
        <w:pageBreakBefore w:val="0"/>
        <w:widowControl w:val="0"/>
        <w:numPr>
          <w:ilvl w:val="0"/>
          <w:numId w:val="6"/>
        </w:numPr>
        <w:tabs>
          <w:tab w:val="left" w:pos="-1"/>
          <w:tab w:val="clear" w:pos="420"/>
        </w:tabs>
        <w:kinsoku/>
        <w:wordWrap/>
        <w:overflowPunct/>
        <w:topLinePunct w:val="0"/>
        <w:autoSpaceDE/>
        <w:autoSpaceDN/>
        <w:bidi w:val="0"/>
        <w:adjustRightInd/>
        <w:snapToGrid/>
        <w:ind w:left="0" w:leftChars="0" w:firstLine="425" w:firstLineChars="0"/>
        <w:textAlignment w:val="auto"/>
      </w:pPr>
      <w:r>
        <w:rPr>
          <w:b/>
          <w:bCs/>
        </w:rPr>
        <w:t>反向传播与权重更新</w:t>
      </w:r>
      <w:r>
        <w:t>：根据链式求导法则（Chain Rule），计算损失函数对网络中各个可学习参数的偏导数（梯度）。随后，调用 Adam（自适应矩估计）优化器，结合梯度的一阶动量和二阶动量，自适应地更新网络权重，使损失函数值向全局最小值的方向沿着梯度下降。</w:t>
      </w:r>
    </w:p>
    <w:p w14:paraId="1278BD4F">
      <w:pPr>
        <w:pStyle w:val="23"/>
        <w:keepNext w:val="0"/>
        <w:keepLines w:val="0"/>
        <w:pageBreakBefore w:val="0"/>
        <w:widowControl w:val="0"/>
        <w:numPr>
          <w:ilvl w:val="0"/>
          <w:numId w:val="6"/>
        </w:numPr>
        <w:tabs>
          <w:tab w:val="left" w:pos="-1"/>
          <w:tab w:val="clear" w:pos="420"/>
        </w:tabs>
        <w:kinsoku/>
        <w:wordWrap/>
        <w:overflowPunct/>
        <w:topLinePunct w:val="0"/>
        <w:autoSpaceDE/>
        <w:autoSpaceDN/>
        <w:bidi w:val="0"/>
        <w:adjustRightInd/>
        <w:snapToGrid/>
        <w:ind w:left="0" w:leftChars="0" w:firstLine="425" w:firstLineChars="0"/>
        <w:textAlignment w:val="auto"/>
      </w:pPr>
      <w:r>
        <w:rPr>
          <w:b/>
          <w:bCs/>
        </w:rPr>
        <w:t>迭代终止条件</w:t>
      </w:r>
      <w:r>
        <w:t>：不断重复上述前向与反向传播过程，直至网络达到预设的最大训练轮次（Epochs），或在验证集上的损失连续多个轮次不再下降（触发早停机制 Early Stopping），从而结束训练并保存最优模型权重。</w:t>
      </w:r>
    </w:p>
    <w:bookmarkEnd w:id="256"/>
    <w:p w14:paraId="7222D962">
      <w:pPr>
        <w:pStyle w:val="22"/>
        <w:spacing w:before="156" w:after="156"/>
        <w:outlineLvl w:val="2"/>
      </w:pPr>
      <w:bookmarkStart w:id="257" w:name="ucb8e5677"/>
      <w:r>
        <w:t xml:space="preserve"> </w:t>
      </w:r>
      <w:bookmarkStart w:id="258" w:name="_Toc30800"/>
      <w:bookmarkStart w:id="259" w:name="_Toc28798"/>
      <w:bookmarkStart w:id="260" w:name="_Toc32754"/>
      <w:bookmarkStart w:id="261" w:name="_Toc227161717"/>
      <w:r>
        <w:t>超参数选择依据</w:t>
      </w:r>
      <w:bookmarkEnd w:id="258"/>
      <w:bookmarkEnd w:id="259"/>
      <w:bookmarkEnd w:id="260"/>
      <w:bookmarkEnd w:id="261"/>
    </w:p>
    <w:p w14:paraId="3DFA8182">
      <w:pPr>
        <w:pStyle w:val="23"/>
        <w:ind w:firstLine="480"/>
      </w:pPr>
      <w:r>
        <w:t>深度神经网络的超参数配置直接决定了模型的特征表达容量（Capacity）与寻优空间的拓扑结构。为了获取在验证集上泛化误差最低的参数组合，本文采用控制变量法与网格搜索（Grid Search）思想，对输入时间步长、隐藏层神经元数量、学习率以及批次大小（Batch Size）等关键架构参数进行了多轮次的对比交叉实验。</w:t>
      </w:r>
    </w:p>
    <w:p w14:paraId="4E472A46">
      <w:pPr>
        <w:pStyle w:val="23"/>
        <w:ind w:firstLine="480"/>
      </w:pPr>
      <w:r>
        <w:t>通过详尽的实验比对与理论分析，本文确立了如下最优参数配置及其科学依据：</w:t>
      </w:r>
    </w:p>
    <w:p w14:paraId="1B2D954D">
      <w:pPr>
        <w:pStyle w:val="23"/>
        <w:ind w:firstLine="480"/>
      </w:pPr>
      <w:r>
        <w:rPr>
          <w:rFonts w:hint="eastAsia"/>
        </w:rPr>
        <w:t xml:space="preserve">（1） </w:t>
      </w:r>
      <w:r>
        <w:t>时间步长（Time Steps）：本文结合原始数据的采样频率，将输入时间窗口的步长精确设定为等价于一个完整的 24 小时自然日。这一设置在物理层面上完美覆盖了光伏发电从日出到日落的完整日周期变化规律（Diurnal Cycle），在时序建模中不仅避免了因时间窗口过短导致的长程时序信息被截断，同时也起到了合理的记忆截断作用，有效防止了时间窗口过长所引入的无价值历史衰减噪声对当前预测任务产生干扰。。</w:t>
      </w:r>
    </w:p>
    <w:p w14:paraId="3EC56498">
      <w:pPr>
        <w:pStyle w:val="23"/>
        <w:ind w:firstLine="480"/>
      </w:pPr>
      <w:r>
        <w:rPr>
          <w:rFonts w:hint="eastAsia"/>
        </w:rPr>
        <w:t>（2）</w:t>
      </w:r>
      <w:r>
        <w:t>初始学习率（Learning Rate）：该学习率设定配合 Adam 优化器的自适应调节机制，能够在训练初期提供足够的步长以快速跳出局部极小值，同时在训练后期保证细粒度的平滑收敛，完美兼顾了模型训练的收敛速度与权重更新的稳定性。</w:t>
      </w:r>
    </w:p>
    <w:p w14:paraId="35B0E8D8">
      <w:pPr>
        <w:pStyle w:val="23"/>
        <w:ind w:firstLine="480"/>
      </w:pPr>
      <w:r>
        <w:rPr>
          <w:rFonts w:hint="eastAsia"/>
        </w:rPr>
        <w:t>（3）</w:t>
      </w:r>
      <w:r>
        <w:t>神经元数量（Hidden Units）：BiGRU 隐藏层神经元规模设定为 64。实验证明，该维度为特征映射提供了充足的高维空间，使其能够有效解耦复杂的非线性气象突变；同时，适中的参数量又形成了一定的信息瓶颈（Information Bottleneck），有效抑制了模型对训练集局部噪声的过度记忆，在模型拟合容量与防止过拟合之间找到了最优的平衡点</w:t>
      </w:r>
    </w:p>
    <w:p w14:paraId="5EE18733">
      <w:pPr>
        <w:pStyle w:val="23"/>
        <w:ind w:left="-720" w:leftChars="-343" w:firstLine="480"/>
      </w:pPr>
    </w:p>
    <w:bookmarkEnd w:id="257"/>
    <w:p w14:paraId="0D0C9C7A">
      <w:pPr>
        <w:pStyle w:val="22"/>
        <w:spacing w:before="156" w:after="156"/>
        <w:outlineLvl w:val="2"/>
      </w:pPr>
      <w:bookmarkStart w:id="262" w:name="88e5d97d"/>
      <w:r>
        <w:t xml:space="preserve"> </w:t>
      </w:r>
      <w:bookmarkStart w:id="263" w:name="_Toc2919"/>
      <w:bookmarkStart w:id="264" w:name="_Toc11771"/>
      <w:bookmarkStart w:id="265" w:name="_Toc28142"/>
      <w:bookmarkStart w:id="266" w:name="_Toc227161718"/>
      <w:r>
        <w:t>预测与结果融合</w:t>
      </w:r>
      <w:bookmarkEnd w:id="263"/>
      <w:bookmarkEnd w:id="264"/>
      <w:bookmarkEnd w:id="265"/>
      <w:bookmarkEnd w:id="266"/>
    </w:p>
    <w:bookmarkEnd w:id="262"/>
    <w:p w14:paraId="37DBABD8">
      <w:pPr>
        <w:pStyle w:val="23"/>
        <w:ind w:firstLine="480"/>
      </w:pPr>
      <w:bookmarkStart w:id="267" w:name="ub9631e8f"/>
      <w:r>
        <w:t>在完成网络训练与参数固化后，模型进入最终的推理预测阶段。由于本文采用了“先分解，后预测”的策略，模型实际上是由多个并行的 BiGRU 子网络构成的，分别对应原始序列的不同频带特征。</w:t>
      </w:r>
    </w:p>
    <w:p w14:paraId="015C47CD">
      <w:pPr>
        <w:pStyle w:val="23"/>
        <w:ind w:firstLine="480"/>
      </w:pPr>
      <w:r>
        <w:t>将预处理后的测试集数据同步输入至各个训练完毕的子模型中，各个子模型将独立输出对应 IMF 分量以及残余分量（Residue）的归一化预测结果。随后，本文利用线性叠加系统原理，将各频段的子预测结果进行同步叠加融合，并执行反归一化（Inverse Normalization）操作，将其还原为真实的物理量纲（如兆瓦 MW）。</w:t>
      </w:r>
    </w:p>
    <w:p w14:paraId="4C3B3E24">
      <w:pPr>
        <w:pStyle w:val="23"/>
        <w:ind w:firstLine="480"/>
      </w:pPr>
      <w:r>
        <w:t>结果的最终重构与融合公式可严密表示为：</w:t>
      </w:r>
    </w:p>
    <w:p w14:paraId="17CBCD8A">
      <w:pPr>
        <w:pStyle w:val="23"/>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0098D9A4">
      <w:pPr>
        <w:pStyle w:val="23"/>
        <w:ind w:firstLine="480"/>
      </w:pPr>
      <w:r>
        <w:t>其中，</w:t>
      </w:r>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为时刻 </w:t>
      </w:r>
      <m:oMath>
        <m:r>
          <m:rPr/>
          <w:rPr>
            <w:rFonts w:ascii="Cambria Math" w:hAnsi="Cambria Math"/>
          </w:rPr>
          <m:t>t</m:t>
        </m:r>
      </m:oMath>
      <w:r>
        <w:t xml:space="preserve"> 最终重构的光伏功率预测总值，</w:t>
      </w:r>
      <m:oMath>
        <m:r>
          <m:rPr/>
          <w:rPr>
            <w:rFonts w:ascii="Cambria Math" w:hAnsi="Cambria Math"/>
          </w:rPr>
          <m:t>K</m:t>
        </m:r>
      </m:oMath>
      <w:r>
        <w:t xml:space="preserve"> 为 EMD 分解出的本征模函数总数，</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为第 </w:t>
      </w:r>
      <m:oMath>
        <m:r>
          <m:rPr/>
          <w:rPr>
            <w:rFonts w:ascii="Cambria Math" w:hAnsi="Cambria Math"/>
          </w:rPr>
          <m:t>i</m:t>
        </m:r>
      </m:oMath>
      <w:r>
        <w:t xml:space="preserve"> 个 IMF 分量（通常代表特定频率的气象随机波动）在 </w:t>
      </w:r>
      <m:oMath>
        <m:r>
          <m:rPr/>
          <w:rPr>
            <w:rFonts w:ascii="Cambria Math" w:hAnsi="Cambria Math"/>
          </w:rPr>
          <m:t>t</m:t>
        </m:r>
      </m:oMath>
      <w:r>
        <w:t xml:space="preserve"> 时刻的预测值，</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为残差分量（代表光伏功率的长期演变趋势）在 </w:t>
      </w:r>
      <m:oMath>
        <m:r>
          <m:rPr/>
          <w:rPr>
            <w:rFonts w:ascii="Cambria Math" w:hAnsi="Cambria Math"/>
          </w:rPr>
          <m:t>t</m:t>
        </m:r>
      </m:oMath>
      <w:r>
        <w:t xml:space="preserve"> 时刻的预测值。</w:t>
      </w:r>
    </w:p>
    <w:p w14:paraId="02E20607">
      <w:pPr>
        <w:pStyle w:val="23"/>
        <w:ind w:firstLine="480"/>
      </w:pPr>
      <w:r>
        <w:t>这种分频预测与末端叠加融合的策略，巧妙地将原本错综复杂的非平稳光伏波动，解构为了相对纯粹的高频随机噪声与低频周期趋势。模型得以在不同尺度上“对症下药”地提取时序特征，从而在融合阶段极大程度地还原了真实功率曲线的每一个波峰与拐点，最终实现了整体预测精度与抗干扰能力的显著跃升。</w:t>
      </w:r>
    </w:p>
    <w:p w14:paraId="340DFCC8">
      <w:pPr>
        <w:pStyle w:val="23"/>
        <w:ind w:firstLine="480"/>
      </w:pPr>
    </w:p>
    <w:bookmarkEnd w:id="267"/>
    <w:p w14:paraId="3A2DCF90">
      <w:pPr>
        <w:pStyle w:val="23"/>
        <w:ind w:firstLine="480"/>
      </w:pPr>
      <w:bookmarkStart w:id="268" w:name="u32c9bcb5"/>
    </w:p>
    <w:bookmarkEnd w:id="268"/>
    <w:p w14:paraId="0A809684">
      <w:pPr>
        <w:pStyle w:val="19"/>
      </w:pPr>
      <w:bookmarkStart w:id="269" w:name="u3e88d009"/>
      <w:bookmarkEnd w:id="269"/>
      <w:bookmarkStart w:id="270" w:name="917f77b2"/>
      <w:r>
        <w:rPr>
          <w:rFonts w:hint="eastAsia"/>
        </w:rPr>
        <w:t xml:space="preserve"> </w:t>
      </w:r>
      <w:bookmarkStart w:id="271" w:name="_Toc14036"/>
      <w:bookmarkStart w:id="272" w:name="_Toc5972"/>
      <w:bookmarkStart w:id="273" w:name="_Toc3484"/>
      <w:bookmarkStart w:id="274" w:name="_Toc227161727"/>
      <w:r>
        <w:rPr>
          <w:rFonts w:hint="eastAsia"/>
        </w:rPr>
        <w:t>实验</w:t>
      </w:r>
      <w:r>
        <w:rPr>
          <w:rFonts w:hint="eastAsia"/>
          <w:lang w:val="en-US" w:eastAsia="zh-CN"/>
        </w:rPr>
        <w:t>过程</w:t>
      </w:r>
      <w:r>
        <w:rPr>
          <w:rFonts w:hint="eastAsia"/>
        </w:rPr>
        <w:t>与</w:t>
      </w:r>
      <w:r>
        <w:rPr>
          <w:rFonts w:hint="eastAsia"/>
          <w:lang w:val="en-US" w:eastAsia="zh-CN"/>
        </w:rPr>
        <w:t>结果</w:t>
      </w:r>
      <w:r>
        <w:rPr>
          <w:rFonts w:hint="eastAsia"/>
        </w:rPr>
        <w:t>分析</w:t>
      </w:r>
      <w:bookmarkEnd w:id="271"/>
      <w:bookmarkEnd w:id="272"/>
      <w:bookmarkEnd w:id="273"/>
      <w:bookmarkEnd w:id="274"/>
    </w:p>
    <w:bookmarkEnd w:id="270"/>
    <w:p w14:paraId="50E0A118">
      <w:pPr>
        <w:pStyle w:val="21"/>
        <w:spacing w:before="156" w:after="156"/>
      </w:pPr>
      <w:bookmarkStart w:id="275" w:name="7e250964"/>
      <w:r>
        <w:rPr>
          <w:rFonts w:hint="eastAsia"/>
        </w:rPr>
        <w:t>数据集与实验环境</w:t>
      </w:r>
    </w:p>
    <w:p w14:paraId="20B1DD3F">
      <w:pPr>
        <w:pStyle w:val="22"/>
        <w:bidi w:val="0"/>
        <w:ind w:left="709" w:leftChars="0" w:hanging="709" w:firstLineChars="0"/>
      </w:pPr>
      <w:r>
        <w:rPr>
          <w:rFonts w:hint="eastAsia"/>
        </w:rPr>
        <w:t xml:space="preserve"> </w:t>
      </w:r>
      <w:bookmarkStart w:id="276" w:name="_Toc15937"/>
      <w:bookmarkStart w:id="277" w:name="_Toc24065"/>
      <w:bookmarkStart w:id="278" w:name="_Toc7871"/>
      <w:bookmarkStart w:id="279" w:name="_Toc227161728"/>
      <w:r>
        <w:t>数据集来源与说明</w:t>
      </w:r>
    </w:p>
    <w:p w14:paraId="1E46D83D">
      <w:pPr>
        <w:pStyle w:val="23"/>
        <w:ind w:firstLine="480"/>
      </w:pPr>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59152AFE">
      <w:pPr>
        <w:pStyle w:val="23"/>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040D8B93">
      <w:pPr>
        <w:pStyle w:val="23"/>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6FC3C00E">
      <w:pPr>
        <w:pStyle w:val="23"/>
        <w:ind w:firstLine="480"/>
      </w:pPr>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所示：</w:t>
      </w:r>
    </w:p>
    <w:p w14:paraId="4859B3CB">
      <w:pPr>
        <w:pStyle w:val="23"/>
        <w:keepNext/>
        <w:ind w:firstLine="480"/>
        <w:jc w:val="center"/>
      </w:pPr>
      <w:r>
        <w:drawing>
          <wp:inline distT="0" distB="0" distL="0" distR="0">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3"/>
                    <a:stretch>
                      <a:fillRect/>
                    </a:stretch>
                  </pic:blipFill>
                  <pic:spPr>
                    <a:xfrm>
                      <a:off x="0" y="0"/>
                      <a:ext cx="4063952" cy="3038271"/>
                    </a:xfrm>
                    <a:prstGeom prst="rect">
                      <a:avLst/>
                    </a:prstGeom>
                  </pic:spPr>
                </pic:pic>
              </a:graphicData>
            </a:graphic>
          </wp:inline>
        </w:drawing>
      </w:r>
    </w:p>
    <w:p w14:paraId="136A5EB0">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图4.</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图4.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气象特征与光伏功率相关性热力图</w:t>
      </w:r>
    </w:p>
    <w:p w14:paraId="696974F7">
      <w:pPr>
        <w:pStyle w:val="23"/>
        <w:ind w:firstLine="480"/>
      </w:pPr>
    </w:p>
    <w:p w14:paraId="63069D3B">
      <w:pPr>
        <w:pStyle w:val="22"/>
        <w:bidi w:val="0"/>
        <w:ind w:left="709" w:leftChars="0" w:hanging="709" w:firstLineChars="0"/>
        <w:rPr>
          <w:lang w:val="en-US" w:eastAsia="zh-CN"/>
        </w:rPr>
      </w:pPr>
      <w:r>
        <w:rPr>
          <w:lang w:val="en-US" w:eastAsia="zh-CN"/>
        </w:rPr>
        <w:t xml:space="preserve"> 数据归一化与模型超参数设定</w:t>
      </w:r>
    </w:p>
    <w:p w14:paraId="6357B3FD">
      <w:pPr>
        <w:pStyle w:val="23"/>
        <w:ind w:firstLine="480"/>
      </w:pPr>
      <w:r>
        <w:t>为消除异构气象数据之间的量纲孤岛效应，对所有输入特征执行 Min-Max 归一化操作：</w:t>
      </w:r>
    </w:p>
    <w:p w14:paraId="3886E268">
      <w:pPr>
        <w:pStyle w:val="23"/>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56E5DC22">
      <w:pPr>
        <w:pStyle w:val="23"/>
        <w:ind w:firstLine="480"/>
      </w:pPr>
      <w:r>
        <w:t>本实验基于 PyTorch 框架进行训练。核心超参数设定：BiGRU隐藏层层数为2，隐藏神经元数目为128，批处理大小设置为64，初始学习率为0.001。</w:t>
      </w:r>
    </w:p>
    <w:p w14:paraId="12393150">
      <w:pPr>
        <w:pStyle w:val="22"/>
        <w:bidi w:val="0"/>
        <w:ind w:left="709" w:leftChars="0" w:hanging="709" w:firstLineChars="0"/>
        <w:rPr>
          <w:lang w:val="en-US" w:eastAsia="zh-CN"/>
        </w:rPr>
      </w:pPr>
      <w:r>
        <w:rPr>
          <w:rFonts w:hint="eastAsia"/>
          <w:lang w:val="en-US" w:eastAsia="zh-CN"/>
        </w:rPr>
        <w:t xml:space="preserve"> </w:t>
      </w:r>
      <w:r>
        <w:rPr>
          <w:lang w:val="en-US" w:eastAsia="zh-CN"/>
        </w:rPr>
        <w:t>输入特征与预测目标</w:t>
      </w:r>
    </w:p>
    <w:p w14:paraId="40228A18">
      <w:pPr>
        <w:pStyle w:val="23"/>
        <w:ind w:firstLine="480"/>
        <w:rPr>
          <w:rFonts w:hint="eastAsia" w:eastAsia="宋体"/>
          <w:lang w:eastAsia="zh-CN"/>
        </w:rPr>
      </w:pPr>
      <w:r>
        <w:t>本文的输入特征综合考虑了影响光伏功率的主要因素</w:t>
      </w:r>
      <w:r>
        <w:rPr>
          <w:rFonts w:hint="eastAsia"/>
        </w:rPr>
        <w:t>（</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w:t>
      </w:r>
      <w:r>
        <w:t>，使得输入数据尽量科学严谨，获得准确的光伏功率预测数据。以下为输入模型的关键特征：光伏功率（预测目标）</w:t>
      </w:r>
      <w:r>
        <w:rPr>
          <w:rFonts w:hint="eastAsia"/>
          <w:lang w:eastAsia="zh-CN"/>
        </w:rPr>
        <w:t>、</w:t>
      </w:r>
      <w:r>
        <w:t>太阳辐射强度</w:t>
      </w:r>
      <w:r>
        <w:rPr>
          <w:rFonts w:hint="eastAsia"/>
          <w:lang w:eastAsia="zh-CN"/>
        </w:rPr>
        <w:t>、</w:t>
      </w:r>
      <w:r>
        <w:t>环境温度</w:t>
      </w:r>
      <w:r>
        <w:rPr>
          <w:rFonts w:hint="eastAsia"/>
          <w:lang w:eastAsia="zh-CN"/>
        </w:rPr>
        <w:t>、</w:t>
      </w:r>
      <w:r>
        <w:t>相对湿度</w:t>
      </w:r>
      <w:r>
        <w:rPr>
          <w:rFonts w:hint="eastAsia"/>
          <w:lang w:eastAsia="zh-CN"/>
        </w:rPr>
        <w:t>。</w:t>
      </w:r>
    </w:p>
    <w:p w14:paraId="1B838689">
      <w:pPr>
        <w:pStyle w:val="23"/>
        <w:ind w:firstLine="480"/>
      </w:pPr>
      <w:r>
        <w:t>以上与光伏功率相关的特征，为模型提供了充足有效的的信息，实验会以历史多时刻特征作为输入，下一时刻功率作为输出，形成标准时间序列预测任务。</w:t>
      </w:r>
    </w:p>
    <w:p w14:paraId="589FC36D">
      <w:pPr>
        <w:pStyle w:val="22"/>
        <w:bidi w:val="0"/>
        <w:ind w:left="709" w:leftChars="0" w:hanging="709" w:firstLineChars="0"/>
        <w:rPr>
          <w:rFonts w:hint="eastAsia"/>
          <w:lang w:val="en-US" w:eastAsia="zh-CN"/>
        </w:rPr>
      </w:pPr>
      <w:r>
        <w:rPr>
          <w:rFonts w:hint="eastAsia"/>
          <w:lang w:val="en-US" w:eastAsia="zh-CN"/>
        </w:rPr>
        <w:t xml:space="preserve"> 实验环境与工具</w:t>
      </w:r>
    </w:p>
    <w:p w14:paraId="7B0F5520">
      <w:pPr>
        <w:pStyle w:val="23"/>
        <w:ind w:firstLine="480"/>
      </w:pPr>
      <w:r>
        <w:t>本文所有数据处理、模型搭建、训练与测试均在 Windows 环境下完成，采用 Python 语言实现，具体软硬件配置如下：</w:t>
      </w:r>
    </w:p>
    <w:p w14:paraId="7111FDD1">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3C58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1EF879D9">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27E50181">
            <w:pPr>
              <w:jc w:val="center"/>
              <w:rPr>
                <w:b/>
                <w:color w:val="000000"/>
              </w:rPr>
            </w:pPr>
            <w:r>
              <w:rPr>
                <w:b/>
                <w:color w:val="000000"/>
              </w:rPr>
              <w:t>配置规格</w:t>
            </w:r>
          </w:p>
        </w:tc>
      </w:tr>
      <w:tr w14:paraId="629C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3C9EF0B4">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569AA611">
            <w:pPr>
              <w:jc w:val="center"/>
              <w:rPr>
                <w:color w:val="000000"/>
              </w:rPr>
            </w:pPr>
            <w:r>
              <w:rPr>
                <w:color w:val="000000"/>
              </w:rPr>
              <w:t>Windows 10 64 位</w:t>
            </w:r>
          </w:p>
        </w:tc>
      </w:tr>
      <w:tr w14:paraId="5636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86CBA70">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66CC83FF">
            <w:pPr>
              <w:jc w:val="center"/>
              <w:rPr>
                <w:color w:val="000000"/>
              </w:rPr>
            </w:pPr>
            <w:r>
              <w:rPr>
                <w:color w:val="000000"/>
              </w:rPr>
              <w:t>Intel Core i5 及以上 / 16GB</w:t>
            </w:r>
          </w:p>
        </w:tc>
      </w:tr>
      <w:tr w14:paraId="41DC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0B813DBD">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045EF16A">
            <w:pPr>
              <w:jc w:val="center"/>
              <w:rPr>
                <w:color w:val="000000"/>
              </w:rPr>
            </w:pPr>
            <w:r>
              <w:rPr>
                <w:color w:val="000000"/>
              </w:rPr>
              <w:t>Python 3.8</w:t>
            </w:r>
          </w:p>
        </w:tc>
      </w:tr>
      <w:tr w14:paraId="415B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4342A732">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7B085401">
            <w:pPr>
              <w:jc w:val="center"/>
              <w:rPr>
                <w:color w:val="000000"/>
              </w:rPr>
            </w:pPr>
            <w:r>
              <w:rPr>
                <w:color w:val="000000"/>
              </w:rPr>
              <w:t>PyTorch (GPU加速)</w:t>
            </w:r>
          </w:p>
        </w:tc>
      </w:tr>
      <w:tr w14:paraId="7EB8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0AFD1BCF">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495D6EAB">
            <w:pPr>
              <w:jc w:val="center"/>
              <w:rPr>
                <w:color w:val="000000"/>
              </w:rPr>
            </w:pPr>
            <w:r>
              <w:rPr>
                <w:color w:val="000000"/>
              </w:rPr>
              <w:t>PyEMD</w:t>
            </w:r>
          </w:p>
        </w:tc>
      </w:tr>
    </w:tbl>
    <w:p w14:paraId="42C3D7E8">
      <w:pPr>
        <w:pStyle w:val="22"/>
        <w:bidi w:val="0"/>
        <w:ind w:left="709" w:leftChars="0" w:hanging="709" w:firstLineChars="0"/>
        <w:rPr>
          <w:rFonts w:hint="eastAsia"/>
          <w:lang w:val="en-US" w:eastAsia="zh-CN"/>
        </w:rPr>
      </w:pPr>
      <w:r>
        <w:rPr>
          <w:rFonts w:hint="eastAsia"/>
          <w:lang w:val="en-US" w:eastAsia="zh-CN"/>
        </w:rPr>
        <w:t>数据集划分</w:t>
      </w:r>
    </w:p>
    <w:p w14:paraId="230149EC">
      <w:pPr>
        <w:pStyle w:val="23"/>
        <w:ind w:firstLine="480"/>
      </w:pPr>
      <w:r>
        <w:t>为了保证模型可以被充分训练，输出准确数据，并且可以满足至少8小时的预测市场，被客观验证，数据集进行可如下划分：训练集：70%</w:t>
      </w:r>
      <w:r>
        <w:rPr>
          <w:rFonts w:hint="eastAsia"/>
        </w:rPr>
        <w:t>，</w:t>
      </w:r>
      <w:r>
        <w:t>测试集：30%</w:t>
      </w:r>
      <w:r>
        <w:rPr>
          <w:rFonts w:hint="eastAsia"/>
        </w:rPr>
        <w:t>。</w:t>
      </w:r>
    </w:p>
    <w:p w14:paraId="79352927">
      <w:pPr>
        <w:pStyle w:val="23"/>
        <w:ind w:firstLine="480"/>
      </w:pPr>
      <w:r>
        <w:t>训练集用于模型学习光伏功率变化规律。测试集用于最终评价模型泛化能力，所有对比模型均在同一组测试集上进行测试，保证实验公平性与可比性。</w:t>
      </w:r>
    </w:p>
    <w:p w14:paraId="19E98861">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2</w:t>
      </w:r>
      <w:r>
        <w:rPr>
          <w:rFonts w:eastAsia="黑体"/>
          <w:b/>
          <w:bCs/>
        </w:rPr>
        <w:t>数据集核心气象特征基本信息统计</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0FBC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68B684DB">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5A280A6D">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13C5F41F">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5174F2A7">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0A362E6B">
            <w:pPr>
              <w:jc w:val="center"/>
              <w:rPr>
                <w:bCs/>
                <w:color w:val="000000"/>
              </w:rPr>
            </w:pPr>
            <w:r>
              <w:rPr>
                <w:b/>
                <w:bCs/>
                <w:sz w:val="24"/>
              </w:rPr>
              <w:t>平均值</w:t>
            </w:r>
          </w:p>
        </w:tc>
      </w:tr>
      <w:tr w14:paraId="4955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33317A82">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5577A3DF">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678D2EDA">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23DE7A43">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24B17A66">
            <w:pPr>
              <w:jc w:val="center"/>
              <w:rPr>
                <w:color w:val="000000"/>
              </w:rPr>
            </w:pPr>
            <w:r>
              <w:rPr>
                <w:sz w:val="24"/>
              </w:rPr>
              <w:t>8.3</w:t>
            </w:r>
          </w:p>
        </w:tc>
      </w:tr>
      <w:tr w14:paraId="1A05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23B03A87">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676DD408">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6D1EBC74">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04024653">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77147AE8">
            <w:pPr>
              <w:jc w:val="center"/>
              <w:rPr>
                <w:color w:val="000000"/>
              </w:rPr>
            </w:pPr>
            <w:r>
              <w:rPr>
                <w:sz w:val="24"/>
              </w:rPr>
              <w:t>320.1</w:t>
            </w:r>
          </w:p>
        </w:tc>
      </w:tr>
      <w:tr w14:paraId="2E31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053449F5">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4ECA1B32">
            <w:pPr>
              <w:jc w:val="center"/>
              <w:rPr>
                <w:color w:val="000000"/>
              </w:rPr>
            </w:pPr>
            <w:r>
              <w:rPr>
                <w:sz w:val="24"/>
              </w:rPr>
              <w:t>℃</w:t>
            </w:r>
          </w:p>
        </w:tc>
        <w:tc>
          <w:tcPr>
            <w:tcW w:w="1650" w:type="dxa"/>
            <w:tcBorders>
              <w:top w:val="nil"/>
              <w:left w:val="nil"/>
              <w:bottom w:val="nil"/>
              <w:right w:val="nil"/>
            </w:tcBorders>
            <w:shd w:val="clear" w:color="auto" w:fill="FFFFFF"/>
            <w:vAlign w:val="center"/>
          </w:tcPr>
          <w:p w14:paraId="22C0D99A">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6FE9C37C">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74D7E60A">
            <w:pPr>
              <w:jc w:val="center"/>
              <w:rPr>
                <w:color w:val="000000"/>
              </w:rPr>
            </w:pPr>
            <w:r>
              <w:rPr>
                <w:sz w:val="24"/>
              </w:rPr>
              <w:t>15.6</w:t>
            </w:r>
          </w:p>
        </w:tc>
      </w:tr>
      <w:tr w14:paraId="755C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2B3C00CF">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290C6888">
            <w:pPr>
              <w:jc w:val="center"/>
              <w:rPr>
                <w:color w:val="000000"/>
              </w:rPr>
            </w:pPr>
            <w:r>
              <w:rPr>
                <w:sz w:val="24"/>
              </w:rPr>
              <w:t>%</w:t>
            </w:r>
          </w:p>
        </w:tc>
        <w:tc>
          <w:tcPr>
            <w:tcW w:w="1650" w:type="dxa"/>
            <w:tcBorders>
              <w:top w:val="nil"/>
              <w:left w:val="nil"/>
              <w:bottom w:val="nil"/>
              <w:right w:val="nil"/>
            </w:tcBorders>
            <w:shd w:val="clear" w:color="auto" w:fill="FFFFFF"/>
            <w:vAlign w:val="center"/>
          </w:tcPr>
          <w:p w14:paraId="2B55D483">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2B9E795B">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10639BC7">
            <w:pPr>
              <w:jc w:val="center"/>
              <w:rPr>
                <w:color w:val="000000"/>
              </w:rPr>
            </w:pPr>
            <w:r>
              <w:rPr>
                <w:sz w:val="24"/>
              </w:rPr>
              <w:t>55.4</w:t>
            </w:r>
          </w:p>
        </w:tc>
      </w:tr>
      <w:tr w14:paraId="2A47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7A38F589">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762E64BE">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70158964">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6C6687F7">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6C2B29FE">
            <w:pPr>
              <w:jc w:val="center"/>
              <w:rPr>
                <w:color w:val="000000"/>
              </w:rPr>
            </w:pPr>
            <w:r>
              <w:rPr>
                <w:sz w:val="24"/>
              </w:rPr>
              <w:t>320.1</w:t>
            </w:r>
          </w:p>
        </w:tc>
      </w:tr>
    </w:tbl>
    <w:p w14:paraId="60EFEADF">
      <w:pPr>
        <w:pStyle w:val="23"/>
        <w:ind w:firstLine="480"/>
      </w:pPr>
      <w:r>
        <w:rPr>
          <w:rFonts w:hint="eastAsia"/>
        </w:rPr>
        <w:t>测试</w:t>
      </w:r>
      <w:r>
        <w:t>集用于最终评价模型泛化能力，所有对比模型均在同一组测试集上进行测试，保证实验公平性与可比性。</w:t>
      </w:r>
    </w:p>
    <w:p w14:paraId="561F2E22">
      <w:pPr>
        <w:pStyle w:val="22"/>
        <w:bidi w:val="0"/>
        <w:ind w:left="709" w:leftChars="0" w:hanging="709" w:firstLineChars="0"/>
        <w:rPr>
          <w:rFonts w:hint="eastAsia"/>
          <w:lang w:val="en-US" w:eastAsia="zh-CN"/>
        </w:rPr>
      </w:pPr>
      <w:r>
        <w:rPr>
          <w:rFonts w:hint="eastAsia"/>
          <w:lang w:val="en-US" w:eastAsia="zh-CN"/>
        </w:rPr>
        <w:t xml:space="preserve"> 对比模型设置</w:t>
      </w:r>
    </w:p>
    <w:p w14:paraId="61C194A7">
      <w:pPr>
        <w:pStyle w:val="23"/>
        <w:ind w:firstLine="480"/>
        <w:rPr>
          <w:rFonts w:hint="eastAsia" w:eastAsia="宋体"/>
          <w:lang w:val="en-US" w:eastAsia="zh-CN"/>
        </w:rPr>
      </w:pPr>
      <w:r>
        <w:t>为验证本文所提 EMD-BiGRU 模型的有效性，实验选取目前时序预测中主流的神经网络模型进行对照，对比模型包括：RNN 循环神经网络</w:t>
      </w:r>
      <w:r>
        <w:rPr>
          <w:rFonts w:hint="eastAsia"/>
          <w:lang w:eastAsia="zh-CN"/>
        </w:rPr>
        <w:t>、</w:t>
      </w:r>
      <w:r>
        <w:t>LSTM 长短期记忆网络</w:t>
      </w:r>
      <w:r>
        <w:rPr>
          <w:rFonts w:hint="eastAsia"/>
          <w:lang w:eastAsia="zh-CN"/>
        </w:rPr>
        <w:t>、</w:t>
      </w:r>
      <w:r>
        <w:t>GRU 门控循环单元网络</w:t>
      </w:r>
      <w:r>
        <w:rPr>
          <w:rFonts w:hint="eastAsia"/>
          <w:lang w:eastAsia="zh-CN"/>
        </w:rPr>
        <w:t>、</w:t>
      </w:r>
      <w:r>
        <w:t>单一 BiGRU 双向网络</w:t>
      </w:r>
      <w:r>
        <w:rPr>
          <w:rFonts w:hint="eastAsia"/>
          <w:lang w:eastAsia="zh-CN"/>
        </w:rPr>
        <w:t>。</w:t>
      </w:r>
    </w:p>
    <w:p w14:paraId="59557FF7">
      <w:pPr>
        <w:pStyle w:val="23"/>
        <w:ind w:firstLine="480"/>
      </w:pPr>
      <w:r>
        <w:t>所有对比模型采用相同的数据集、相同输入输出结构、相同训练参数与相同评价指标，确保对比结果科学可信。</w:t>
      </w:r>
    </w:p>
    <w:p w14:paraId="764D5568">
      <w:pPr>
        <w:pStyle w:val="22"/>
        <w:bidi w:val="0"/>
        <w:ind w:left="709" w:leftChars="0" w:hanging="709" w:firstLineChars="0"/>
        <w:rPr>
          <w:rFonts w:hint="eastAsia"/>
          <w:lang w:val="en-US" w:eastAsia="zh-CN"/>
        </w:rPr>
      </w:pPr>
      <w:r>
        <w:rPr>
          <w:rFonts w:hint="eastAsia"/>
          <w:lang w:val="en-US" w:eastAsia="zh-CN"/>
        </w:rPr>
        <w:t xml:space="preserve"> 实验参数统一设置</w:t>
      </w:r>
    </w:p>
    <w:p w14:paraId="5C2206F2">
      <w:pPr>
        <w:pStyle w:val="23"/>
        <w:ind w:firstLine="480"/>
      </w:pPr>
      <w:r>
        <w:t>为保证公平对比，所有模型保持一致的超参数设置：</w:t>
      </w:r>
    </w:p>
    <w:p w14:paraId="4A0FCA9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3模型超参数设置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57E9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6ABA5EE5">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34583DD1">
            <w:pPr>
              <w:jc w:val="center"/>
              <w:rPr>
                <w:b/>
                <w:color w:val="000000"/>
              </w:rPr>
            </w:pPr>
            <w:r>
              <w:rPr>
                <w:b/>
                <w:color w:val="000000"/>
              </w:rPr>
              <w:t>设定值</w:t>
            </w:r>
          </w:p>
        </w:tc>
      </w:tr>
      <w:tr w14:paraId="19FE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0B6ECB0E">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4A5AEB69">
            <w:pPr>
              <w:jc w:val="center"/>
              <w:rPr>
                <w:color w:val="000000"/>
              </w:rPr>
            </w:pPr>
            <w:r>
              <w:rPr>
                <w:color w:val="000000"/>
              </w:rPr>
              <w:t>96 (对应24小时)</w:t>
            </w:r>
          </w:p>
        </w:tc>
      </w:tr>
      <w:tr w14:paraId="377F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0A0BF07D">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034872BF">
            <w:pPr>
              <w:jc w:val="center"/>
              <w:rPr>
                <w:color w:val="000000"/>
              </w:rPr>
            </w:pPr>
            <w:r>
              <w:rPr>
                <w:color w:val="000000"/>
              </w:rPr>
              <w:t>32 (对应8小时)</w:t>
            </w:r>
          </w:p>
        </w:tc>
      </w:tr>
      <w:tr w14:paraId="54CE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5F57BD91">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7A034823">
            <w:pPr>
              <w:jc w:val="center"/>
              <w:rPr>
                <w:color w:val="000000"/>
              </w:rPr>
            </w:pPr>
            <w:r>
              <w:rPr>
                <w:color w:val="000000"/>
              </w:rPr>
              <w:t>64</w:t>
            </w:r>
          </w:p>
        </w:tc>
      </w:tr>
      <w:tr w14:paraId="2403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159252C3">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0392DAE4">
            <w:pPr>
              <w:jc w:val="center"/>
              <w:rPr>
                <w:color w:val="000000"/>
              </w:rPr>
            </w:pPr>
            <w:r>
              <w:rPr>
                <w:color w:val="000000"/>
              </w:rPr>
              <w:t>0.001</w:t>
            </w:r>
          </w:p>
        </w:tc>
      </w:tr>
      <w:tr w14:paraId="112B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133D8A3F">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2EA8DE8A">
            <w:pPr>
              <w:jc w:val="center"/>
              <w:rPr>
                <w:color w:val="000000"/>
              </w:rPr>
            </w:pPr>
            <w:r>
              <w:rPr>
                <w:color w:val="000000"/>
              </w:rPr>
              <w:t>100 (含早停机制)</w:t>
            </w:r>
          </w:p>
        </w:tc>
      </w:tr>
    </w:tbl>
    <w:p w14:paraId="31CF91CA">
      <w:pPr>
        <w:pStyle w:val="23"/>
        <w:ind w:firstLine="480"/>
      </w:pPr>
      <w:r>
        <w:t>统一参数设置能够消除变量干扰，使实验结果差异主要来自模型结构本身，更具说服力。</w:t>
      </w:r>
    </w:p>
    <w:p w14:paraId="4FD2E678">
      <w:pPr>
        <w:pStyle w:val="23"/>
      </w:pPr>
    </w:p>
    <w:p w14:paraId="021AF935">
      <w:pPr>
        <w:pStyle w:val="21"/>
        <w:spacing w:before="156" w:after="156"/>
      </w:pPr>
      <w:r>
        <w:t>实验设计与评价指标</w:t>
      </w:r>
      <w:bookmarkEnd w:id="276"/>
      <w:bookmarkEnd w:id="277"/>
      <w:bookmarkEnd w:id="278"/>
      <w:bookmarkEnd w:id="279"/>
    </w:p>
    <w:bookmarkEnd w:id="275"/>
    <w:p w14:paraId="5FD72305">
      <w:pPr>
        <w:pStyle w:val="23"/>
        <w:ind w:firstLine="480"/>
      </w:pPr>
      <w:bookmarkStart w:id="280"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共5种模型进行训练与测试。实验选取、RMSE（均方根误差）、MAPE（平均绝对百分比误差）、R²（决定系数 / 拟合优度） 4种指标作为统一评价指标。RMSE 作为核心对比指标，反映模型整体预测精度；MAPE 反映相对误差大小；R² 反映拟合程度。</w:t>
      </w:r>
    </w:p>
    <w:bookmarkEnd w:id="280"/>
    <w:p w14:paraId="5B675C92">
      <w:pPr>
        <w:pStyle w:val="21"/>
        <w:spacing w:before="156" w:after="156"/>
      </w:pPr>
      <w:bookmarkStart w:id="281" w:name="11283a6b"/>
      <w:r>
        <w:t xml:space="preserve"> </w:t>
      </w:r>
      <w:bookmarkStart w:id="282" w:name="_Toc227161729"/>
      <w:bookmarkStart w:id="283" w:name="_Toc23657"/>
      <w:bookmarkStart w:id="284" w:name="_Toc23296"/>
      <w:bookmarkStart w:id="285" w:name="_Toc14556"/>
      <w:r>
        <w:t>各模型预测结果定量对比</w:t>
      </w:r>
      <w:bookmarkEnd w:id="282"/>
      <w:bookmarkEnd w:id="283"/>
      <w:bookmarkEnd w:id="284"/>
      <w:bookmarkEnd w:id="285"/>
    </w:p>
    <w:bookmarkEnd w:id="281"/>
    <w:p w14:paraId="7B83DB8D">
      <w:pPr>
        <w:pStyle w:val="23"/>
        <w:ind w:firstLine="480"/>
      </w:pPr>
      <w:bookmarkStart w:id="286"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5.4 及</w:t>
      </w:r>
      <w:r>
        <w:fldChar w:fldCharType="begin"/>
      </w:r>
      <w:r>
        <w:instrText xml:space="preserve"> </w:instrText>
      </w:r>
      <w:r>
        <w:rPr>
          <w:rFonts w:hint="eastAsia"/>
        </w:rPr>
        <w:instrText xml:space="preserve">REF _Ref227196051 \h</w:instrText>
      </w:r>
      <w:r>
        <w:instrText xml:space="preserve">  \* MERGEFORMAT </w:instrText>
      </w:r>
      <w:r>
        <w:fldChar w:fldCharType="separate"/>
      </w:r>
      <w:r>
        <w:rPr>
          <w:rFonts w:hint="eastAsia"/>
        </w:rPr>
        <w:t>图5.</w:t>
      </w:r>
      <w:r>
        <w:t>1</w:t>
      </w:r>
      <w:r>
        <w:fldChar w:fldCharType="end"/>
      </w:r>
      <w:r>
        <w:rPr>
          <w:rFonts w:hint="eastAsia"/>
        </w:rPr>
        <w:t>至</w:t>
      </w:r>
      <w:r>
        <w:fldChar w:fldCharType="begin"/>
      </w:r>
      <w:r>
        <w:instrText xml:space="preserve"> </w:instrText>
      </w:r>
      <w:r>
        <w:rPr>
          <w:rFonts w:hint="eastAsia"/>
        </w:rPr>
        <w:instrText xml:space="preserve">REF _Ref227196063 \h</w:instrText>
      </w:r>
      <w:r>
        <w:instrText xml:space="preserve">  \* MERGEFORMAT </w:instrText>
      </w:r>
      <w:r>
        <w:fldChar w:fldCharType="separate"/>
      </w:r>
      <w:r>
        <w:rPr>
          <w:rFonts w:hint="eastAsia"/>
        </w:rPr>
        <w:t>图5.</w:t>
      </w:r>
      <w:r>
        <w:t>3</w:t>
      </w:r>
      <w:r>
        <w:fldChar w:fldCharType="end"/>
      </w:r>
      <w:r>
        <w:rPr>
          <w:rFonts w:hint="eastAsia"/>
        </w:rPr>
        <w:t>所示。</w:t>
      </w:r>
    </w:p>
    <w:p w14:paraId="0C8AB1C7">
      <w:pPr>
        <w:pStyle w:val="23"/>
        <w:ind w:firstLine="480"/>
      </w:pPr>
    </w:p>
    <w:p w14:paraId="3FD2D504">
      <w:pPr>
        <w:jc w:val="center"/>
        <w:rPr>
          <w:rFonts w:eastAsia="黑体"/>
          <w:b/>
          <w:bCs/>
        </w:rPr>
      </w:pPr>
      <w:r>
        <w:rPr>
          <w:rFonts w:eastAsia="黑体"/>
          <w:b/>
          <w:bCs/>
        </w:rPr>
        <w:t>表</w:t>
      </w:r>
      <w:r>
        <w:rPr>
          <w:rFonts w:hint="eastAsia" w:eastAsia="黑体"/>
          <w:b/>
          <w:bCs/>
        </w:rPr>
        <w:t>5.4</w:t>
      </w:r>
      <w:r>
        <w:rPr>
          <w:rFonts w:eastAsia="黑体"/>
          <w:b/>
          <w:bCs/>
        </w:rPr>
        <w:t>各模型测试集预测性能指标对比表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0933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1642DD5D">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1E32E346">
            <w:pPr>
              <w:jc w:val="center"/>
              <w:rPr>
                <w:bCs/>
                <w:color w:val="000000"/>
              </w:rPr>
            </w:pPr>
            <w:r>
              <w:rPr>
                <w:rFonts w:ascii="宋体"/>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2145A788">
            <w:pPr>
              <w:jc w:val="center"/>
              <w:rPr>
                <w:bCs/>
                <w:color w:val="000000"/>
              </w:rPr>
            </w:pPr>
            <w:r>
              <w:rPr>
                <w:rFonts w:ascii="宋体"/>
                <w:b/>
                <w:color w:val="000000"/>
                <w:sz w:val="24"/>
              </w:rPr>
              <w:t>MAPE/%</w:t>
            </w:r>
          </w:p>
        </w:tc>
        <w:tc>
          <w:tcPr>
            <w:tcW w:w="1650" w:type="dxa"/>
            <w:tcBorders>
              <w:top w:val="single" w:color="000000" w:sz="12" w:space="0"/>
              <w:left w:val="nil"/>
              <w:bottom w:val="single" w:color="000000" w:sz="4" w:space="0"/>
              <w:right w:val="nil"/>
            </w:tcBorders>
            <w:shd w:val="clear" w:color="auto" w:fill="FFFFFF"/>
            <w:vAlign w:val="center"/>
          </w:tcPr>
          <w:p w14:paraId="0838E19A">
            <w:pPr>
              <w:jc w:val="center"/>
              <w:rPr>
                <w:bCs/>
                <w:color w:val="000000"/>
              </w:rPr>
            </w:pPr>
            <w:r>
              <w:rPr>
                <w:rFonts w:ascii="宋体"/>
                <w:b/>
                <w:color w:val="000000"/>
                <w:sz w:val="24"/>
              </w:rPr>
              <w:t>R²</w:t>
            </w:r>
          </w:p>
        </w:tc>
      </w:tr>
      <w:tr w14:paraId="3829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1B71321F">
            <w:pPr>
              <w:jc w:val="center"/>
              <w:rPr>
                <w:rFonts w:ascii="宋体"/>
                <w:color w:val="000000"/>
                <w:sz w:val="24"/>
              </w:rPr>
            </w:pPr>
            <w:r>
              <w:rPr>
                <w:rFonts w:ascii="宋体"/>
                <w:color w:val="000000"/>
                <w:sz w:val="24"/>
              </w:rPr>
              <w:t>RNN</w:t>
            </w:r>
          </w:p>
        </w:tc>
        <w:tc>
          <w:tcPr>
            <w:tcW w:w="1816" w:type="dxa"/>
            <w:tcBorders>
              <w:top w:val="single" w:color="000000" w:sz="4" w:space="0"/>
              <w:left w:val="nil"/>
              <w:bottom w:val="nil"/>
              <w:right w:val="nil"/>
            </w:tcBorders>
            <w:shd w:val="clear" w:color="auto" w:fill="FFFFFF"/>
            <w:vAlign w:val="center"/>
          </w:tcPr>
          <w:p w14:paraId="609C8642">
            <w:pPr>
              <w:jc w:val="center"/>
              <w:rPr>
                <w:rFonts w:ascii="宋体"/>
                <w:color w:val="000000"/>
                <w:sz w:val="24"/>
              </w:rPr>
            </w:pPr>
            <w:r>
              <w:rPr>
                <w:rFonts w:ascii="宋体"/>
                <w:color w:val="000000"/>
                <w:sz w:val="24"/>
              </w:rPr>
              <w:t>3.6899</w:t>
            </w:r>
          </w:p>
        </w:tc>
        <w:tc>
          <w:tcPr>
            <w:tcW w:w="1650" w:type="dxa"/>
            <w:tcBorders>
              <w:top w:val="single" w:color="000000" w:sz="4" w:space="0"/>
              <w:left w:val="nil"/>
              <w:bottom w:val="nil"/>
              <w:right w:val="nil"/>
            </w:tcBorders>
            <w:shd w:val="clear" w:color="auto" w:fill="FFFFFF"/>
            <w:vAlign w:val="center"/>
          </w:tcPr>
          <w:p w14:paraId="6FD77840">
            <w:pPr>
              <w:jc w:val="center"/>
              <w:rPr>
                <w:rFonts w:ascii="宋体"/>
                <w:color w:val="000000"/>
                <w:sz w:val="24"/>
              </w:rPr>
            </w:pPr>
            <w:r>
              <w:rPr>
                <w:rFonts w:ascii="宋体"/>
                <w:color w:val="000000"/>
                <w:sz w:val="24"/>
              </w:rPr>
              <w:t>82.3709</w:t>
            </w:r>
          </w:p>
        </w:tc>
        <w:tc>
          <w:tcPr>
            <w:tcW w:w="1650" w:type="dxa"/>
            <w:tcBorders>
              <w:top w:val="single" w:color="000000" w:sz="4" w:space="0"/>
              <w:left w:val="nil"/>
              <w:bottom w:val="nil"/>
              <w:right w:val="nil"/>
            </w:tcBorders>
            <w:shd w:val="clear" w:color="auto" w:fill="FFFFFF"/>
            <w:vAlign w:val="center"/>
          </w:tcPr>
          <w:p w14:paraId="382D2D21">
            <w:pPr>
              <w:jc w:val="center"/>
              <w:rPr>
                <w:rFonts w:ascii="宋体"/>
                <w:color w:val="000000"/>
                <w:sz w:val="24"/>
              </w:rPr>
            </w:pPr>
            <w:r>
              <w:rPr>
                <w:rFonts w:ascii="宋体"/>
                <w:color w:val="000000"/>
                <w:sz w:val="24"/>
              </w:rPr>
              <w:t>0.4332</w:t>
            </w:r>
          </w:p>
        </w:tc>
      </w:tr>
      <w:tr w14:paraId="0E8B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E5CA058">
            <w:pPr>
              <w:jc w:val="center"/>
              <w:rPr>
                <w:rFonts w:ascii="宋体"/>
                <w:color w:val="000000"/>
                <w:sz w:val="24"/>
              </w:rPr>
            </w:pPr>
            <w:r>
              <w:rPr>
                <w:rFonts w:ascii="宋体"/>
                <w:color w:val="000000"/>
                <w:sz w:val="24"/>
              </w:rPr>
              <w:t>LSTM</w:t>
            </w:r>
          </w:p>
        </w:tc>
        <w:tc>
          <w:tcPr>
            <w:tcW w:w="1816" w:type="dxa"/>
            <w:tcBorders>
              <w:top w:val="nil"/>
              <w:left w:val="nil"/>
              <w:bottom w:val="nil"/>
              <w:right w:val="nil"/>
            </w:tcBorders>
            <w:shd w:val="clear" w:color="auto" w:fill="FFFFFF"/>
            <w:vAlign w:val="center"/>
          </w:tcPr>
          <w:p w14:paraId="62801294">
            <w:pPr>
              <w:jc w:val="center"/>
              <w:rPr>
                <w:rFonts w:ascii="宋体"/>
                <w:color w:val="000000"/>
                <w:sz w:val="24"/>
              </w:rPr>
            </w:pPr>
            <w:r>
              <w:rPr>
                <w:rFonts w:ascii="宋体"/>
                <w:color w:val="000000"/>
                <w:sz w:val="24"/>
              </w:rPr>
              <w:t>3.5941</w:t>
            </w:r>
          </w:p>
        </w:tc>
        <w:tc>
          <w:tcPr>
            <w:tcW w:w="1650" w:type="dxa"/>
            <w:tcBorders>
              <w:top w:val="nil"/>
              <w:left w:val="nil"/>
              <w:bottom w:val="nil"/>
              <w:right w:val="nil"/>
            </w:tcBorders>
            <w:shd w:val="clear" w:color="auto" w:fill="FFFFFF"/>
            <w:vAlign w:val="center"/>
          </w:tcPr>
          <w:p w14:paraId="6655A3F6">
            <w:pPr>
              <w:jc w:val="center"/>
              <w:rPr>
                <w:rFonts w:ascii="宋体"/>
                <w:color w:val="000000"/>
                <w:sz w:val="24"/>
              </w:rPr>
            </w:pPr>
            <w:r>
              <w:rPr>
                <w:rFonts w:ascii="宋体"/>
                <w:color w:val="000000"/>
                <w:sz w:val="24"/>
              </w:rPr>
              <w:t>74.3763</w:t>
            </w:r>
          </w:p>
        </w:tc>
        <w:tc>
          <w:tcPr>
            <w:tcW w:w="1650" w:type="dxa"/>
            <w:tcBorders>
              <w:top w:val="nil"/>
              <w:left w:val="nil"/>
              <w:bottom w:val="nil"/>
              <w:right w:val="nil"/>
            </w:tcBorders>
            <w:shd w:val="clear" w:color="auto" w:fill="FFFFFF"/>
            <w:vAlign w:val="center"/>
          </w:tcPr>
          <w:p w14:paraId="7E7FF94B">
            <w:pPr>
              <w:jc w:val="center"/>
              <w:rPr>
                <w:rFonts w:ascii="宋体"/>
                <w:color w:val="000000"/>
                <w:sz w:val="24"/>
              </w:rPr>
            </w:pPr>
            <w:r>
              <w:rPr>
                <w:rFonts w:ascii="宋体"/>
                <w:color w:val="000000"/>
                <w:sz w:val="24"/>
              </w:rPr>
              <w:t>0.4623</w:t>
            </w:r>
          </w:p>
        </w:tc>
      </w:tr>
      <w:tr w14:paraId="2AA9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E63ED75">
            <w:pPr>
              <w:jc w:val="center"/>
              <w:rPr>
                <w:rFonts w:ascii="宋体"/>
                <w:color w:val="000000"/>
                <w:sz w:val="24"/>
              </w:rPr>
            </w:pPr>
            <w:r>
              <w:rPr>
                <w:rFonts w:ascii="宋体"/>
                <w:color w:val="000000"/>
                <w:sz w:val="24"/>
              </w:rPr>
              <w:t>GRU</w:t>
            </w:r>
          </w:p>
        </w:tc>
        <w:tc>
          <w:tcPr>
            <w:tcW w:w="1816" w:type="dxa"/>
            <w:tcBorders>
              <w:top w:val="nil"/>
              <w:left w:val="nil"/>
              <w:bottom w:val="nil"/>
              <w:right w:val="nil"/>
            </w:tcBorders>
            <w:shd w:val="clear" w:color="auto" w:fill="FFFFFF"/>
            <w:vAlign w:val="center"/>
          </w:tcPr>
          <w:p w14:paraId="7A996862">
            <w:pPr>
              <w:jc w:val="center"/>
              <w:rPr>
                <w:rFonts w:ascii="宋体"/>
                <w:color w:val="000000"/>
                <w:sz w:val="24"/>
              </w:rPr>
            </w:pPr>
            <w:r>
              <w:rPr>
                <w:rFonts w:ascii="宋体"/>
                <w:color w:val="000000"/>
                <w:sz w:val="24"/>
              </w:rPr>
              <w:t>3.6710</w:t>
            </w:r>
          </w:p>
        </w:tc>
        <w:tc>
          <w:tcPr>
            <w:tcW w:w="1650" w:type="dxa"/>
            <w:tcBorders>
              <w:top w:val="nil"/>
              <w:left w:val="nil"/>
              <w:bottom w:val="nil"/>
              <w:right w:val="nil"/>
            </w:tcBorders>
            <w:shd w:val="clear" w:color="auto" w:fill="FFFFFF"/>
            <w:vAlign w:val="center"/>
          </w:tcPr>
          <w:p w14:paraId="6A46715C">
            <w:pPr>
              <w:jc w:val="center"/>
              <w:rPr>
                <w:rFonts w:ascii="宋体"/>
                <w:color w:val="000000"/>
                <w:sz w:val="24"/>
              </w:rPr>
            </w:pPr>
            <w:r>
              <w:rPr>
                <w:rFonts w:ascii="宋体"/>
                <w:color w:val="000000"/>
                <w:sz w:val="24"/>
              </w:rPr>
              <w:t>80.2327</w:t>
            </w:r>
          </w:p>
        </w:tc>
        <w:tc>
          <w:tcPr>
            <w:tcW w:w="1650" w:type="dxa"/>
            <w:tcBorders>
              <w:top w:val="nil"/>
              <w:left w:val="nil"/>
              <w:bottom w:val="nil"/>
              <w:right w:val="nil"/>
            </w:tcBorders>
            <w:shd w:val="clear" w:color="auto" w:fill="FFFFFF"/>
            <w:vAlign w:val="center"/>
          </w:tcPr>
          <w:p w14:paraId="2B77B6B5">
            <w:pPr>
              <w:jc w:val="center"/>
              <w:rPr>
                <w:rFonts w:ascii="宋体"/>
                <w:color w:val="000000"/>
                <w:sz w:val="24"/>
              </w:rPr>
            </w:pPr>
            <w:r>
              <w:rPr>
                <w:rFonts w:ascii="宋体"/>
                <w:color w:val="000000"/>
                <w:sz w:val="24"/>
              </w:rPr>
              <w:t>0.4390</w:t>
            </w:r>
          </w:p>
        </w:tc>
      </w:tr>
      <w:tr w14:paraId="7981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093FB14">
            <w:pPr>
              <w:jc w:val="center"/>
              <w:rPr>
                <w:rFonts w:ascii="宋体"/>
                <w:color w:val="000000"/>
                <w:sz w:val="24"/>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3813F659">
            <w:pPr>
              <w:jc w:val="center"/>
              <w:rPr>
                <w:rFonts w:ascii="宋体"/>
                <w:color w:val="000000"/>
                <w:sz w:val="24"/>
              </w:rPr>
            </w:pPr>
            <w:r>
              <w:rPr>
                <w:rFonts w:ascii="宋体"/>
                <w:color w:val="000000"/>
                <w:sz w:val="24"/>
              </w:rPr>
              <w:t>3.6090</w:t>
            </w:r>
          </w:p>
        </w:tc>
        <w:tc>
          <w:tcPr>
            <w:tcW w:w="1650" w:type="dxa"/>
            <w:tcBorders>
              <w:top w:val="nil"/>
              <w:left w:val="nil"/>
              <w:bottom w:val="nil"/>
              <w:right w:val="nil"/>
            </w:tcBorders>
            <w:shd w:val="clear" w:color="auto" w:fill="FFFFFF"/>
            <w:vAlign w:val="center"/>
          </w:tcPr>
          <w:p w14:paraId="70DE8421">
            <w:pPr>
              <w:jc w:val="center"/>
              <w:rPr>
                <w:rFonts w:ascii="宋体"/>
                <w:color w:val="000000"/>
                <w:sz w:val="24"/>
              </w:rPr>
            </w:pPr>
            <w:r>
              <w:rPr>
                <w:rFonts w:ascii="宋体"/>
                <w:color w:val="000000"/>
                <w:sz w:val="24"/>
              </w:rPr>
              <w:t>77.8143</w:t>
            </w:r>
          </w:p>
        </w:tc>
        <w:tc>
          <w:tcPr>
            <w:tcW w:w="1650" w:type="dxa"/>
            <w:tcBorders>
              <w:top w:val="nil"/>
              <w:left w:val="nil"/>
              <w:bottom w:val="nil"/>
              <w:right w:val="nil"/>
            </w:tcBorders>
            <w:shd w:val="clear" w:color="auto" w:fill="FFFFFF"/>
            <w:vAlign w:val="center"/>
          </w:tcPr>
          <w:p w14:paraId="237FD0FD">
            <w:pPr>
              <w:jc w:val="center"/>
              <w:rPr>
                <w:rFonts w:ascii="宋体"/>
                <w:color w:val="000000"/>
                <w:sz w:val="24"/>
              </w:rPr>
            </w:pPr>
            <w:r>
              <w:rPr>
                <w:rFonts w:ascii="宋体"/>
                <w:color w:val="000000"/>
                <w:sz w:val="24"/>
              </w:rPr>
              <w:t>0.4578</w:t>
            </w:r>
          </w:p>
        </w:tc>
      </w:tr>
      <w:tr w14:paraId="16BB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6DEA6749">
            <w:pPr>
              <w:jc w:val="center"/>
              <w:rPr>
                <w:rFonts w:ascii="宋体"/>
                <w:b/>
                <w:bCs/>
                <w:color w:val="000000"/>
                <w:sz w:val="24"/>
              </w:rPr>
            </w:pPr>
            <w:r>
              <w:rPr>
                <w:rFonts w:ascii="宋体"/>
                <w:b/>
                <w:bCs/>
                <w:color w:val="000000"/>
                <w:sz w:val="24"/>
              </w:rPr>
              <w:t>EMD-BiGRU</w:t>
            </w:r>
          </w:p>
        </w:tc>
        <w:tc>
          <w:tcPr>
            <w:tcW w:w="1816" w:type="dxa"/>
            <w:tcBorders>
              <w:top w:val="nil"/>
              <w:left w:val="nil"/>
              <w:bottom w:val="single" w:color="000000" w:sz="12" w:space="0"/>
              <w:right w:val="nil"/>
            </w:tcBorders>
            <w:shd w:val="clear" w:color="auto" w:fill="FFFFFF"/>
            <w:vAlign w:val="center"/>
          </w:tcPr>
          <w:p w14:paraId="54895953">
            <w:pPr>
              <w:jc w:val="center"/>
              <w:rPr>
                <w:rFonts w:ascii="宋体"/>
                <w:b/>
                <w:bCs/>
                <w:color w:val="000000"/>
                <w:sz w:val="24"/>
              </w:rPr>
            </w:pPr>
            <w:r>
              <w:rPr>
                <w:rFonts w:ascii="宋体"/>
                <w:b/>
                <w:bCs/>
                <w:color w:val="000000"/>
                <w:sz w:val="24"/>
              </w:rPr>
              <w:t>2.1137</w:t>
            </w:r>
          </w:p>
        </w:tc>
        <w:tc>
          <w:tcPr>
            <w:tcW w:w="1650" w:type="dxa"/>
            <w:tcBorders>
              <w:top w:val="nil"/>
              <w:left w:val="nil"/>
              <w:bottom w:val="single" w:color="000000" w:sz="12" w:space="0"/>
              <w:right w:val="nil"/>
            </w:tcBorders>
            <w:shd w:val="clear" w:color="auto" w:fill="FFFFFF"/>
            <w:vAlign w:val="center"/>
          </w:tcPr>
          <w:p w14:paraId="34349E18">
            <w:pPr>
              <w:jc w:val="center"/>
              <w:rPr>
                <w:rFonts w:ascii="宋体"/>
                <w:b/>
                <w:bCs/>
                <w:color w:val="000000"/>
                <w:sz w:val="24"/>
              </w:rPr>
            </w:pPr>
            <w:r>
              <w:rPr>
                <w:rFonts w:ascii="宋体"/>
                <w:b/>
                <w:bCs/>
                <w:color w:val="000000"/>
                <w:sz w:val="24"/>
              </w:rPr>
              <w:t>36.7509</w:t>
            </w:r>
          </w:p>
        </w:tc>
        <w:tc>
          <w:tcPr>
            <w:tcW w:w="1650" w:type="dxa"/>
            <w:tcBorders>
              <w:top w:val="nil"/>
              <w:left w:val="nil"/>
              <w:bottom w:val="single" w:color="000000" w:sz="12" w:space="0"/>
              <w:right w:val="nil"/>
            </w:tcBorders>
            <w:shd w:val="clear" w:color="auto" w:fill="FFFFFF"/>
            <w:vAlign w:val="center"/>
          </w:tcPr>
          <w:p w14:paraId="61A1C97F">
            <w:pPr>
              <w:jc w:val="center"/>
              <w:rPr>
                <w:rFonts w:ascii="宋体"/>
                <w:b/>
                <w:bCs/>
                <w:color w:val="000000"/>
                <w:sz w:val="24"/>
              </w:rPr>
            </w:pPr>
            <w:r>
              <w:rPr>
                <w:rFonts w:ascii="宋体"/>
                <w:b/>
                <w:bCs/>
                <w:color w:val="000000"/>
                <w:sz w:val="24"/>
              </w:rPr>
              <w:t>0.8140</w:t>
            </w:r>
          </w:p>
        </w:tc>
      </w:tr>
    </w:tbl>
    <w:p w14:paraId="43310421">
      <w:pPr>
        <w:pStyle w:val="23"/>
        <w:ind w:firstLine="480"/>
        <w:jc w:val="center"/>
      </w:pPr>
    </w:p>
    <w:p w14:paraId="4A7835A3">
      <w:pPr>
        <w:pStyle w:val="23"/>
        <w:keepNext/>
        <w:ind w:firstLine="480"/>
        <w:jc w:val="center"/>
      </w:pPr>
      <w:r>
        <w:drawing>
          <wp:inline distT="0" distB="0" distL="114300" distR="114300">
            <wp:extent cx="4859655" cy="2915920"/>
            <wp:effectExtent l="0" t="0" r="0"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4860000" cy="2916000"/>
                    </a:xfrm>
                    <a:prstGeom prst="rect">
                      <a:avLst/>
                    </a:prstGeom>
                    <a:noFill/>
                    <a:ln>
                      <a:noFill/>
                    </a:ln>
                  </pic:spPr>
                </pic:pic>
              </a:graphicData>
            </a:graphic>
          </wp:inline>
        </w:drawing>
      </w:r>
    </w:p>
    <w:p w14:paraId="00AE8B48">
      <w:pPr>
        <w:pStyle w:val="7"/>
        <w:jc w:val="center"/>
        <w:rPr>
          <w:rFonts w:hint="eastAsia" w:ascii="宋体" w:hAnsi="宋体" w:cs="Times New Roman" w:eastAsiaTheme="minorEastAsia"/>
          <w:sz w:val="21"/>
          <w:szCs w:val="24"/>
        </w:rPr>
      </w:pPr>
      <w:bookmarkStart w:id="287" w:name="_Ref227196051"/>
      <w:bookmarkStart w:id="288" w:name="_Ref2271959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87"/>
      <w:r>
        <w:rPr>
          <w:rFonts w:hint="eastAsia" w:ascii="宋体" w:hAnsi="宋体" w:cs="Times New Roman" w:eastAsiaTheme="minorEastAsia"/>
          <w:sz w:val="21"/>
          <w:szCs w:val="24"/>
        </w:rPr>
        <w:t xml:space="preserve"> 各模型 RMSE 指标对比图</w:t>
      </w:r>
      <w:bookmarkEnd w:id="288"/>
    </w:p>
    <w:p w14:paraId="4321ED32">
      <w:pPr>
        <w:pStyle w:val="23"/>
        <w:keepNext/>
        <w:ind w:firstLine="480"/>
        <w:jc w:val="center"/>
      </w:pPr>
      <w:r>
        <w:drawing>
          <wp:inline distT="0" distB="0" distL="114300" distR="114300">
            <wp:extent cx="4859655" cy="2915920"/>
            <wp:effectExtent l="0" t="0" r="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5"/>
                    <a:stretch>
                      <a:fillRect/>
                    </a:stretch>
                  </pic:blipFill>
                  <pic:spPr>
                    <a:xfrm>
                      <a:off x="0" y="0"/>
                      <a:ext cx="4860000" cy="2916000"/>
                    </a:xfrm>
                    <a:prstGeom prst="rect">
                      <a:avLst/>
                    </a:prstGeom>
                    <a:noFill/>
                    <a:ln>
                      <a:noFill/>
                    </a:ln>
                  </pic:spPr>
                </pic:pic>
              </a:graphicData>
            </a:graphic>
          </wp:inline>
        </w:drawing>
      </w:r>
    </w:p>
    <w:p w14:paraId="07957F2B">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2</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各模型 MAPE 指标对比图</w:t>
      </w:r>
    </w:p>
    <w:p w14:paraId="0D3C580F">
      <w:pPr>
        <w:pStyle w:val="23"/>
        <w:tabs>
          <w:tab w:val="center" w:pos="4745"/>
          <w:tab w:val="left" w:pos="7488"/>
        </w:tabs>
        <w:ind w:firstLine="420"/>
        <w:jc w:val="left"/>
        <w:rPr>
          <w:rFonts w:hint="eastAsia" w:ascii="宋体" w:hAnsi="宋体" w:eastAsiaTheme="minorEastAsia"/>
          <w:sz w:val="21"/>
        </w:rPr>
      </w:pPr>
    </w:p>
    <w:p w14:paraId="5F0AFD35">
      <w:pPr>
        <w:pStyle w:val="23"/>
        <w:keepNext/>
        <w:ind w:firstLine="480"/>
        <w:jc w:val="center"/>
      </w:pPr>
      <w:r>
        <w:drawing>
          <wp:inline distT="0" distB="0" distL="114300" distR="114300">
            <wp:extent cx="4859655" cy="2915920"/>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6"/>
                    <a:stretch>
                      <a:fillRect/>
                    </a:stretch>
                  </pic:blipFill>
                  <pic:spPr>
                    <a:xfrm>
                      <a:off x="0" y="0"/>
                      <a:ext cx="4860000" cy="2916000"/>
                    </a:xfrm>
                    <a:prstGeom prst="rect">
                      <a:avLst/>
                    </a:prstGeom>
                    <a:noFill/>
                    <a:ln>
                      <a:noFill/>
                    </a:ln>
                  </pic:spPr>
                </pic:pic>
              </a:graphicData>
            </a:graphic>
          </wp:inline>
        </w:drawing>
      </w:r>
    </w:p>
    <w:p w14:paraId="43A0B837">
      <w:pPr>
        <w:pStyle w:val="7"/>
        <w:jc w:val="center"/>
        <w:rPr>
          <w:rFonts w:hint="eastAsia" w:ascii="宋体" w:hAnsi="宋体" w:cs="Times New Roman" w:eastAsiaTheme="minorEastAsia"/>
          <w:sz w:val="21"/>
          <w:szCs w:val="24"/>
        </w:rPr>
      </w:pPr>
      <w:bookmarkStart w:id="289" w:name="_Ref227196063"/>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3</w:t>
      </w:r>
      <w:r>
        <w:rPr>
          <w:rFonts w:ascii="宋体" w:hAnsi="宋体" w:cs="Times New Roman" w:eastAsiaTheme="minorEastAsia"/>
          <w:sz w:val="21"/>
          <w:szCs w:val="24"/>
        </w:rPr>
        <w:fldChar w:fldCharType="end"/>
      </w:r>
      <w:bookmarkEnd w:id="289"/>
      <w:r>
        <w:rPr>
          <w:rFonts w:hint="eastAsia" w:ascii="宋体" w:hAnsi="宋体" w:cs="Times New Roman" w:eastAsiaTheme="minorEastAsia"/>
          <w:sz w:val="21"/>
          <w:szCs w:val="24"/>
        </w:rPr>
        <w:t xml:space="preserve"> 各模型 R² 指标对比图</w:t>
      </w:r>
    </w:p>
    <w:p w14:paraId="07C7E748">
      <w:pPr>
        <w:pStyle w:val="23"/>
        <w:ind w:firstLine="0" w:firstLineChars="0"/>
      </w:pPr>
    </w:p>
    <w:bookmarkEnd w:id="286"/>
    <w:p w14:paraId="1B006BB5">
      <w:pPr>
        <w:pStyle w:val="23"/>
        <w:ind w:firstLine="480"/>
      </w:pPr>
      <w:bookmarkStart w:id="290" w:name="u55fc07ee"/>
      <w:r>
        <w:t>通过观察上表，可以发现各个模型的呈现出性能递进的关系。传统RNN模型预测数值的误差最大，在此模型基础上改进而来的LSTM、GRU模型通过门控机制提升了精度。BiGRU作为GRU的改进型，通过双向门控循环单元对特征深度提取，进一步提高了预测性能。而本文提出的EMD-BiGRU模型继承了上述表现最好的BiGRU网络，又通过结合EMD对光伏功率进行科学分解，最终在所有指标上表现最优。</w:t>
      </w:r>
    </w:p>
    <w:bookmarkEnd w:id="290"/>
    <w:p w14:paraId="7A30BB38">
      <w:pPr>
        <w:pStyle w:val="23"/>
        <w:ind w:firstLine="480"/>
      </w:pPr>
      <w:bookmarkStart w:id="291" w:name="uc7021ae1"/>
      <w:r>
        <w:t>与单一 BiGRU 相比，EMD-BiGRU 的 RMSE 降低约 41.43%，MAPE 降低约 52.77%，R² 提升约 77.81%，这样的数据表现完全符合实验预期。通过对比可知，EMD-BiGRU 模型的 RMSE 为 2.1137，MAPE 为 36.7509%，均为所有模型中最低；R² 达到 0.8140，展现了最优的拟合解释能力。</w:t>
      </w:r>
    </w:p>
    <w:bookmarkEnd w:id="291"/>
    <w:p w14:paraId="3A8B4396">
      <w:pPr>
        <w:pStyle w:val="21"/>
        <w:spacing w:before="156" w:after="156"/>
      </w:pPr>
      <w:bookmarkStart w:id="292" w:name="609a586a"/>
      <w:r>
        <w:t xml:space="preserve"> </w:t>
      </w:r>
      <w:bookmarkStart w:id="293" w:name="_Toc18067"/>
      <w:bookmarkStart w:id="294" w:name="_Toc19798"/>
      <w:bookmarkStart w:id="295" w:name="_Toc17843"/>
      <w:bookmarkStart w:id="296" w:name="_Toc227161730"/>
      <w:r>
        <w:t>预测曲线对比分析</w:t>
      </w:r>
      <w:bookmarkEnd w:id="293"/>
      <w:bookmarkEnd w:id="294"/>
      <w:bookmarkEnd w:id="295"/>
      <w:bookmarkEnd w:id="296"/>
    </w:p>
    <w:bookmarkEnd w:id="292"/>
    <w:p w14:paraId="0BACAF3B">
      <w:pPr>
        <w:pStyle w:val="23"/>
        <w:ind w:firstLine="480"/>
      </w:pPr>
      <w:bookmarkStart w:id="297" w:name="u2f787f6e"/>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图5.</w:t>
      </w:r>
      <w:r>
        <w:t>5</w:t>
      </w:r>
      <w:r>
        <w:fldChar w:fldCharType="end"/>
      </w:r>
      <w:r>
        <w:rPr>
          <w:rFonts w:hint="eastAsia"/>
        </w:rPr>
        <w:t>：</w:t>
      </w:r>
    </w:p>
    <w:p w14:paraId="7ACB26D3">
      <w:pPr>
        <w:pStyle w:val="23"/>
        <w:keepNext/>
        <w:ind w:firstLine="480"/>
      </w:pPr>
      <w:r>
        <w:drawing>
          <wp:inline distT="0" distB="0" distL="114300" distR="114300">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7"/>
                    <a:stretch>
                      <a:fillRect/>
                    </a:stretch>
                  </pic:blipFill>
                  <pic:spPr>
                    <a:xfrm>
                      <a:off x="0" y="0"/>
                      <a:ext cx="5743575" cy="2297430"/>
                    </a:xfrm>
                    <a:prstGeom prst="rect">
                      <a:avLst/>
                    </a:prstGeom>
                    <a:noFill/>
                    <a:ln>
                      <a:noFill/>
                    </a:ln>
                  </pic:spPr>
                </pic:pic>
              </a:graphicData>
            </a:graphic>
          </wp:inline>
        </w:drawing>
      </w:r>
    </w:p>
    <w:p w14:paraId="5E9D55ED">
      <w:pPr>
        <w:pStyle w:val="7"/>
        <w:jc w:val="center"/>
        <w:rPr>
          <w:rFonts w:hint="eastAsia" w:ascii="宋体" w:hAnsi="宋体" w:cs="Times New Roman" w:eastAsiaTheme="minorEastAsia"/>
          <w:sz w:val="21"/>
          <w:szCs w:val="24"/>
        </w:rPr>
      </w:pPr>
      <w:bookmarkStart w:id="298" w:name="_Ref2271968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298"/>
      <w:r>
        <w:rPr>
          <w:rFonts w:hint="eastAsia" w:ascii="宋体" w:hAnsi="宋体" w:cs="Times New Roman" w:eastAsiaTheme="minorEastAsia"/>
          <w:sz w:val="21"/>
          <w:szCs w:val="24"/>
        </w:rPr>
        <w:t xml:space="preserve"> 预测曲线多模型对比</w:t>
      </w:r>
    </w:p>
    <w:p w14:paraId="54F646E1">
      <w:pPr>
        <w:pStyle w:val="23"/>
        <w:ind w:firstLine="480"/>
      </w:pPr>
    </w:p>
    <w:p w14:paraId="070A0128">
      <w:pPr>
        <w:pStyle w:val="23"/>
        <w:keepNext/>
        <w:ind w:firstLine="480"/>
        <w:jc w:val="center"/>
      </w:pPr>
      <w:r>
        <w:drawing>
          <wp:inline distT="0" distB="0" distL="114300" distR="114300">
            <wp:extent cx="5720715" cy="2451735"/>
            <wp:effectExtent l="0" t="0" r="952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8"/>
                    <a:stretch>
                      <a:fillRect/>
                    </a:stretch>
                  </pic:blipFill>
                  <pic:spPr>
                    <a:xfrm>
                      <a:off x="0" y="0"/>
                      <a:ext cx="5720715" cy="2451735"/>
                    </a:xfrm>
                    <a:prstGeom prst="rect">
                      <a:avLst/>
                    </a:prstGeom>
                    <a:noFill/>
                    <a:ln>
                      <a:noFill/>
                    </a:ln>
                  </pic:spPr>
                </pic:pic>
              </a:graphicData>
            </a:graphic>
          </wp:inline>
        </w:drawing>
      </w:r>
    </w:p>
    <w:p w14:paraId="25DAFFB9">
      <w:pPr>
        <w:pStyle w:val="7"/>
        <w:jc w:val="center"/>
        <w:rPr>
          <w:rFonts w:hint="eastAsia" w:ascii="宋体" w:hAnsi="宋体" w:cs="Times New Roman" w:eastAsiaTheme="minorEastAsia"/>
          <w:sz w:val="21"/>
          <w:szCs w:val="24"/>
        </w:rPr>
      </w:pPr>
      <w:bookmarkStart w:id="299" w:name="_Ref227196865"/>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5</w:t>
      </w:r>
      <w:r>
        <w:rPr>
          <w:rFonts w:ascii="宋体" w:hAnsi="宋体" w:cs="Times New Roman" w:eastAsiaTheme="minorEastAsia"/>
          <w:sz w:val="21"/>
          <w:szCs w:val="24"/>
        </w:rPr>
        <w:fldChar w:fldCharType="end"/>
      </w:r>
      <w:bookmarkEnd w:id="299"/>
      <w:r>
        <w:rPr>
          <w:rFonts w:hint="eastAsia" w:ascii="宋体" w:hAnsi="宋体" w:cs="Times New Roman" w:eastAsiaTheme="minorEastAsia"/>
          <w:sz w:val="21"/>
          <w:szCs w:val="24"/>
        </w:rPr>
        <w:t xml:space="preserve"> 局部最优100点多模型对比</w:t>
      </w:r>
    </w:p>
    <w:p w14:paraId="5D912BC8">
      <w:pPr>
        <w:pStyle w:val="23"/>
        <w:ind w:firstLine="480"/>
      </w:pPr>
    </w:p>
    <w:bookmarkEnd w:id="297"/>
    <w:p w14:paraId="25496DC0">
      <w:pPr>
        <w:pStyle w:val="23"/>
        <w:ind w:firstLine="480"/>
      </w:pPr>
      <w:bookmarkStart w:id="300"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300"/>
    <w:p w14:paraId="0D042D47">
      <w:pPr>
        <w:pStyle w:val="23"/>
        <w:ind w:firstLine="480"/>
      </w:pPr>
      <w:bookmarkStart w:id="301" w:name="u97c56149"/>
      <w:r>
        <w:t>结果表明，EMD通过分解复杂的变化序列为简单平稳分量，使得BiGRU能够更精确地捕捉到光伏功率的波动变化规律，从而在视觉上呈现出更优秀的预测效果。</w:t>
      </w:r>
    </w:p>
    <w:p w14:paraId="7449BE0D">
      <w:pPr>
        <w:pStyle w:val="21"/>
        <w:spacing w:before="156" w:after="156"/>
      </w:pPr>
      <w:r>
        <w:t xml:space="preserve"> </w:t>
      </w:r>
      <w:bookmarkStart w:id="302" w:name="_Toc7730"/>
      <w:bookmarkStart w:id="303" w:name="_Toc481"/>
      <w:bookmarkStart w:id="304" w:name="_Toc7144"/>
      <w:bookmarkStart w:id="305" w:name="_Toc227161731"/>
      <w:r>
        <w:t>EMD 模态分解结果与物理机理映射</w:t>
      </w:r>
      <w:bookmarkEnd w:id="302"/>
      <w:bookmarkEnd w:id="303"/>
      <w:bookmarkEnd w:id="304"/>
      <w:bookmarkEnd w:id="305"/>
    </w:p>
    <w:p w14:paraId="4C0D00F1">
      <w:pPr>
        <w:pStyle w:val="23"/>
        <w:ind w:firstLine="48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29EA0015">
      <w:pPr>
        <w:pStyle w:val="23"/>
        <w:keepNext/>
        <w:ind w:firstLine="480"/>
      </w:pPr>
      <w:r>
        <w:drawing>
          <wp:inline distT="0" distB="0" distL="114300" distR="114300">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9"/>
                    <a:stretch>
                      <a:fillRect/>
                    </a:stretch>
                  </pic:blipFill>
                  <pic:spPr>
                    <a:xfrm>
                      <a:off x="0" y="0"/>
                      <a:ext cx="5726430" cy="3817620"/>
                    </a:xfrm>
                    <a:prstGeom prst="rect">
                      <a:avLst/>
                    </a:prstGeom>
                    <a:noFill/>
                    <a:ln>
                      <a:noFill/>
                    </a:ln>
                  </pic:spPr>
                </pic:pic>
              </a:graphicData>
            </a:graphic>
          </wp:inline>
        </w:drawing>
      </w:r>
    </w:p>
    <w:p w14:paraId="1111FA00">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6</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EMD分解图</w:t>
      </w:r>
    </w:p>
    <w:p w14:paraId="79B099B4">
      <w:pPr>
        <w:pStyle w:val="23"/>
        <w:ind w:firstLine="480"/>
      </w:pPr>
    </w:p>
    <w:bookmarkEnd w:id="301"/>
    <w:p w14:paraId="07058814">
      <w:pPr>
        <w:pStyle w:val="21"/>
        <w:spacing w:before="156" w:after="156"/>
      </w:pPr>
      <w:bookmarkStart w:id="306" w:name="f50be0de"/>
      <w:r>
        <w:t xml:space="preserve"> </w:t>
      </w:r>
      <w:bookmarkStart w:id="307" w:name="_Toc14409"/>
      <w:bookmarkStart w:id="308" w:name="_Toc227161732"/>
      <w:bookmarkStart w:id="309" w:name="_Toc9414"/>
      <w:bookmarkStart w:id="310" w:name="_Toc28469"/>
      <w:r>
        <w:t>模型损失曲线分析</w:t>
      </w:r>
      <w:bookmarkEnd w:id="307"/>
      <w:bookmarkEnd w:id="308"/>
      <w:bookmarkEnd w:id="309"/>
      <w:bookmarkEnd w:id="310"/>
    </w:p>
    <w:bookmarkEnd w:id="306"/>
    <w:p w14:paraId="7A421A24">
      <w:pPr>
        <w:pStyle w:val="23"/>
        <w:ind w:firstLine="480"/>
      </w:pPr>
      <w:bookmarkStart w:id="311" w:name="u42794d2c"/>
      <w:r>
        <w:t>训练过程中往往会出线过拟合情况，一般会利用训练损失与验证损失曲线观察这种现象。本文的EMD-BiGRU模型损失曲线如下。</w:t>
      </w:r>
    </w:p>
    <w:bookmarkEnd w:id="311"/>
    <w:p w14:paraId="54F1BDBB">
      <w:pPr>
        <w:pStyle w:val="23"/>
        <w:ind w:firstLine="480"/>
      </w:pPr>
      <w:bookmarkStart w:id="312"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312"/>
    <w:p w14:paraId="59088314">
      <w:pPr>
        <w:pStyle w:val="23"/>
        <w:ind w:firstLine="480"/>
      </w:pPr>
      <w:bookmarkStart w:id="313" w:name="ue1e3c19e"/>
      <w:r>
        <w:t>总结来看，对比单一模型，EMD-BiGRU收敛速度快、训练后的最终损失低，EMD分解预处理明显提高了深度学习模型的效果和稳定性。</w:t>
      </w:r>
    </w:p>
    <w:bookmarkEnd w:id="313"/>
    <w:p w14:paraId="36996F6E">
      <w:pPr>
        <w:pStyle w:val="21"/>
        <w:spacing w:before="156" w:after="156"/>
      </w:pPr>
      <w:bookmarkStart w:id="314" w:name="bb8978cb"/>
      <w:r>
        <w:t xml:space="preserve"> </w:t>
      </w:r>
      <w:bookmarkStart w:id="315" w:name="_Toc9753"/>
      <w:bookmarkStart w:id="316" w:name="_Toc14105"/>
      <w:bookmarkStart w:id="317" w:name="_Toc227161733"/>
      <w:bookmarkStart w:id="318" w:name="_Toc8276"/>
      <w:r>
        <w:t>误差来源分析</w:t>
      </w:r>
      <w:bookmarkEnd w:id="315"/>
      <w:bookmarkEnd w:id="316"/>
      <w:bookmarkEnd w:id="317"/>
      <w:bookmarkEnd w:id="318"/>
    </w:p>
    <w:bookmarkEnd w:id="314"/>
    <w:p w14:paraId="3754AEA5">
      <w:pPr>
        <w:pStyle w:val="23"/>
        <w:ind w:firstLine="480"/>
      </w:pPr>
      <w:bookmarkStart w:id="319" w:name="ufd606f3b"/>
      <w:r>
        <w:t>通过实验观察与理论分析，本文模型误差主要来源于以下方面：</w:t>
      </w:r>
    </w:p>
    <w:bookmarkEnd w:id="319"/>
    <w:p w14:paraId="46BCC80F">
      <w:pPr>
        <w:pStyle w:val="23"/>
        <w:keepNext w:val="0"/>
        <w:keepLines w:val="0"/>
        <w:pageBreakBefore w:val="0"/>
        <w:widowControl w:val="0"/>
        <w:numPr>
          <w:ilvl w:val="0"/>
          <w:numId w:val="7"/>
        </w:numPr>
        <w:kinsoku/>
        <w:wordWrap/>
        <w:overflowPunct/>
        <w:topLinePunct w:val="0"/>
        <w:autoSpaceDE/>
        <w:autoSpaceDN/>
        <w:bidi w:val="0"/>
        <w:adjustRightInd/>
        <w:snapToGrid/>
        <w:ind w:left="0" w:leftChars="0" w:firstLine="425" w:firstLineChars="0"/>
        <w:textAlignment w:val="auto"/>
      </w:pPr>
      <w:bookmarkStart w:id="320" w:name="udaa1a10c"/>
      <w:r>
        <w:t>模态混叠影响：EMD 在信号剧烈波动时仍存在一定模态混叠，导致部分分量特征模糊；</w:t>
      </w:r>
    </w:p>
    <w:bookmarkEnd w:id="320"/>
    <w:p w14:paraId="5353B24D">
      <w:pPr>
        <w:pStyle w:val="23"/>
        <w:keepNext w:val="0"/>
        <w:keepLines w:val="0"/>
        <w:pageBreakBefore w:val="0"/>
        <w:widowControl w:val="0"/>
        <w:numPr>
          <w:ilvl w:val="0"/>
          <w:numId w:val="7"/>
        </w:numPr>
        <w:kinsoku/>
        <w:wordWrap/>
        <w:overflowPunct/>
        <w:topLinePunct w:val="0"/>
        <w:autoSpaceDE/>
        <w:autoSpaceDN/>
        <w:bidi w:val="0"/>
        <w:adjustRightInd/>
        <w:snapToGrid/>
        <w:ind w:left="0" w:leftChars="0" w:firstLine="425" w:firstLineChars="0"/>
        <w:textAlignment w:val="auto"/>
      </w:pPr>
      <w:bookmarkStart w:id="321" w:name="u058c01e3"/>
      <w:r>
        <w:t>气象数据噪声：实测温度、湿度数据存在微小测量误差，影响输入质量；</w:t>
      </w:r>
    </w:p>
    <w:bookmarkEnd w:id="321"/>
    <w:p w14:paraId="4CEC1F6B">
      <w:pPr>
        <w:pStyle w:val="23"/>
        <w:keepNext w:val="0"/>
        <w:keepLines w:val="0"/>
        <w:pageBreakBefore w:val="0"/>
        <w:widowControl w:val="0"/>
        <w:numPr>
          <w:ilvl w:val="0"/>
          <w:numId w:val="7"/>
        </w:numPr>
        <w:kinsoku/>
        <w:wordWrap/>
        <w:overflowPunct/>
        <w:topLinePunct w:val="0"/>
        <w:autoSpaceDE/>
        <w:autoSpaceDN/>
        <w:bidi w:val="0"/>
        <w:adjustRightInd/>
        <w:snapToGrid/>
        <w:ind w:left="0" w:leftChars="0" w:firstLine="425" w:firstLineChars="0"/>
        <w:textAlignment w:val="auto"/>
      </w:pPr>
      <w:bookmarkStart w:id="322" w:name="uc18bcde8"/>
      <w:r>
        <w:t>突发天气扰动：极端短时强对流、局部云层快速移动等难以完全捕捉；</w:t>
      </w:r>
    </w:p>
    <w:bookmarkEnd w:id="322"/>
    <w:p w14:paraId="197E37D8">
      <w:pPr>
        <w:pStyle w:val="23"/>
        <w:keepNext w:val="0"/>
        <w:keepLines w:val="0"/>
        <w:pageBreakBefore w:val="0"/>
        <w:widowControl w:val="0"/>
        <w:numPr>
          <w:ilvl w:val="0"/>
          <w:numId w:val="7"/>
        </w:numPr>
        <w:kinsoku/>
        <w:wordWrap/>
        <w:overflowPunct/>
        <w:topLinePunct w:val="0"/>
        <w:autoSpaceDE/>
        <w:autoSpaceDN/>
        <w:bidi w:val="0"/>
        <w:adjustRightInd/>
        <w:snapToGrid/>
        <w:ind w:left="0" w:leftChars="0" w:firstLine="425" w:firstLineChars="0"/>
        <w:textAlignment w:val="auto"/>
      </w:pPr>
      <w:bookmarkStart w:id="323" w:name="u6a2571a8"/>
      <w:r>
        <w:t>模型结构限制：未引入注意力机制，对关键时段特征权重分配不足；</w:t>
      </w:r>
    </w:p>
    <w:bookmarkEnd w:id="323"/>
    <w:p w14:paraId="1A31297F">
      <w:pPr>
        <w:pStyle w:val="23"/>
        <w:keepNext w:val="0"/>
        <w:keepLines w:val="0"/>
        <w:pageBreakBefore w:val="0"/>
        <w:widowControl w:val="0"/>
        <w:numPr>
          <w:ilvl w:val="0"/>
          <w:numId w:val="7"/>
        </w:numPr>
        <w:kinsoku/>
        <w:wordWrap/>
        <w:overflowPunct/>
        <w:topLinePunct w:val="0"/>
        <w:autoSpaceDE/>
        <w:autoSpaceDN/>
        <w:bidi w:val="0"/>
        <w:adjustRightInd/>
        <w:snapToGrid/>
        <w:ind w:left="0" w:leftChars="0" w:firstLine="425" w:firstLineChars="0"/>
        <w:textAlignment w:val="auto"/>
      </w:pPr>
      <w:bookmarkStart w:id="324" w:name="u2fdfa6ce"/>
      <w:r>
        <w:t>超参数优化空间：采用控制变量法，未使用贝叶斯优化等智能算法。</w:t>
      </w:r>
    </w:p>
    <w:p w14:paraId="6B11A04F">
      <w:pPr>
        <w:pStyle w:val="21"/>
        <w:spacing w:before="156" w:after="156"/>
      </w:pPr>
      <w:r>
        <w:t xml:space="preserve"> </w:t>
      </w:r>
      <w:bookmarkStart w:id="325" w:name="_Toc25291"/>
      <w:bookmarkStart w:id="326" w:name="_Toc227161734"/>
      <w:bookmarkStart w:id="327" w:name="_Toc25998"/>
      <w:bookmarkStart w:id="328" w:name="_Toc8730"/>
      <w:r>
        <w:rPr>
          <w:rFonts w:hint="eastAsia"/>
        </w:rPr>
        <w:t>超参数网格搜索与敏感性分析</w:t>
      </w:r>
      <w:bookmarkEnd w:id="325"/>
      <w:bookmarkEnd w:id="326"/>
      <w:bookmarkEnd w:id="327"/>
      <w:bookmarkEnd w:id="328"/>
    </w:p>
    <w:p w14:paraId="1E3FF93A">
      <w:pPr>
        <w:pStyle w:val="23"/>
        <w:ind w:firstLine="480"/>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w:t>
      </w:r>
      <w:r>
        <w:rPr>
          <w:rFonts w:hint="eastAsia"/>
        </w:rPr>
        <w:t>.1</w:t>
      </w:r>
      <w:r>
        <w:t xml:space="preserve"> 所示。</w:t>
      </w:r>
    </w:p>
    <w:p w14:paraId="1748E9BC">
      <w:pPr>
        <w:jc w:val="center"/>
        <w:rPr>
          <w:rFonts w:eastAsia="黑体"/>
          <w:b/>
          <w:bCs/>
        </w:rPr>
      </w:pPr>
      <w:r>
        <w:rPr>
          <w:rFonts w:eastAsia="黑体"/>
          <w:b/>
          <w:bCs/>
        </w:rPr>
        <w:t>表</w:t>
      </w:r>
      <w:r>
        <w:rPr>
          <w:rFonts w:hint="eastAsia" w:eastAsia="黑体"/>
          <w:b/>
          <w:bCs/>
        </w:rPr>
        <w:t>5.1超参数网格搜索实验结果汇总表（部分）</w:t>
      </w:r>
    </w:p>
    <w:tbl>
      <w:tblPr>
        <w:tblStyle w:val="15"/>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1426"/>
        <w:gridCol w:w="1426"/>
        <w:gridCol w:w="942"/>
        <w:gridCol w:w="942"/>
        <w:gridCol w:w="1063"/>
        <w:gridCol w:w="942"/>
      </w:tblGrid>
      <w:tr w14:paraId="2E7A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12" w:space="0"/>
              <w:left w:val="nil"/>
              <w:bottom w:val="single" w:color="000000" w:sz="4" w:space="0"/>
              <w:right w:val="nil"/>
              <w:tl2br w:val="nil"/>
            </w:tcBorders>
            <w:vAlign w:val="center"/>
          </w:tcPr>
          <w:p w14:paraId="633B8598">
            <w:pPr>
              <w:jc w:val="center"/>
              <w:rPr>
                <w:rFonts w:ascii="宋体"/>
                <w:b/>
                <w:color w:val="000000"/>
                <w:sz w:val="24"/>
              </w:rPr>
            </w:pPr>
            <w:r>
              <w:rPr>
                <w:rFonts w:ascii="宋体"/>
                <w:b/>
                <w:color w:val="000000"/>
                <w:sz w:val="24"/>
              </w:rPr>
              <w:t>IMF_Num</w:t>
            </w:r>
          </w:p>
        </w:tc>
        <w:tc>
          <w:tcPr>
            <w:tcW w:w="1426" w:type="dxa"/>
            <w:tcBorders>
              <w:top w:val="single" w:color="000000" w:sz="12" w:space="0"/>
              <w:left w:val="nil"/>
              <w:bottom w:val="single" w:color="000000" w:sz="4" w:space="0"/>
              <w:right w:val="nil"/>
            </w:tcBorders>
            <w:vAlign w:val="center"/>
          </w:tcPr>
          <w:p w14:paraId="7D81102D">
            <w:pPr>
              <w:jc w:val="center"/>
              <w:rPr>
                <w:rFonts w:ascii="宋体"/>
                <w:b/>
                <w:color w:val="000000"/>
                <w:sz w:val="24"/>
              </w:rPr>
            </w:pPr>
            <w:r>
              <w:rPr>
                <w:rFonts w:ascii="宋体"/>
                <w:b/>
                <w:color w:val="000000"/>
                <w:sz w:val="24"/>
              </w:rPr>
              <w:t>Time_Steps</w:t>
            </w:r>
          </w:p>
        </w:tc>
        <w:tc>
          <w:tcPr>
            <w:tcW w:w="1426" w:type="dxa"/>
            <w:tcBorders>
              <w:top w:val="single" w:color="000000" w:sz="12" w:space="0"/>
              <w:left w:val="nil"/>
              <w:bottom w:val="single" w:color="000000" w:sz="4" w:space="0"/>
              <w:right w:val="nil"/>
            </w:tcBorders>
            <w:vAlign w:val="center"/>
          </w:tcPr>
          <w:p w14:paraId="5B568721">
            <w:pPr>
              <w:jc w:val="center"/>
              <w:rPr>
                <w:rFonts w:ascii="宋体"/>
                <w:b/>
                <w:color w:val="000000"/>
                <w:sz w:val="24"/>
              </w:rPr>
            </w:pPr>
            <w:r>
              <w:rPr>
                <w:rFonts w:ascii="宋体"/>
                <w:b/>
                <w:color w:val="000000"/>
                <w:sz w:val="24"/>
              </w:rPr>
              <w:t>Batch_Size</w:t>
            </w:r>
          </w:p>
        </w:tc>
        <w:tc>
          <w:tcPr>
            <w:tcW w:w="942" w:type="dxa"/>
            <w:tcBorders>
              <w:top w:val="single" w:color="000000" w:sz="12" w:space="0"/>
              <w:left w:val="nil"/>
              <w:bottom w:val="single" w:color="000000" w:sz="4" w:space="0"/>
              <w:right w:val="nil"/>
            </w:tcBorders>
            <w:vAlign w:val="center"/>
          </w:tcPr>
          <w:p w14:paraId="218AF5B3">
            <w:pPr>
              <w:jc w:val="center"/>
              <w:rPr>
                <w:rFonts w:ascii="宋体"/>
                <w:b/>
                <w:color w:val="000000"/>
                <w:sz w:val="24"/>
              </w:rPr>
            </w:pPr>
            <w:r>
              <w:rPr>
                <w:rFonts w:ascii="宋体"/>
                <w:b/>
                <w:color w:val="000000"/>
                <w:sz w:val="24"/>
              </w:rPr>
              <w:t>RMSE</w:t>
            </w:r>
          </w:p>
        </w:tc>
        <w:tc>
          <w:tcPr>
            <w:tcW w:w="942" w:type="dxa"/>
            <w:tcBorders>
              <w:top w:val="single" w:color="000000" w:sz="12" w:space="0"/>
              <w:left w:val="nil"/>
              <w:bottom w:val="single" w:color="000000" w:sz="4" w:space="0"/>
              <w:right w:val="nil"/>
            </w:tcBorders>
            <w:vAlign w:val="center"/>
          </w:tcPr>
          <w:p w14:paraId="6B009F67">
            <w:pPr>
              <w:jc w:val="center"/>
              <w:rPr>
                <w:rFonts w:ascii="宋体"/>
                <w:b/>
                <w:color w:val="000000"/>
                <w:sz w:val="24"/>
              </w:rPr>
            </w:pPr>
            <w:r>
              <w:rPr>
                <w:rFonts w:ascii="宋体"/>
                <w:b/>
                <w:color w:val="000000"/>
                <w:sz w:val="24"/>
              </w:rPr>
              <w:t>MAE</w:t>
            </w:r>
          </w:p>
        </w:tc>
        <w:tc>
          <w:tcPr>
            <w:tcW w:w="1063" w:type="dxa"/>
            <w:tcBorders>
              <w:top w:val="single" w:color="000000" w:sz="12" w:space="0"/>
              <w:left w:val="nil"/>
              <w:bottom w:val="single" w:color="000000" w:sz="4" w:space="0"/>
              <w:right w:val="nil"/>
            </w:tcBorders>
            <w:vAlign w:val="center"/>
          </w:tcPr>
          <w:p w14:paraId="11F02849">
            <w:pPr>
              <w:jc w:val="center"/>
              <w:rPr>
                <w:rFonts w:ascii="宋体"/>
                <w:b/>
                <w:color w:val="000000"/>
                <w:sz w:val="24"/>
              </w:rPr>
            </w:pPr>
            <w:r>
              <w:rPr>
                <w:rFonts w:ascii="宋体"/>
                <w:b/>
                <w:color w:val="000000"/>
                <w:sz w:val="24"/>
              </w:rPr>
              <w:t>MAPE(%)</w:t>
            </w:r>
          </w:p>
        </w:tc>
        <w:tc>
          <w:tcPr>
            <w:tcW w:w="942" w:type="dxa"/>
            <w:tcBorders>
              <w:top w:val="single" w:color="000000" w:sz="12" w:space="0"/>
              <w:left w:val="nil"/>
              <w:bottom w:val="single" w:color="000000" w:sz="4" w:space="0"/>
              <w:right w:val="nil"/>
            </w:tcBorders>
            <w:vAlign w:val="center"/>
          </w:tcPr>
          <w:p w14:paraId="4546215B">
            <w:pPr>
              <w:jc w:val="center"/>
              <w:rPr>
                <w:rFonts w:ascii="宋体"/>
                <w:b/>
                <w:color w:val="000000"/>
                <w:sz w:val="24"/>
              </w:rPr>
            </w:pPr>
            <w:r>
              <w:rPr>
                <w:rFonts w:ascii="宋体"/>
                <w:b/>
                <w:color w:val="000000"/>
                <w:sz w:val="24"/>
              </w:rPr>
              <w:t>R²</w:t>
            </w:r>
          </w:p>
        </w:tc>
      </w:tr>
      <w:tr w14:paraId="71CA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B9A9E9E">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65C3D2C9">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247A5C7C">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053AD75E">
            <w:pPr>
              <w:jc w:val="center"/>
              <w:rPr>
                <w:rFonts w:ascii="宋体"/>
                <w:color w:val="000000"/>
                <w:sz w:val="24"/>
              </w:rPr>
            </w:pPr>
            <w:r>
              <w:rPr>
                <w:rFonts w:ascii="宋体"/>
                <w:color w:val="000000"/>
                <w:sz w:val="24"/>
              </w:rPr>
              <w:t>3.2355</w:t>
            </w:r>
          </w:p>
        </w:tc>
        <w:tc>
          <w:tcPr>
            <w:tcW w:w="942" w:type="dxa"/>
            <w:tcBorders>
              <w:top w:val="nil"/>
              <w:left w:val="nil"/>
              <w:bottom w:val="nil"/>
              <w:right w:val="nil"/>
            </w:tcBorders>
            <w:shd w:val="clear" w:color="auto" w:fill="FFFFFF"/>
            <w:vAlign w:val="center"/>
          </w:tcPr>
          <w:p w14:paraId="3D64EE37">
            <w:pPr>
              <w:jc w:val="center"/>
              <w:rPr>
                <w:rFonts w:ascii="宋体"/>
                <w:color w:val="000000"/>
                <w:sz w:val="24"/>
              </w:rPr>
            </w:pPr>
            <w:r>
              <w:rPr>
                <w:rFonts w:ascii="宋体"/>
                <w:color w:val="000000"/>
                <w:sz w:val="24"/>
              </w:rPr>
              <w:t>2.2075</w:t>
            </w:r>
          </w:p>
        </w:tc>
        <w:tc>
          <w:tcPr>
            <w:tcW w:w="1063" w:type="dxa"/>
            <w:tcBorders>
              <w:top w:val="nil"/>
              <w:left w:val="nil"/>
              <w:bottom w:val="nil"/>
              <w:right w:val="nil"/>
            </w:tcBorders>
            <w:shd w:val="clear" w:color="auto" w:fill="FFFFFF"/>
            <w:vAlign w:val="center"/>
          </w:tcPr>
          <w:p w14:paraId="64138F3E">
            <w:pPr>
              <w:jc w:val="center"/>
              <w:rPr>
                <w:rFonts w:ascii="宋体"/>
                <w:color w:val="000000"/>
                <w:sz w:val="24"/>
              </w:rPr>
            </w:pPr>
            <w:r>
              <w:rPr>
                <w:rFonts w:ascii="宋体"/>
                <w:color w:val="000000"/>
                <w:sz w:val="24"/>
              </w:rPr>
              <w:t>67.6073</w:t>
            </w:r>
          </w:p>
        </w:tc>
        <w:tc>
          <w:tcPr>
            <w:tcW w:w="942" w:type="dxa"/>
            <w:tcBorders>
              <w:top w:val="nil"/>
              <w:left w:val="nil"/>
              <w:bottom w:val="nil"/>
              <w:right w:val="nil"/>
            </w:tcBorders>
            <w:shd w:val="clear" w:color="auto" w:fill="FFFFFF"/>
            <w:vAlign w:val="center"/>
          </w:tcPr>
          <w:p w14:paraId="5D6B2081">
            <w:pPr>
              <w:jc w:val="center"/>
              <w:rPr>
                <w:rFonts w:ascii="宋体"/>
                <w:color w:val="000000"/>
                <w:sz w:val="24"/>
              </w:rPr>
            </w:pPr>
            <w:r>
              <w:rPr>
                <w:rFonts w:ascii="宋体"/>
                <w:color w:val="000000"/>
                <w:sz w:val="24"/>
              </w:rPr>
              <w:t>0.5668</w:t>
            </w:r>
          </w:p>
        </w:tc>
      </w:tr>
      <w:tr w14:paraId="206D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0C1B048F">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038A913C">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75F24F82">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6BE12E94">
            <w:pPr>
              <w:jc w:val="center"/>
              <w:rPr>
                <w:rFonts w:ascii="宋体"/>
                <w:color w:val="000000"/>
                <w:sz w:val="24"/>
              </w:rPr>
            </w:pPr>
            <w:r>
              <w:rPr>
                <w:rFonts w:ascii="宋体"/>
                <w:color w:val="000000"/>
                <w:sz w:val="24"/>
              </w:rPr>
              <w:t>2.8060</w:t>
            </w:r>
          </w:p>
        </w:tc>
        <w:tc>
          <w:tcPr>
            <w:tcW w:w="942" w:type="dxa"/>
            <w:tcBorders>
              <w:top w:val="nil"/>
              <w:left w:val="nil"/>
              <w:bottom w:val="nil"/>
              <w:right w:val="nil"/>
            </w:tcBorders>
            <w:shd w:val="clear" w:color="auto" w:fill="FFFFFF"/>
            <w:vAlign w:val="center"/>
          </w:tcPr>
          <w:p w14:paraId="38C4C373">
            <w:pPr>
              <w:jc w:val="center"/>
              <w:rPr>
                <w:rFonts w:ascii="宋体"/>
                <w:color w:val="000000"/>
                <w:sz w:val="24"/>
              </w:rPr>
            </w:pPr>
            <w:r>
              <w:rPr>
                <w:rFonts w:ascii="宋体"/>
                <w:color w:val="000000"/>
                <w:sz w:val="24"/>
              </w:rPr>
              <w:t>2.2202</w:t>
            </w:r>
          </w:p>
        </w:tc>
        <w:tc>
          <w:tcPr>
            <w:tcW w:w="1063" w:type="dxa"/>
            <w:tcBorders>
              <w:top w:val="nil"/>
              <w:left w:val="nil"/>
              <w:bottom w:val="nil"/>
              <w:right w:val="nil"/>
            </w:tcBorders>
            <w:shd w:val="clear" w:color="auto" w:fill="FFFFFF"/>
            <w:vAlign w:val="center"/>
          </w:tcPr>
          <w:p w14:paraId="6F8AEAF7">
            <w:pPr>
              <w:jc w:val="center"/>
              <w:rPr>
                <w:rFonts w:ascii="宋体"/>
                <w:color w:val="000000"/>
                <w:sz w:val="24"/>
              </w:rPr>
            </w:pPr>
            <w:r>
              <w:rPr>
                <w:rFonts w:ascii="宋体"/>
                <w:color w:val="000000"/>
                <w:sz w:val="24"/>
              </w:rPr>
              <w:t>55.9989</w:t>
            </w:r>
          </w:p>
        </w:tc>
        <w:tc>
          <w:tcPr>
            <w:tcW w:w="942" w:type="dxa"/>
            <w:tcBorders>
              <w:top w:val="nil"/>
              <w:left w:val="nil"/>
              <w:bottom w:val="nil"/>
              <w:right w:val="nil"/>
            </w:tcBorders>
            <w:shd w:val="clear" w:color="auto" w:fill="FFFFFF"/>
            <w:vAlign w:val="center"/>
          </w:tcPr>
          <w:p w14:paraId="3F64FDEA">
            <w:pPr>
              <w:jc w:val="center"/>
              <w:rPr>
                <w:rFonts w:ascii="宋体"/>
                <w:color w:val="000000"/>
                <w:sz w:val="24"/>
              </w:rPr>
            </w:pPr>
            <w:r>
              <w:rPr>
                <w:rFonts w:ascii="宋体"/>
                <w:color w:val="000000"/>
                <w:sz w:val="24"/>
              </w:rPr>
              <w:t>0.6742</w:t>
            </w:r>
          </w:p>
        </w:tc>
      </w:tr>
      <w:tr w14:paraId="0C9E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26A663A">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36E08B93">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5F574B56">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32F20047">
            <w:pPr>
              <w:jc w:val="center"/>
              <w:rPr>
                <w:rFonts w:ascii="宋体"/>
                <w:color w:val="000000"/>
                <w:sz w:val="24"/>
              </w:rPr>
            </w:pPr>
            <w:r>
              <w:rPr>
                <w:rFonts w:ascii="宋体"/>
                <w:color w:val="000000"/>
                <w:sz w:val="24"/>
              </w:rPr>
              <w:t>2.6829</w:t>
            </w:r>
          </w:p>
        </w:tc>
        <w:tc>
          <w:tcPr>
            <w:tcW w:w="942" w:type="dxa"/>
            <w:tcBorders>
              <w:top w:val="nil"/>
              <w:left w:val="nil"/>
              <w:bottom w:val="nil"/>
              <w:right w:val="nil"/>
            </w:tcBorders>
            <w:shd w:val="clear" w:color="auto" w:fill="FFFFFF"/>
            <w:vAlign w:val="center"/>
          </w:tcPr>
          <w:p w14:paraId="09017C10">
            <w:pPr>
              <w:jc w:val="center"/>
              <w:rPr>
                <w:rFonts w:ascii="宋体"/>
                <w:color w:val="000000"/>
                <w:sz w:val="24"/>
              </w:rPr>
            </w:pPr>
            <w:r>
              <w:rPr>
                <w:rFonts w:ascii="宋体"/>
                <w:color w:val="000000"/>
                <w:sz w:val="24"/>
              </w:rPr>
              <w:t>2.0599</w:t>
            </w:r>
          </w:p>
        </w:tc>
        <w:tc>
          <w:tcPr>
            <w:tcW w:w="1063" w:type="dxa"/>
            <w:tcBorders>
              <w:top w:val="nil"/>
              <w:left w:val="nil"/>
              <w:bottom w:val="nil"/>
              <w:right w:val="nil"/>
            </w:tcBorders>
            <w:shd w:val="clear" w:color="auto" w:fill="FFFFFF"/>
            <w:vAlign w:val="center"/>
          </w:tcPr>
          <w:p w14:paraId="1901243E">
            <w:pPr>
              <w:jc w:val="center"/>
              <w:rPr>
                <w:rFonts w:ascii="宋体"/>
                <w:color w:val="000000"/>
                <w:sz w:val="24"/>
              </w:rPr>
            </w:pPr>
            <w:r>
              <w:rPr>
                <w:rFonts w:ascii="宋体"/>
                <w:color w:val="000000"/>
                <w:sz w:val="24"/>
              </w:rPr>
              <w:t>54.5791</w:t>
            </w:r>
          </w:p>
        </w:tc>
        <w:tc>
          <w:tcPr>
            <w:tcW w:w="942" w:type="dxa"/>
            <w:tcBorders>
              <w:top w:val="nil"/>
              <w:left w:val="nil"/>
              <w:bottom w:val="nil"/>
              <w:right w:val="nil"/>
            </w:tcBorders>
            <w:shd w:val="clear" w:color="auto" w:fill="FFFFFF"/>
            <w:vAlign w:val="center"/>
          </w:tcPr>
          <w:p w14:paraId="5BD81B5D">
            <w:pPr>
              <w:jc w:val="center"/>
              <w:rPr>
                <w:rFonts w:ascii="宋体"/>
                <w:color w:val="000000"/>
                <w:sz w:val="24"/>
              </w:rPr>
            </w:pPr>
            <w:r>
              <w:rPr>
                <w:rFonts w:ascii="宋体"/>
                <w:color w:val="000000"/>
                <w:sz w:val="24"/>
              </w:rPr>
              <w:t>0.7004</w:t>
            </w:r>
          </w:p>
        </w:tc>
      </w:tr>
      <w:tr w14:paraId="19A1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E266335">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61B8BEF2">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078229D3">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78B4A50">
            <w:pPr>
              <w:jc w:val="center"/>
              <w:rPr>
                <w:rFonts w:ascii="宋体"/>
                <w:color w:val="000000"/>
                <w:sz w:val="24"/>
              </w:rPr>
            </w:pPr>
            <w:r>
              <w:rPr>
                <w:rFonts w:ascii="宋体"/>
                <w:color w:val="000000"/>
                <w:sz w:val="24"/>
              </w:rPr>
              <w:t>2.4574</w:t>
            </w:r>
          </w:p>
        </w:tc>
        <w:tc>
          <w:tcPr>
            <w:tcW w:w="942" w:type="dxa"/>
            <w:tcBorders>
              <w:top w:val="nil"/>
              <w:left w:val="nil"/>
              <w:bottom w:val="nil"/>
              <w:right w:val="nil"/>
            </w:tcBorders>
            <w:shd w:val="clear" w:color="auto" w:fill="FFFFFF"/>
            <w:vAlign w:val="center"/>
          </w:tcPr>
          <w:p w14:paraId="25AE9D8E">
            <w:pPr>
              <w:jc w:val="center"/>
              <w:rPr>
                <w:rFonts w:ascii="宋体"/>
                <w:color w:val="000000"/>
                <w:sz w:val="24"/>
              </w:rPr>
            </w:pPr>
            <w:r>
              <w:rPr>
                <w:rFonts w:ascii="宋体"/>
                <w:color w:val="000000"/>
                <w:sz w:val="24"/>
              </w:rPr>
              <w:t>1.8189</w:t>
            </w:r>
          </w:p>
        </w:tc>
        <w:tc>
          <w:tcPr>
            <w:tcW w:w="1063" w:type="dxa"/>
            <w:tcBorders>
              <w:top w:val="nil"/>
              <w:left w:val="nil"/>
              <w:bottom w:val="nil"/>
              <w:right w:val="nil"/>
            </w:tcBorders>
            <w:shd w:val="clear" w:color="auto" w:fill="FFFFFF"/>
            <w:vAlign w:val="center"/>
          </w:tcPr>
          <w:p w14:paraId="36DF16CB">
            <w:pPr>
              <w:jc w:val="center"/>
              <w:rPr>
                <w:rFonts w:ascii="宋体"/>
                <w:color w:val="000000"/>
                <w:sz w:val="24"/>
              </w:rPr>
            </w:pPr>
            <w:r>
              <w:rPr>
                <w:rFonts w:ascii="宋体"/>
                <w:color w:val="000000"/>
                <w:sz w:val="24"/>
              </w:rPr>
              <w:t>51.6357</w:t>
            </w:r>
          </w:p>
        </w:tc>
        <w:tc>
          <w:tcPr>
            <w:tcW w:w="942" w:type="dxa"/>
            <w:tcBorders>
              <w:top w:val="nil"/>
              <w:left w:val="nil"/>
              <w:bottom w:val="nil"/>
              <w:right w:val="nil"/>
            </w:tcBorders>
            <w:shd w:val="clear" w:color="auto" w:fill="FFFFFF"/>
            <w:vAlign w:val="center"/>
          </w:tcPr>
          <w:p w14:paraId="277A4B28">
            <w:pPr>
              <w:jc w:val="center"/>
              <w:rPr>
                <w:rFonts w:ascii="宋体"/>
                <w:color w:val="000000"/>
                <w:sz w:val="24"/>
              </w:rPr>
            </w:pPr>
            <w:r>
              <w:rPr>
                <w:rFonts w:ascii="宋体"/>
                <w:color w:val="000000"/>
                <w:sz w:val="24"/>
              </w:rPr>
              <w:t>0.7501</w:t>
            </w:r>
          </w:p>
        </w:tc>
      </w:tr>
      <w:tr w14:paraId="7902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756B229A">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2A1B6203">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778BCE8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97DF44B">
            <w:pPr>
              <w:jc w:val="center"/>
              <w:rPr>
                <w:rFonts w:ascii="宋体"/>
                <w:color w:val="000000"/>
                <w:sz w:val="24"/>
              </w:rPr>
            </w:pPr>
            <w:r>
              <w:rPr>
                <w:rFonts w:ascii="宋体"/>
                <w:color w:val="000000"/>
                <w:sz w:val="24"/>
              </w:rPr>
              <w:t>2.2926</w:t>
            </w:r>
          </w:p>
        </w:tc>
        <w:tc>
          <w:tcPr>
            <w:tcW w:w="942" w:type="dxa"/>
            <w:tcBorders>
              <w:top w:val="nil"/>
              <w:left w:val="nil"/>
              <w:bottom w:val="nil"/>
              <w:right w:val="nil"/>
            </w:tcBorders>
            <w:shd w:val="clear" w:color="auto" w:fill="FFFFFF"/>
            <w:vAlign w:val="center"/>
          </w:tcPr>
          <w:p w14:paraId="0011BB64">
            <w:pPr>
              <w:jc w:val="center"/>
              <w:rPr>
                <w:rFonts w:ascii="宋体"/>
                <w:color w:val="000000"/>
                <w:sz w:val="24"/>
              </w:rPr>
            </w:pPr>
            <w:r>
              <w:rPr>
                <w:rFonts w:ascii="宋体"/>
                <w:color w:val="000000"/>
                <w:sz w:val="24"/>
              </w:rPr>
              <w:t>1.7014</w:t>
            </w:r>
          </w:p>
        </w:tc>
        <w:tc>
          <w:tcPr>
            <w:tcW w:w="1063" w:type="dxa"/>
            <w:tcBorders>
              <w:top w:val="nil"/>
              <w:left w:val="nil"/>
              <w:bottom w:val="nil"/>
              <w:right w:val="nil"/>
            </w:tcBorders>
            <w:shd w:val="clear" w:color="auto" w:fill="FFFFFF"/>
            <w:vAlign w:val="center"/>
          </w:tcPr>
          <w:p w14:paraId="434E8C26">
            <w:pPr>
              <w:jc w:val="center"/>
              <w:rPr>
                <w:rFonts w:ascii="宋体"/>
                <w:color w:val="000000"/>
                <w:sz w:val="24"/>
              </w:rPr>
            </w:pPr>
            <w:r>
              <w:rPr>
                <w:rFonts w:ascii="宋体"/>
                <w:color w:val="000000"/>
                <w:sz w:val="24"/>
              </w:rPr>
              <w:t>47.3250</w:t>
            </w:r>
          </w:p>
        </w:tc>
        <w:tc>
          <w:tcPr>
            <w:tcW w:w="942" w:type="dxa"/>
            <w:tcBorders>
              <w:top w:val="nil"/>
              <w:left w:val="nil"/>
              <w:bottom w:val="nil"/>
              <w:right w:val="nil"/>
            </w:tcBorders>
            <w:shd w:val="clear" w:color="auto" w:fill="FFFFFF"/>
            <w:vAlign w:val="center"/>
          </w:tcPr>
          <w:p w14:paraId="376356B6">
            <w:pPr>
              <w:jc w:val="center"/>
              <w:rPr>
                <w:rFonts w:ascii="宋体"/>
                <w:color w:val="000000"/>
                <w:sz w:val="24"/>
              </w:rPr>
            </w:pPr>
            <w:r>
              <w:rPr>
                <w:rFonts w:ascii="宋体"/>
                <w:color w:val="000000"/>
                <w:sz w:val="24"/>
              </w:rPr>
              <w:t>0.7825</w:t>
            </w:r>
          </w:p>
        </w:tc>
      </w:tr>
      <w:tr w14:paraId="198A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6B626B98">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39C6A42D">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149512DD">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36016AD3">
            <w:pPr>
              <w:jc w:val="center"/>
              <w:rPr>
                <w:rFonts w:ascii="宋体"/>
                <w:color w:val="000000"/>
                <w:sz w:val="24"/>
              </w:rPr>
            </w:pPr>
            <w:r>
              <w:rPr>
                <w:rFonts w:ascii="宋体"/>
                <w:color w:val="000000"/>
                <w:sz w:val="24"/>
              </w:rPr>
              <w:t>2.0074</w:t>
            </w:r>
          </w:p>
        </w:tc>
        <w:tc>
          <w:tcPr>
            <w:tcW w:w="942" w:type="dxa"/>
            <w:tcBorders>
              <w:top w:val="nil"/>
              <w:left w:val="nil"/>
              <w:bottom w:val="nil"/>
              <w:right w:val="nil"/>
            </w:tcBorders>
            <w:shd w:val="clear" w:color="auto" w:fill="FFFFFF"/>
            <w:vAlign w:val="center"/>
          </w:tcPr>
          <w:p w14:paraId="6F6BDF84">
            <w:pPr>
              <w:jc w:val="center"/>
              <w:rPr>
                <w:rFonts w:ascii="宋体"/>
                <w:color w:val="000000"/>
                <w:sz w:val="24"/>
              </w:rPr>
            </w:pPr>
            <w:r>
              <w:rPr>
                <w:rFonts w:ascii="宋体"/>
                <w:color w:val="000000"/>
                <w:sz w:val="24"/>
              </w:rPr>
              <w:t>1.5635</w:t>
            </w:r>
          </w:p>
        </w:tc>
        <w:tc>
          <w:tcPr>
            <w:tcW w:w="1063" w:type="dxa"/>
            <w:tcBorders>
              <w:top w:val="nil"/>
              <w:left w:val="nil"/>
              <w:bottom w:val="nil"/>
              <w:right w:val="nil"/>
            </w:tcBorders>
            <w:shd w:val="clear" w:color="auto" w:fill="FFFFFF"/>
            <w:vAlign w:val="center"/>
          </w:tcPr>
          <w:p w14:paraId="186AB401">
            <w:pPr>
              <w:jc w:val="center"/>
              <w:rPr>
                <w:rFonts w:ascii="宋体"/>
                <w:color w:val="000000"/>
                <w:sz w:val="24"/>
              </w:rPr>
            </w:pPr>
            <w:r>
              <w:rPr>
                <w:rFonts w:ascii="宋体"/>
                <w:color w:val="000000"/>
                <w:sz w:val="24"/>
              </w:rPr>
              <w:t>39.3833</w:t>
            </w:r>
          </w:p>
        </w:tc>
        <w:tc>
          <w:tcPr>
            <w:tcW w:w="942" w:type="dxa"/>
            <w:tcBorders>
              <w:top w:val="nil"/>
              <w:left w:val="nil"/>
              <w:bottom w:val="nil"/>
              <w:right w:val="nil"/>
            </w:tcBorders>
            <w:shd w:val="clear" w:color="auto" w:fill="FFFFFF"/>
            <w:vAlign w:val="center"/>
          </w:tcPr>
          <w:p w14:paraId="50885750">
            <w:pPr>
              <w:jc w:val="center"/>
              <w:rPr>
                <w:rFonts w:ascii="宋体"/>
                <w:color w:val="000000"/>
                <w:sz w:val="24"/>
              </w:rPr>
            </w:pPr>
            <w:r>
              <w:rPr>
                <w:rFonts w:ascii="宋体"/>
                <w:color w:val="000000"/>
                <w:sz w:val="24"/>
              </w:rPr>
              <w:t>0.8323</w:t>
            </w:r>
          </w:p>
        </w:tc>
      </w:tr>
      <w:tr w14:paraId="6DC4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72627881">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46B5EDBD">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4C6E55AF">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3FD9F53D">
            <w:pPr>
              <w:jc w:val="center"/>
              <w:rPr>
                <w:rFonts w:ascii="宋体"/>
                <w:color w:val="000000"/>
                <w:sz w:val="24"/>
              </w:rPr>
            </w:pPr>
            <w:r>
              <w:rPr>
                <w:rFonts w:ascii="宋体"/>
                <w:color w:val="000000"/>
                <w:sz w:val="24"/>
              </w:rPr>
              <w:t>1.9182</w:t>
            </w:r>
          </w:p>
        </w:tc>
        <w:tc>
          <w:tcPr>
            <w:tcW w:w="942" w:type="dxa"/>
            <w:tcBorders>
              <w:top w:val="nil"/>
              <w:left w:val="nil"/>
              <w:bottom w:val="nil"/>
              <w:right w:val="nil"/>
            </w:tcBorders>
            <w:vAlign w:val="center"/>
          </w:tcPr>
          <w:p w14:paraId="27A1F6C2">
            <w:pPr>
              <w:jc w:val="center"/>
              <w:rPr>
                <w:rFonts w:ascii="宋体"/>
                <w:color w:val="000000"/>
                <w:sz w:val="24"/>
              </w:rPr>
            </w:pPr>
            <w:r>
              <w:rPr>
                <w:rFonts w:ascii="宋体"/>
                <w:color w:val="000000"/>
                <w:sz w:val="24"/>
              </w:rPr>
              <w:t>1.4922</w:t>
            </w:r>
          </w:p>
        </w:tc>
        <w:tc>
          <w:tcPr>
            <w:tcW w:w="1063" w:type="dxa"/>
            <w:tcBorders>
              <w:top w:val="nil"/>
              <w:left w:val="nil"/>
              <w:bottom w:val="nil"/>
              <w:right w:val="nil"/>
            </w:tcBorders>
            <w:vAlign w:val="center"/>
          </w:tcPr>
          <w:p w14:paraId="0B8442E7">
            <w:pPr>
              <w:jc w:val="center"/>
              <w:rPr>
                <w:rFonts w:ascii="宋体"/>
                <w:color w:val="000000"/>
                <w:sz w:val="24"/>
              </w:rPr>
            </w:pPr>
            <w:r>
              <w:rPr>
                <w:rFonts w:ascii="宋体"/>
                <w:color w:val="000000"/>
                <w:sz w:val="24"/>
              </w:rPr>
              <w:t>41.5201</w:t>
            </w:r>
          </w:p>
        </w:tc>
        <w:tc>
          <w:tcPr>
            <w:tcW w:w="942" w:type="dxa"/>
            <w:tcBorders>
              <w:top w:val="nil"/>
              <w:left w:val="nil"/>
              <w:bottom w:val="nil"/>
              <w:right w:val="nil"/>
            </w:tcBorders>
            <w:vAlign w:val="center"/>
          </w:tcPr>
          <w:p w14:paraId="6C0743E6">
            <w:pPr>
              <w:jc w:val="center"/>
              <w:rPr>
                <w:rFonts w:ascii="宋体"/>
                <w:color w:val="000000"/>
                <w:sz w:val="24"/>
              </w:rPr>
            </w:pPr>
            <w:r>
              <w:rPr>
                <w:rFonts w:ascii="宋体"/>
                <w:color w:val="000000"/>
                <w:sz w:val="24"/>
              </w:rPr>
              <w:t>0.8477</w:t>
            </w:r>
          </w:p>
        </w:tc>
      </w:tr>
      <w:tr w14:paraId="17E1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3011F342">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3BAE081D">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1E7A11E9">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4C0DD529">
            <w:pPr>
              <w:jc w:val="center"/>
              <w:rPr>
                <w:rFonts w:ascii="宋体"/>
                <w:color w:val="000000"/>
                <w:sz w:val="24"/>
              </w:rPr>
            </w:pPr>
            <w:r>
              <w:rPr>
                <w:rFonts w:ascii="宋体"/>
                <w:color w:val="000000"/>
                <w:sz w:val="24"/>
              </w:rPr>
              <w:t>1.9067</w:t>
            </w:r>
          </w:p>
        </w:tc>
        <w:tc>
          <w:tcPr>
            <w:tcW w:w="942" w:type="dxa"/>
            <w:tcBorders>
              <w:top w:val="nil"/>
              <w:left w:val="nil"/>
              <w:bottom w:val="nil"/>
              <w:right w:val="nil"/>
            </w:tcBorders>
            <w:vAlign w:val="center"/>
          </w:tcPr>
          <w:p w14:paraId="49B7649B">
            <w:pPr>
              <w:jc w:val="center"/>
              <w:rPr>
                <w:rFonts w:ascii="宋体"/>
                <w:color w:val="000000"/>
                <w:sz w:val="24"/>
              </w:rPr>
            </w:pPr>
            <w:r>
              <w:rPr>
                <w:rFonts w:ascii="宋体"/>
                <w:color w:val="000000"/>
                <w:sz w:val="24"/>
              </w:rPr>
              <w:t>1.4528</w:t>
            </w:r>
          </w:p>
        </w:tc>
        <w:tc>
          <w:tcPr>
            <w:tcW w:w="1063" w:type="dxa"/>
            <w:tcBorders>
              <w:top w:val="nil"/>
              <w:left w:val="nil"/>
              <w:bottom w:val="nil"/>
              <w:right w:val="nil"/>
            </w:tcBorders>
            <w:vAlign w:val="center"/>
          </w:tcPr>
          <w:p w14:paraId="1B9B5891">
            <w:pPr>
              <w:jc w:val="center"/>
              <w:rPr>
                <w:rFonts w:ascii="宋体"/>
                <w:color w:val="000000"/>
                <w:sz w:val="24"/>
              </w:rPr>
            </w:pPr>
            <w:r>
              <w:rPr>
                <w:rFonts w:ascii="宋体"/>
                <w:color w:val="000000"/>
                <w:sz w:val="24"/>
              </w:rPr>
              <w:t>38.4402</w:t>
            </w:r>
          </w:p>
        </w:tc>
        <w:tc>
          <w:tcPr>
            <w:tcW w:w="942" w:type="dxa"/>
            <w:tcBorders>
              <w:top w:val="nil"/>
              <w:left w:val="nil"/>
              <w:bottom w:val="nil"/>
              <w:right w:val="nil"/>
            </w:tcBorders>
            <w:vAlign w:val="center"/>
          </w:tcPr>
          <w:p w14:paraId="31A16661">
            <w:pPr>
              <w:jc w:val="center"/>
              <w:rPr>
                <w:rFonts w:ascii="宋体"/>
                <w:color w:val="000000"/>
                <w:sz w:val="24"/>
              </w:rPr>
            </w:pPr>
            <w:r>
              <w:rPr>
                <w:rFonts w:ascii="宋体"/>
                <w:color w:val="000000"/>
                <w:sz w:val="24"/>
              </w:rPr>
              <w:t>0.8496</w:t>
            </w:r>
          </w:p>
        </w:tc>
      </w:tr>
      <w:tr w14:paraId="6756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3AE4CA2B">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762CA2F8">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2974EBA5">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0580F3FC">
            <w:pPr>
              <w:jc w:val="center"/>
              <w:rPr>
                <w:rFonts w:ascii="宋体"/>
                <w:color w:val="000000"/>
                <w:sz w:val="24"/>
              </w:rPr>
            </w:pPr>
            <w:r>
              <w:rPr>
                <w:rFonts w:ascii="宋体"/>
                <w:color w:val="000000"/>
                <w:sz w:val="24"/>
              </w:rPr>
              <w:t>1.8960</w:t>
            </w:r>
          </w:p>
        </w:tc>
        <w:tc>
          <w:tcPr>
            <w:tcW w:w="942" w:type="dxa"/>
            <w:tcBorders>
              <w:top w:val="nil"/>
              <w:left w:val="nil"/>
              <w:bottom w:val="nil"/>
              <w:right w:val="nil"/>
            </w:tcBorders>
            <w:vAlign w:val="center"/>
          </w:tcPr>
          <w:p w14:paraId="3F1CB242">
            <w:pPr>
              <w:jc w:val="center"/>
              <w:rPr>
                <w:rFonts w:ascii="宋体"/>
                <w:color w:val="000000"/>
                <w:sz w:val="24"/>
              </w:rPr>
            </w:pPr>
            <w:r>
              <w:rPr>
                <w:rFonts w:ascii="宋体"/>
                <w:color w:val="000000"/>
                <w:sz w:val="24"/>
              </w:rPr>
              <w:t>1.5394</w:t>
            </w:r>
          </w:p>
        </w:tc>
        <w:tc>
          <w:tcPr>
            <w:tcW w:w="1063" w:type="dxa"/>
            <w:tcBorders>
              <w:top w:val="nil"/>
              <w:left w:val="nil"/>
              <w:bottom w:val="nil"/>
              <w:right w:val="nil"/>
            </w:tcBorders>
            <w:vAlign w:val="center"/>
          </w:tcPr>
          <w:p w14:paraId="4AEF7228">
            <w:pPr>
              <w:jc w:val="center"/>
              <w:rPr>
                <w:rFonts w:ascii="宋体"/>
                <w:color w:val="000000"/>
                <w:sz w:val="24"/>
              </w:rPr>
            </w:pPr>
            <w:r>
              <w:rPr>
                <w:rFonts w:ascii="宋体"/>
                <w:color w:val="000000"/>
                <w:sz w:val="24"/>
              </w:rPr>
              <w:t>36.7120</w:t>
            </w:r>
          </w:p>
        </w:tc>
        <w:tc>
          <w:tcPr>
            <w:tcW w:w="942" w:type="dxa"/>
            <w:tcBorders>
              <w:top w:val="nil"/>
              <w:left w:val="nil"/>
              <w:bottom w:val="nil"/>
              <w:right w:val="nil"/>
            </w:tcBorders>
            <w:vAlign w:val="center"/>
          </w:tcPr>
          <w:p w14:paraId="5EFB3CC0">
            <w:pPr>
              <w:jc w:val="center"/>
              <w:rPr>
                <w:rFonts w:ascii="宋体"/>
                <w:color w:val="000000"/>
                <w:sz w:val="24"/>
              </w:rPr>
            </w:pPr>
            <w:r>
              <w:rPr>
                <w:rFonts w:ascii="宋体"/>
                <w:color w:val="000000"/>
                <w:sz w:val="24"/>
              </w:rPr>
              <w:t>0.8504</w:t>
            </w:r>
          </w:p>
        </w:tc>
      </w:tr>
      <w:tr w14:paraId="4D8C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7A5BC6A9">
            <w:pPr>
              <w:jc w:val="center"/>
              <w:rPr>
                <w:rFonts w:ascii="宋体"/>
                <w:b/>
                <w:bCs/>
                <w:color w:val="000000"/>
                <w:sz w:val="24"/>
              </w:rPr>
            </w:pPr>
            <w:r>
              <w:rPr>
                <w:rFonts w:ascii="宋体"/>
                <w:b/>
                <w:bCs/>
                <w:color w:val="000000"/>
                <w:sz w:val="24"/>
              </w:rPr>
              <w:t>5</w:t>
            </w:r>
          </w:p>
        </w:tc>
        <w:tc>
          <w:tcPr>
            <w:tcW w:w="1426" w:type="dxa"/>
            <w:tcBorders>
              <w:top w:val="nil"/>
              <w:left w:val="nil"/>
              <w:bottom w:val="single" w:color="000000" w:sz="12" w:space="0"/>
              <w:right w:val="nil"/>
            </w:tcBorders>
            <w:vAlign w:val="center"/>
          </w:tcPr>
          <w:p w14:paraId="2DE14040">
            <w:pPr>
              <w:jc w:val="center"/>
              <w:rPr>
                <w:rFonts w:ascii="宋体"/>
                <w:b/>
                <w:bCs/>
                <w:color w:val="000000"/>
                <w:sz w:val="24"/>
              </w:rPr>
            </w:pPr>
            <w:r>
              <w:rPr>
                <w:rFonts w:ascii="宋体"/>
                <w:b/>
                <w:bCs/>
                <w:color w:val="000000"/>
                <w:sz w:val="24"/>
              </w:rPr>
              <w:t>48</w:t>
            </w:r>
          </w:p>
        </w:tc>
        <w:tc>
          <w:tcPr>
            <w:tcW w:w="1426" w:type="dxa"/>
            <w:tcBorders>
              <w:top w:val="nil"/>
              <w:left w:val="nil"/>
              <w:bottom w:val="single" w:color="000000" w:sz="12" w:space="0"/>
              <w:right w:val="nil"/>
            </w:tcBorders>
            <w:vAlign w:val="center"/>
          </w:tcPr>
          <w:p w14:paraId="356A9EA8">
            <w:pPr>
              <w:jc w:val="center"/>
              <w:rPr>
                <w:rFonts w:ascii="宋体"/>
                <w:b/>
                <w:bCs/>
                <w:color w:val="000000"/>
                <w:sz w:val="24"/>
              </w:rPr>
            </w:pPr>
            <w:r>
              <w:rPr>
                <w:rFonts w:ascii="宋体"/>
                <w:b/>
                <w:bCs/>
                <w:color w:val="000000"/>
                <w:sz w:val="24"/>
              </w:rPr>
              <w:t>128</w:t>
            </w:r>
          </w:p>
        </w:tc>
        <w:tc>
          <w:tcPr>
            <w:tcW w:w="942" w:type="dxa"/>
            <w:tcBorders>
              <w:top w:val="nil"/>
              <w:left w:val="nil"/>
              <w:bottom w:val="single" w:color="000000" w:sz="12" w:space="0"/>
              <w:right w:val="nil"/>
            </w:tcBorders>
            <w:vAlign w:val="center"/>
          </w:tcPr>
          <w:p w14:paraId="565570D7">
            <w:pPr>
              <w:jc w:val="center"/>
              <w:rPr>
                <w:rFonts w:ascii="宋体"/>
                <w:b/>
                <w:bCs/>
                <w:color w:val="000000"/>
                <w:sz w:val="24"/>
              </w:rPr>
            </w:pPr>
            <w:r>
              <w:rPr>
                <w:rFonts w:ascii="宋体"/>
                <w:b/>
                <w:bCs/>
                <w:color w:val="000000"/>
                <w:sz w:val="24"/>
              </w:rPr>
              <w:t>1.8924</w:t>
            </w:r>
          </w:p>
        </w:tc>
        <w:tc>
          <w:tcPr>
            <w:tcW w:w="942" w:type="dxa"/>
            <w:tcBorders>
              <w:top w:val="nil"/>
              <w:left w:val="nil"/>
              <w:bottom w:val="single" w:color="000000" w:sz="12" w:space="0"/>
              <w:right w:val="nil"/>
            </w:tcBorders>
            <w:vAlign w:val="center"/>
          </w:tcPr>
          <w:p w14:paraId="26D6D1D5">
            <w:pPr>
              <w:jc w:val="center"/>
              <w:rPr>
                <w:rFonts w:ascii="宋体"/>
                <w:b/>
                <w:bCs/>
                <w:color w:val="000000"/>
                <w:sz w:val="24"/>
              </w:rPr>
            </w:pPr>
            <w:r>
              <w:rPr>
                <w:rFonts w:ascii="宋体"/>
                <w:b/>
                <w:bCs/>
                <w:color w:val="000000"/>
                <w:sz w:val="24"/>
              </w:rPr>
              <w:t>1.4695</w:t>
            </w:r>
          </w:p>
        </w:tc>
        <w:tc>
          <w:tcPr>
            <w:tcW w:w="1063" w:type="dxa"/>
            <w:tcBorders>
              <w:top w:val="nil"/>
              <w:left w:val="nil"/>
              <w:bottom w:val="single" w:color="000000" w:sz="12" w:space="0"/>
              <w:right w:val="nil"/>
            </w:tcBorders>
            <w:vAlign w:val="center"/>
          </w:tcPr>
          <w:p w14:paraId="1A3C972C">
            <w:pPr>
              <w:jc w:val="center"/>
              <w:rPr>
                <w:rFonts w:ascii="宋体"/>
                <w:b/>
                <w:bCs/>
                <w:color w:val="000000"/>
                <w:sz w:val="24"/>
              </w:rPr>
            </w:pPr>
            <w:r>
              <w:rPr>
                <w:rFonts w:ascii="宋体"/>
                <w:b/>
                <w:bCs/>
                <w:color w:val="000000"/>
                <w:sz w:val="24"/>
              </w:rPr>
              <w:t>37.9015</w:t>
            </w:r>
          </w:p>
        </w:tc>
        <w:tc>
          <w:tcPr>
            <w:tcW w:w="942" w:type="dxa"/>
            <w:tcBorders>
              <w:top w:val="nil"/>
              <w:left w:val="nil"/>
              <w:bottom w:val="single" w:color="000000" w:sz="12" w:space="0"/>
              <w:right w:val="nil"/>
            </w:tcBorders>
            <w:vAlign w:val="center"/>
          </w:tcPr>
          <w:p w14:paraId="21802EB4">
            <w:pPr>
              <w:jc w:val="center"/>
              <w:rPr>
                <w:rFonts w:ascii="宋体"/>
                <w:b/>
                <w:bCs/>
                <w:color w:val="000000"/>
                <w:sz w:val="24"/>
              </w:rPr>
            </w:pPr>
            <w:r>
              <w:rPr>
                <w:rFonts w:ascii="宋体"/>
                <w:b/>
                <w:bCs/>
                <w:color w:val="000000"/>
                <w:sz w:val="24"/>
              </w:rPr>
              <w:t>0.8509</w:t>
            </w:r>
          </w:p>
        </w:tc>
      </w:tr>
    </w:tbl>
    <w:p w14:paraId="22235D7F">
      <w:pPr>
        <w:pStyle w:val="23"/>
        <w:ind w:firstLine="480"/>
        <w:rPr>
          <w:rFonts w:hint="eastAsia" w:ascii="宋体" w:hAnsi="宋体" w:cs="宋体"/>
        </w:rPr>
      </w:pPr>
    </w:p>
    <w:p w14:paraId="41C6A236">
      <w:pPr>
        <w:pStyle w:val="22"/>
        <w:spacing w:before="156" w:after="156"/>
        <w:outlineLvl w:val="2"/>
      </w:pPr>
      <w:r>
        <w:t xml:space="preserve"> </w:t>
      </w:r>
      <w:bookmarkStart w:id="329" w:name="_Toc227161735"/>
      <w:bookmarkStart w:id="330" w:name="_Toc31903"/>
      <w:bookmarkStart w:id="331" w:name="_Toc23235"/>
      <w:bookmarkStart w:id="332" w:name="_Toc5374"/>
      <w:r>
        <w:t>参数交互对预测精度的影响</w:t>
      </w:r>
      <w:bookmarkEnd w:id="329"/>
      <w:bookmarkEnd w:id="330"/>
      <w:bookmarkEnd w:id="331"/>
      <w:bookmarkEnd w:id="332"/>
    </w:p>
    <w:p w14:paraId="7C49B99F">
      <w:pPr>
        <w:pStyle w:val="23"/>
        <w:ind w:firstLine="480"/>
      </w:pPr>
      <w:r>
        <w:t>为探究时间窗口长度与批处理大小对网络收敛效果的联合影响，本文提取了固定 IMF 数量下的二维截面数据，绘制了参数交互热力图（如</w:t>
      </w:r>
      <w:r>
        <w:fldChar w:fldCharType="begin"/>
      </w:r>
      <w:r>
        <w:instrText xml:space="preserve"> REF _Ref227196826 \h  \* MERGEFORMAT </w:instrText>
      </w:r>
      <w:r>
        <w:fldChar w:fldCharType="separate"/>
      </w:r>
      <w:r>
        <w:rPr>
          <w:rFonts w:hint="eastAsia"/>
        </w:rPr>
        <w:t>图5.</w:t>
      </w:r>
      <w:r>
        <w:t>7</w:t>
      </w:r>
      <w:r>
        <w:fldChar w:fldCharType="end"/>
      </w:r>
      <w:r>
        <w:t>所示）。结果表明，过小的 Batch Size 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3362F7F5">
      <w:pPr>
        <w:pStyle w:val="13"/>
        <w:keepNext/>
        <w:widowControl/>
        <w:jc w:val="center"/>
      </w:pPr>
      <w:r>
        <w:drawing>
          <wp:inline distT="0" distB="0" distL="114300" distR="114300">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4860000" cy="2916000"/>
                    </a:xfrm>
                    <a:prstGeom prst="rect">
                      <a:avLst/>
                    </a:prstGeom>
                    <a:noFill/>
                    <a:ln>
                      <a:noFill/>
                    </a:ln>
                  </pic:spPr>
                </pic:pic>
              </a:graphicData>
            </a:graphic>
          </wp:inline>
        </w:drawing>
      </w:r>
    </w:p>
    <w:p w14:paraId="76CF3AC2">
      <w:pPr>
        <w:pStyle w:val="7"/>
        <w:jc w:val="center"/>
        <w:rPr>
          <w:rFonts w:hint="eastAsia" w:ascii="宋体" w:hAnsi="宋体" w:cs="Times New Roman" w:eastAsiaTheme="minorEastAsia"/>
          <w:sz w:val="21"/>
          <w:szCs w:val="24"/>
        </w:rPr>
      </w:pPr>
      <w:bookmarkStart w:id="333" w:name="_Ref227196826"/>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7</w:t>
      </w:r>
      <w:r>
        <w:rPr>
          <w:rFonts w:ascii="宋体" w:hAnsi="宋体" w:cs="Times New Roman" w:eastAsiaTheme="minorEastAsia"/>
          <w:sz w:val="21"/>
          <w:szCs w:val="24"/>
        </w:rPr>
        <w:fldChar w:fldCharType="end"/>
      </w:r>
      <w:bookmarkEnd w:id="333"/>
      <w:r>
        <w:rPr>
          <w:rFonts w:hint="eastAsia" w:ascii="宋体" w:hAnsi="宋体" w:cs="Times New Roman" w:eastAsiaTheme="minorEastAsia"/>
          <w:sz w:val="21"/>
          <w:szCs w:val="24"/>
        </w:rPr>
        <w:t xml:space="preserve"> 参数交互热力图</w:t>
      </w:r>
    </w:p>
    <w:p w14:paraId="070E0CA1">
      <w:pPr>
        <w:pStyle w:val="23"/>
        <w:ind w:firstLine="480"/>
        <w:rPr>
          <w:rFonts w:hint="eastAsia" w:ascii="宋体" w:hAnsi="宋体" w:cs="宋体"/>
        </w:rPr>
      </w:pPr>
    </w:p>
    <w:p w14:paraId="4107428C">
      <w:pPr>
        <w:pStyle w:val="22"/>
        <w:spacing w:before="156" w:after="156"/>
        <w:outlineLvl w:val="2"/>
      </w:pPr>
      <w:r>
        <w:t xml:space="preserve"> </w:t>
      </w:r>
      <w:bookmarkStart w:id="334" w:name="_Toc18836"/>
      <w:bookmarkStart w:id="335" w:name="_Toc29641"/>
      <w:bookmarkStart w:id="336" w:name="_Toc11957"/>
      <w:bookmarkStart w:id="337" w:name="_Toc227161736"/>
      <w:r>
        <w:t>IMF 保留数量与时间步长敏感性分析</w:t>
      </w:r>
      <w:bookmarkEnd w:id="334"/>
      <w:bookmarkEnd w:id="335"/>
      <w:bookmarkEnd w:id="336"/>
      <w:bookmarkEnd w:id="337"/>
    </w:p>
    <w:p w14:paraId="4E90C854">
      <w:pPr>
        <w:pStyle w:val="23"/>
        <w:ind w:firstLine="480"/>
      </w:pPr>
      <w:r>
        <w:t>在 EMD 分解模块中，保留的 IMF 分量数量直接决定了输入信息的丰富度与噪声的纯净度。如</w:t>
      </w:r>
      <w:r>
        <w:fldChar w:fldCharType="begin"/>
      </w:r>
      <w:r>
        <w:instrText xml:space="preserve"> REF _Ref227196771 \h  \* MERGEFORMAT </w:instrText>
      </w:r>
      <w:r>
        <w:fldChar w:fldCharType="separate"/>
      </w:r>
      <w:r>
        <w:rPr>
          <w:rFonts w:hint="eastAsia"/>
        </w:rPr>
        <w:t>图5.</w:t>
      </w:r>
      <w:r>
        <w:t>8</w:t>
      </w:r>
      <w:r>
        <w:fldChar w:fldCharType="end"/>
      </w:r>
      <w:r>
        <w:t>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236225B2">
      <w:pPr>
        <w:pStyle w:val="13"/>
        <w:keepNext/>
        <w:widowControl/>
        <w:ind w:left="720" w:right="720"/>
        <w:jc w:val="center"/>
      </w:pPr>
      <w:r>
        <w:drawing>
          <wp:inline distT="0" distB="0" distL="114300" distR="114300">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4860000" cy="2916000"/>
                    </a:xfrm>
                    <a:prstGeom prst="rect">
                      <a:avLst/>
                    </a:prstGeom>
                    <a:noFill/>
                    <a:ln>
                      <a:noFill/>
                    </a:ln>
                  </pic:spPr>
                </pic:pic>
              </a:graphicData>
            </a:graphic>
          </wp:inline>
        </w:drawing>
      </w:r>
    </w:p>
    <w:p w14:paraId="074CD5B7">
      <w:pPr>
        <w:pStyle w:val="7"/>
        <w:jc w:val="center"/>
        <w:rPr>
          <w:rFonts w:hint="eastAsia" w:ascii="宋体" w:hAnsi="宋体" w:cs="Times New Roman" w:eastAsiaTheme="minorEastAsia"/>
          <w:sz w:val="21"/>
          <w:szCs w:val="24"/>
        </w:rPr>
      </w:pPr>
      <w:bookmarkStart w:id="338" w:name="_Ref227196771"/>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8</w:t>
      </w:r>
      <w:r>
        <w:rPr>
          <w:rFonts w:ascii="宋体" w:hAnsi="宋体" w:cs="Times New Roman" w:eastAsiaTheme="minorEastAsia"/>
          <w:sz w:val="21"/>
          <w:szCs w:val="24"/>
        </w:rPr>
        <w:fldChar w:fldCharType="end"/>
      </w:r>
      <w:bookmarkEnd w:id="338"/>
      <w:r>
        <w:rPr>
          <w:rFonts w:hint="eastAsia" w:ascii="宋体" w:hAnsi="宋体" w:cs="Times New Roman" w:eastAsiaTheme="minorEastAsia"/>
          <w:sz w:val="21"/>
          <w:szCs w:val="24"/>
        </w:rPr>
        <w:t xml:space="preserve"> IMF数量敏感性柱状图</w:t>
      </w:r>
    </w:p>
    <w:p w14:paraId="29AF7BDD">
      <w:pPr>
        <w:pStyle w:val="23"/>
        <w:ind w:firstLine="480"/>
      </w:pPr>
      <w:r>
        <w:t xml:space="preserve">此外， </w:t>
      </w:r>
      <w:r>
        <w:fldChar w:fldCharType="begin"/>
      </w:r>
      <w:r>
        <w:instrText xml:space="preserve"> REF _Ref227196778 \h  \* MERGEFORMAT </w:instrText>
      </w:r>
      <w:r>
        <w:fldChar w:fldCharType="separate"/>
      </w:r>
      <w:r>
        <w:rPr>
          <w:rFonts w:hint="eastAsia"/>
        </w:rPr>
        <w:t>图5.</w:t>
      </w:r>
      <w:r>
        <w:t>9</w:t>
      </w:r>
      <w:r>
        <w:fldChar w:fldCharType="end"/>
      </w:r>
      <w:r>
        <w:t>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4C2F9178">
      <w:pPr>
        <w:pStyle w:val="13"/>
        <w:keepNext/>
        <w:widowControl/>
        <w:ind w:left="720" w:right="720"/>
        <w:jc w:val="center"/>
      </w:pPr>
      <w:r>
        <w:drawing>
          <wp:inline distT="0" distB="0" distL="114300" distR="114300">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4860000" cy="2916000"/>
                    </a:xfrm>
                    <a:prstGeom prst="rect">
                      <a:avLst/>
                    </a:prstGeom>
                    <a:noFill/>
                    <a:ln>
                      <a:noFill/>
                    </a:ln>
                  </pic:spPr>
                </pic:pic>
              </a:graphicData>
            </a:graphic>
          </wp:inline>
        </w:drawing>
      </w:r>
    </w:p>
    <w:p w14:paraId="57EC8DAC">
      <w:pPr>
        <w:pStyle w:val="7"/>
        <w:jc w:val="center"/>
        <w:rPr>
          <w:rFonts w:hint="eastAsia" w:ascii="宋体" w:hAnsi="宋体" w:cs="Times New Roman" w:eastAsiaTheme="minorEastAsia"/>
          <w:sz w:val="21"/>
          <w:szCs w:val="24"/>
        </w:rPr>
      </w:pPr>
      <w:bookmarkStart w:id="339" w:name="_Ref227196778"/>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9</w:t>
      </w:r>
      <w:r>
        <w:rPr>
          <w:rFonts w:ascii="宋体" w:hAnsi="宋体" w:cs="Times New Roman" w:eastAsiaTheme="minorEastAsia"/>
          <w:sz w:val="21"/>
          <w:szCs w:val="24"/>
        </w:rPr>
        <w:fldChar w:fldCharType="end"/>
      </w:r>
      <w:bookmarkEnd w:id="339"/>
      <w:r>
        <w:rPr>
          <w:rFonts w:hint="eastAsia" w:ascii="宋体" w:hAnsi="宋体" w:cs="Times New Roman" w:eastAsiaTheme="minorEastAsia"/>
          <w:sz w:val="21"/>
          <w:szCs w:val="24"/>
        </w:rPr>
        <w:t xml:space="preserve"> 时间步长趋势折线图</w:t>
      </w:r>
    </w:p>
    <w:p w14:paraId="2903DA99">
      <w:pPr>
        <w:pStyle w:val="22"/>
        <w:spacing w:before="156" w:after="156"/>
        <w:outlineLvl w:val="2"/>
      </w:pPr>
      <w:bookmarkStart w:id="340" w:name="_Toc10469"/>
      <w:bookmarkStart w:id="341" w:name="_Toc21803"/>
      <w:bookmarkStart w:id="342" w:name="_Toc32724"/>
      <w:bookmarkStart w:id="343" w:name="_Toc227161737"/>
      <w:r>
        <w:t>全局最优模型拟合效果验证</w:t>
      </w:r>
      <w:bookmarkEnd w:id="340"/>
      <w:bookmarkEnd w:id="341"/>
      <w:bookmarkEnd w:id="342"/>
      <w:bookmarkEnd w:id="343"/>
    </w:p>
    <w:p w14:paraId="13E5F4A1">
      <w:pPr>
        <w:pStyle w:val="23"/>
        <w:ind w:firstLine="480"/>
      </w:pPr>
      <w:r>
        <w:t>经过全面的空间遍历，模型在 IMF保留数量为 5、输入时间步长为 48、批次大小为 128 时，达到了全局最优状态，其在测试集上的 最小 RMSE 降至 1.8924 MW。</w:t>
      </w:r>
    </w:p>
    <w:p w14:paraId="77E67E2E">
      <w:pPr>
        <w:pStyle w:val="23"/>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图5.</w:t>
      </w:r>
      <w:r>
        <w:t>10</w:t>
      </w:r>
      <w:r>
        <w:fldChar w:fldCharType="end"/>
      </w:r>
      <w:r>
        <w:t xml:space="preserve">所示）。观察可知，绝大多数预测数据点紧密且均匀地簇拥在黑色的 </w:t>
      </w:r>
      <m:oMath>
        <m:r>
          <m:rPr/>
          <w:rPr>
            <w:rFonts w:ascii="Cambria Math" w:hAnsi="Cambria Math"/>
          </w:rPr>
          <m:t>y=x</m:t>
        </m:r>
      </m:oMath>
      <w:r>
        <w:t xml:space="preserve"> 完美拟合对角线两侧，且模型决定系数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达到了极高的水平。这充分且直观地证明了，经过严密超参数寻优的 EMD-BiGRU 架构，能够极为精确地映射复杂气象条件下的光伏功率非线性波动空间。</w:t>
      </w:r>
    </w:p>
    <w:p w14:paraId="6083A5AB">
      <w:pPr>
        <w:pStyle w:val="13"/>
        <w:keepNext/>
        <w:widowControl/>
        <w:ind w:left="720" w:right="720"/>
        <w:jc w:val="center"/>
      </w:pPr>
      <w:r>
        <w:drawing>
          <wp:inline distT="0" distB="0" distL="114300" distR="114300">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3"/>
                    <a:stretch>
                      <a:fillRect/>
                    </a:stretch>
                  </pic:blipFill>
                  <pic:spPr>
                    <a:xfrm>
                      <a:off x="0" y="0"/>
                      <a:ext cx="3841428" cy="3458546"/>
                    </a:xfrm>
                    <a:prstGeom prst="rect">
                      <a:avLst/>
                    </a:prstGeom>
                    <a:noFill/>
                    <a:ln>
                      <a:noFill/>
                    </a:ln>
                  </pic:spPr>
                </pic:pic>
              </a:graphicData>
            </a:graphic>
          </wp:inline>
        </w:drawing>
      </w:r>
    </w:p>
    <w:p w14:paraId="35776DCF">
      <w:pPr>
        <w:pStyle w:val="7"/>
        <w:jc w:val="center"/>
        <w:rPr>
          <w:rFonts w:hint="eastAsia" w:ascii="宋体" w:hAnsi="宋体" w:cs="Times New Roman" w:eastAsiaTheme="minorEastAsia"/>
          <w:sz w:val="21"/>
          <w:szCs w:val="24"/>
        </w:rPr>
      </w:pPr>
      <w:bookmarkStart w:id="344" w:name="_Ref227196737"/>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10</w:t>
      </w:r>
      <w:r>
        <w:rPr>
          <w:rFonts w:ascii="宋体" w:hAnsi="宋体" w:cs="Times New Roman" w:eastAsiaTheme="minorEastAsia"/>
          <w:sz w:val="21"/>
          <w:szCs w:val="24"/>
        </w:rPr>
        <w:fldChar w:fldCharType="end"/>
      </w:r>
      <w:bookmarkEnd w:id="344"/>
      <w:r>
        <w:rPr>
          <w:rFonts w:hint="eastAsia" w:ascii="宋体" w:hAnsi="宋体" w:cs="Times New Roman" w:eastAsiaTheme="minorEastAsia"/>
          <w:sz w:val="21"/>
          <w:szCs w:val="24"/>
        </w:rPr>
        <w:t xml:space="preserve"> 最优模型拟合散点图</w:t>
      </w:r>
    </w:p>
    <w:bookmarkEnd w:id="324"/>
    <w:p w14:paraId="41BC6C20">
      <w:pPr>
        <w:pStyle w:val="21"/>
        <w:spacing w:before="156" w:after="156"/>
      </w:pPr>
      <w:bookmarkStart w:id="345" w:name="_Toc227161738"/>
      <w:bookmarkStart w:id="346" w:name="_Toc28022"/>
      <w:bookmarkStart w:id="347" w:name="_Toc1001"/>
      <w:bookmarkStart w:id="348" w:name="_Toc104"/>
      <w:bookmarkStart w:id="349" w:name="593f31e0"/>
      <w:r>
        <w:t>模型改进方向</w:t>
      </w:r>
      <w:bookmarkEnd w:id="345"/>
      <w:bookmarkEnd w:id="346"/>
      <w:bookmarkEnd w:id="347"/>
      <w:bookmarkEnd w:id="348"/>
    </w:p>
    <w:bookmarkEnd w:id="349"/>
    <w:p w14:paraId="748CDDDD">
      <w:pPr>
        <w:pStyle w:val="23"/>
        <w:ind w:firstLine="480"/>
      </w:pPr>
      <w:bookmarkStart w:id="350" w:name="u2b71a9f5"/>
      <w:r>
        <w:t>基于误差分析，未来可从以下方向进一步提升性能：</w:t>
      </w:r>
    </w:p>
    <w:bookmarkEnd w:id="350"/>
    <w:p w14:paraId="5B286A1C">
      <w:pPr>
        <w:pStyle w:val="23"/>
        <w:keepNext w:val="0"/>
        <w:keepLines w:val="0"/>
        <w:pageBreakBefore w:val="0"/>
        <w:widowControl w:val="0"/>
        <w:numPr>
          <w:ilvl w:val="0"/>
          <w:numId w:val="8"/>
        </w:numPr>
        <w:kinsoku/>
        <w:wordWrap/>
        <w:overflowPunct/>
        <w:topLinePunct w:val="0"/>
        <w:autoSpaceDE/>
        <w:autoSpaceDN/>
        <w:bidi w:val="0"/>
        <w:adjustRightInd/>
        <w:snapToGrid/>
        <w:ind w:left="0" w:leftChars="0" w:firstLine="425" w:firstLineChars="0"/>
        <w:textAlignment w:val="auto"/>
      </w:pPr>
      <w:bookmarkStart w:id="351" w:name="u54596c5d"/>
      <w:r>
        <w:t>采用CEEMDAN替代 EMD，抑制模态混叠，提升分解质量；</w:t>
      </w:r>
    </w:p>
    <w:bookmarkEnd w:id="351"/>
    <w:p w14:paraId="387B93B5">
      <w:pPr>
        <w:pStyle w:val="23"/>
        <w:keepNext w:val="0"/>
        <w:keepLines w:val="0"/>
        <w:pageBreakBefore w:val="0"/>
        <w:widowControl w:val="0"/>
        <w:numPr>
          <w:ilvl w:val="0"/>
          <w:numId w:val="8"/>
        </w:numPr>
        <w:kinsoku/>
        <w:wordWrap/>
        <w:overflowPunct/>
        <w:topLinePunct w:val="0"/>
        <w:autoSpaceDE/>
        <w:autoSpaceDN/>
        <w:bidi w:val="0"/>
        <w:adjustRightInd/>
        <w:snapToGrid/>
        <w:ind w:left="0" w:leftChars="0" w:firstLine="425" w:firstLineChars="0"/>
        <w:textAlignment w:val="auto"/>
      </w:pPr>
      <w:bookmarkStart w:id="352" w:name="ucd61b144"/>
      <w:r>
        <w:t>在 BiGRU 基础上加入注意力机制，强化关键特征权重；</w:t>
      </w:r>
    </w:p>
    <w:bookmarkEnd w:id="352"/>
    <w:p w14:paraId="77DE50EE">
      <w:pPr>
        <w:pStyle w:val="23"/>
        <w:keepNext w:val="0"/>
        <w:keepLines w:val="0"/>
        <w:pageBreakBefore w:val="0"/>
        <w:widowControl w:val="0"/>
        <w:numPr>
          <w:ilvl w:val="0"/>
          <w:numId w:val="8"/>
        </w:numPr>
        <w:kinsoku/>
        <w:wordWrap/>
        <w:overflowPunct/>
        <w:topLinePunct w:val="0"/>
        <w:autoSpaceDE/>
        <w:autoSpaceDN/>
        <w:bidi w:val="0"/>
        <w:adjustRightInd/>
        <w:snapToGrid/>
        <w:ind w:left="0" w:leftChars="0" w:firstLine="425" w:firstLineChars="0"/>
        <w:textAlignment w:val="auto"/>
      </w:pPr>
      <w:bookmarkStart w:id="353" w:name="u1cf7a222"/>
      <w:r>
        <w:t>融合更多气象特征与天气预报数据，提升极端天气适应性；</w:t>
      </w:r>
    </w:p>
    <w:bookmarkEnd w:id="353"/>
    <w:p w14:paraId="26D3B3EC">
      <w:pPr>
        <w:pStyle w:val="23"/>
        <w:keepNext w:val="0"/>
        <w:keepLines w:val="0"/>
        <w:pageBreakBefore w:val="0"/>
        <w:widowControl w:val="0"/>
        <w:numPr>
          <w:ilvl w:val="0"/>
          <w:numId w:val="8"/>
        </w:numPr>
        <w:kinsoku/>
        <w:wordWrap/>
        <w:overflowPunct/>
        <w:topLinePunct w:val="0"/>
        <w:autoSpaceDE/>
        <w:autoSpaceDN/>
        <w:bidi w:val="0"/>
        <w:adjustRightInd/>
        <w:snapToGrid/>
        <w:ind w:left="0" w:leftChars="0" w:firstLine="425" w:firstLineChars="0"/>
        <w:textAlignment w:val="auto"/>
      </w:pPr>
      <w:bookmarkStart w:id="354" w:name="ubafe79d2"/>
      <w:r>
        <w:t>引入网格搜索、贝叶斯优化自动调参，进一步提升精度；</w:t>
      </w:r>
    </w:p>
    <w:bookmarkEnd w:id="354"/>
    <w:p w14:paraId="22AA2925">
      <w:pPr>
        <w:pStyle w:val="23"/>
        <w:keepNext w:val="0"/>
        <w:keepLines w:val="0"/>
        <w:pageBreakBefore w:val="0"/>
        <w:widowControl w:val="0"/>
        <w:numPr>
          <w:ilvl w:val="0"/>
          <w:numId w:val="8"/>
        </w:numPr>
        <w:kinsoku/>
        <w:wordWrap/>
        <w:overflowPunct/>
        <w:topLinePunct w:val="0"/>
        <w:autoSpaceDE/>
        <w:autoSpaceDN/>
        <w:bidi w:val="0"/>
        <w:adjustRightInd/>
        <w:snapToGrid/>
        <w:ind w:left="0" w:leftChars="0" w:firstLine="425" w:firstLineChars="0"/>
        <w:textAlignment w:val="auto"/>
      </w:pPr>
      <w:bookmarkStart w:id="355" w:name="u010eadfe"/>
      <w:r>
        <w:t>构建轻量化模型，实现嵌入式端实时预测部署。</w:t>
      </w:r>
    </w:p>
    <w:p w14:paraId="74F9440F">
      <w:pPr>
        <w:pStyle w:val="19"/>
      </w:pPr>
      <w:bookmarkStart w:id="356" w:name="_Toc25763"/>
      <w:bookmarkStart w:id="357" w:name="_Toc1732"/>
      <w:bookmarkStart w:id="358" w:name="_Toc227161739"/>
      <w:bookmarkStart w:id="359" w:name="_Toc23165"/>
      <w:r>
        <w:t>结论与展望</w:t>
      </w:r>
      <w:bookmarkEnd w:id="356"/>
      <w:bookmarkEnd w:id="357"/>
      <w:bookmarkEnd w:id="358"/>
      <w:bookmarkEnd w:id="359"/>
    </w:p>
    <w:p w14:paraId="19B4E891">
      <w:pPr>
        <w:pStyle w:val="21"/>
        <w:spacing w:before="156" w:after="156"/>
      </w:pPr>
      <w:r>
        <w:t xml:space="preserve"> </w:t>
      </w:r>
      <w:bookmarkStart w:id="360" w:name="_Toc22078"/>
      <w:bookmarkStart w:id="361" w:name="_Toc4807"/>
      <w:bookmarkStart w:id="362" w:name="_Toc227161740"/>
      <w:bookmarkStart w:id="363" w:name="_Toc3526"/>
      <w:r>
        <w:t>研究总结</w:t>
      </w:r>
      <w:bookmarkEnd w:id="360"/>
      <w:bookmarkEnd w:id="361"/>
      <w:bookmarkEnd w:id="362"/>
      <w:bookmarkEnd w:id="363"/>
    </w:p>
    <w:p w14:paraId="4C4AB28E">
      <w:pPr>
        <w:pStyle w:val="23"/>
        <w:ind w:firstLine="480"/>
      </w:pPr>
      <w:r>
        <w:t>针对目前光伏功率预测领域中普遍面临的序列高波动、强随机性及非平稳等核心技术难题，本文开展了系统性的理论分析与实验验证，提出并构建了一种融合经验模态分解（EMD）与双向门控循环单元（BiGRU）的短期光伏功率混合预测框架。通过严密的数学推导与基于真实电站数据集的交叉验证，本文圆满完成了预期的研究目标，主要研究成果与结论总结如下：</w:t>
      </w:r>
    </w:p>
    <w:p w14:paraId="68B0CE0C">
      <w:pPr>
        <w:pStyle w:val="23"/>
        <w:ind w:firstLine="480"/>
      </w:pPr>
      <w:r>
        <w:t>在数据特征表达的重构方面，本文突破了传统单一深度学习网络难以直接处理复杂多变气象耦合信息的局限，创新性地引入 EMD 算法对原始功率序列进行解耦。研究证明，通过将高度非线性的原始信号自适应分解为多个相对平稳的本征模函数分量，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，从数据预处理的底层逻辑上有效减轻了网络的学习负担</w:t>
      </w:r>
      <w:r>
        <w:t>，为后续的高精度特征映射奠定了基础。</w:t>
      </w:r>
    </w:p>
    <w:p w14:paraId="61DD81BE">
      <w:pPr>
        <w:pStyle w:val="23"/>
        <w:ind w:firstLine="480"/>
      </w:pPr>
      <w:r>
        <w:t>在时序特征提取与网络架构优化方面，本文深刻剖析了传统循环神经网络在长序列映射中存在的记忆衰减缺陷，并论证了双向门控机制在时序预测中的核心优势。相较于单向结构，BiGRU 网络通过正反双向的信息流传播机制，不仅有效克服了长序列预测中常见的梯度迟滞问题，</w:t>
      </w:r>
      <w:r>
        <w:rPr>
          <w:rFonts w:ascii="宋体" w:hAnsi="宋体" w:cs="宋体"/>
        </w:rPr>
        <w:t>更精准地捕捉了气象要素演变中的深层前后文依赖关系，这一双向结构优势在多项相关研究中均得到了证实</w:t>
      </w:r>
      <w:r>
        <w:rPr>
          <w:rFonts w:ascii="宋体" w:hAnsi="宋体" w:cs="宋体"/>
          <w:vertAlign w:val="superscript"/>
        </w:rPr>
        <w:t>[4]</w:t>
      </w:r>
      <w:r>
        <w:rPr>
          <w:rFonts w:ascii="宋体" w:hAnsi="宋体" w:cs="宋体"/>
        </w:rPr>
        <w:t>，实现了对时间序列局部突变与全局趋势的全面感知。</w:t>
      </w:r>
    </w:p>
    <w:p w14:paraId="09C738A2">
      <w:pPr>
        <w:pStyle w:val="23"/>
        <w:ind w:firstLine="480"/>
      </w:pPr>
      <w:r>
        <w:t>在模型综合性能验证方面，本研究在包含晴天、阴天、雨天等全天候复杂工况的测试集中，对所提模型进行了严格的横向对比与消融实验。结果表明，EMD-BiGRU 模型在均方根误差（RMSE）、平均绝对百分比误差（MAPE）与决定系数（</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）等核心评价指标上均取得了绝对的最优表现。与传统的 RNN、LSTM 及单一 GRU 等基线网络相比，该组合架构展现出了卓越的拟合精度和极强的抗干扰鲁棒性，有效突破了复杂恶劣气象条件下的预测精度瓶颈，具有较高的实际工程推广价值。</w:t>
      </w:r>
    </w:p>
    <w:p w14:paraId="3AD453D4">
      <w:pPr>
        <w:pStyle w:val="21"/>
        <w:spacing w:before="156" w:after="156"/>
      </w:pPr>
      <w:r>
        <w:t xml:space="preserve"> </w:t>
      </w:r>
      <w:bookmarkStart w:id="364" w:name="_Toc10285"/>
      <w:bookmarkStart w:id="365" w:name="_Toc18569"/>
      <w:bookmarkStart w:id="366" w:name="_Toc30199"/>
      <w:bookmarkStart w:id="367" w:name="_Toc227161741"/>
      <w:r>
        <w:t>未来工作展望</w:t>
      </w:r>
      <w:bookmarkEnd w:id="364"/>
      <w:bookmarkEnd w:id="365"/>
      <w:bookmarkEnd w:id="366"/>
      <w:bookmarkEnd w:id="367"/>
    </w:p>
    <w:p w14:paraId="7EA0AF99">
      <w:pPr>
        <w:pStyle w:val="23"/>
        <w:ind w:firstLine="480"/>
      </w:pPr>
      <w:r>
        <w:t>尽管本文提出的 EMD-BiGRU 组合预测模型在光伏功率短期预测中取得了显著的精度跃升，初步验证了“分解-预测-融合”策略的科学性，但受限于现有的理论工具与研究周期，该课题在未来仍有进一步深入探索与优化的广阔空间。</w:t>
      </w:r>
    </w:p>
    <w:p w14:paraId="757D7AA3">
      <w:pPr>
        <w:pStyle w:val="23"/>
        <w:ind w:firstLine="480"/>
      </w:pPr>
      <w:r>
        <w:t>首先，在信号处理与分解层面，传统的 EMD 算法在应对极端且剧烈的气象波动时，仍不可避免地存在一定程度的端点效应与模态混叠现象，这在一定程度上限制了高频分量的纯净度。未来的研究可尝试引入完全自适应噪声集合经验模态分解（CEEMDAN）算法，利用其优异的白噪声自适应抵消特性，进一步提高各分解分量之间的数学正交性，从而更加彻底地解决模态混叠带来的特征模糊问题。</w:t>
      </w:r>
    </w:p>
    <w:p w14:paraId="69D6BB5E">
      <w:pPr>
        <w:pStyle w:val="23"/>
        <w:ind w:firstLine="480"/>
      </w:pPr>
      <w:r>
        <w:t>其次，在深度神经网络结构的演进层面，当前所使用的 BiGRU 模型对所有历史时间步的特征赋予了相对均等的关注度，缺乏对关键气象节点的敏感性捕捉。为进一步提升模型在极端恶劣天气（如短时强对流、瞬时厚云层遮挡）下的预测泛化能力，</w:t>
      </w:r>
      <w:r>
        <w:rPr>
          <w:rFonts w:ascii="宋体" w:hAnsi="宋体" w:cs="宋体"/>
        </w:rPr>
        <w:t>未来的研究考虑在 BiGRU 网络的隐藏层之上叠加时间或时空混合注意力机制（Attention Mechanism）</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7]</w:t>
      </w:r>
      <w:r>
        <w:rPr>
          <w:rFonts w:ascii="宋体" w:hAnsi="宋体" w:cs="宋体"/>
        </w:rPr>
        <w:t>。该机制能够自适应地量化不同历史时刻对当前预测的贡献度</w:t>
      </w:r>
      <w:r>
        <w:t>，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6DDF0499">
      <w:pPr>
        <w:pStyle w:val="23"/>
        <w:ind w:firstLine="480"/>
      </w:pPr>
    </w:p>
    <w:p w14:paraId="1FC060AA"/>
    <w:p w14:paraId="32490FA2"/>
    <w:p w14:paraId="37E98455">
      <w:pPr>
        <w:spacing w:before="312" w:beforeLines="100" w:after="50" w:line="360" w:lineRule="auto"/>
        <w:jc w:val="left"/>
      </w:pPr>
    </w:p>
    <w:bookmarkEnd w:id="355"/>
    <w:p w14:paraId="1486797D">
      <w:pPr>
        <w:ind w:firstLine="480"/>
      </w:pPr>
    </w:p>
    <w:p w14:paraId="05EF6444">
      <w:pPr>
        <w:sectPr>
          <w:headerReference r:id="rId11" w:type="default"/>
          <w:footerReference r:id="rId13" w:type="default"/>
          <w:headerReference r:id="rId12" w:type="even"/>
          <w:footerReference r:id="rId14" w:type="even"/>
          <w:pgSz w:w="11906" w:h="16838"/>
          <w:pgMar w:top="1417" w:right="1417" w:bottom="1417" w:left="1417" w:header="1021" w:footer="794" w:gutter="0"/>
          <w:pgNumType w:start="1"/>
          <w:cols w:space="425" w:num="1"/>
          <w:docGrid w:type="lines" w:linePitch="312" w:charSpace="0"/>
        </w:sectPr>
      </w:pPr>
      <w:r>
        <w:tab/>
      </w:r>
    </w:p>
    <w:p w14:paraId="4BE62C7D">
      <w:pPr>
        <w:pStyle w:val="19"/>
        <w:numPr>
          <w:ilvl w:val="0"/>
          <w:numId w:val="0"/>
        </w:numPr>
        <w:jc w:val="center"/>
      </w:pPr>
      <w:bookmarkStart w:id="368" w:name="_Toc4646"/>
      <w:bookmarkStart w:id="369" w:name="_Toc227161742"/>
      <w:bookmarkStart w:id="370" w:name="_Toc2784"/>
      <w:bookmarkStart w:id="371" w:name="_Toc4943"/>
      <w:r>
        <w:rPr>
          <w:rFonts w:hint="eastAsia"/>
        </w:rPr>
        <w:t>参考文献</w:t>
      </w:r>
      <w:bookmarkEnd w:id="368"/>
      <w:bookmarkEnd w:id="369"/>
      <w:bookmarkEnd w:id="370"/>
      <w:bookmarkEnd w:id="371"/>
    </w:p>
    <w:p w14:paraId="5845A28E">
      <w:pPr>
        <w:numPr>
          <w:ilvl w:val="0"/>
          <w:numId w:val="9"/>
        </w:numPr>
        <w:ind w:left="315" w:hanging="315" w:hangingChars="150"/>
        <w:textAlignment w:val="center"/>
      </w:pPr>
      <w:r>
        <w:t>邓亚平, 段建东, 贾颢, 等. 基于布谷鸟算法优化独立循环神经网络深度学习的超短期风电功率预测 [J]. 电网与清洁能源, 2021, 37(09): 18-26.</w:t>
      </w:r>
    </w:p>
    <w:p w14:paraId="027A180D">
      <w:pPr>
        <w:numPr>
          <w:ilvl w:val="0"/>
          <w:numId w:val="9"/>
        </w:numPr>
        <w:ind w:left="315" w:hanging="315" w:hangingChars="150"/>
        <w:textAlignment w:val="center"/>
      </w:pPr>
      <w:r>
        <w:t>张海涛, 李文娟, 李雪峰, 等. 基于变分模态分解和时间注意力机制TCN网络的光伏发电功率预测 [J]. 电测与仪表, 2024, 61(12): 156-163.</w:t>
      </w:r>
    </w:p>
    <w:p w14:paraId="20F964DF">
      <w:pPr>
        <w:numPr>
          <w:ilvl w:val="0"/>
          <w:numId w:val="9"/>
        </w:numPr>
        <w:ind w:left="315" w:hanging="315" w:hangingChars="150"/>
        <w:textAlignment w:val="center"/>
      </w:pPr>
      <w:r>
        <w:t>王德凯. 基于深度学习的短期风电功率预测方法研究 [D]. 安庆师范大学, 2023.</w:t>
      </w:r>
    </w:p>
    <w:p w14:paraId="1A9F70B2">
      <w:pPr>
        <w:numPr>
          <w:ilvl w:val="0"/>
          <w:numId w:val="9"/>
        </w:numPr>
        <w:ind w:left="315" w:hanging="315" w:hangingChars="150"/>
        <w:textAlignment w:val="center"/>
      </w:pPr>
      <w:r>
        <w:t>祁宇轩, 范俊岩, 吴定会, 等. 基于相似日与BiLSTM组合的短期电力负荷预测 [J/OL]. 控制理论与应用: 1-9 [2023-12-20].</w:t>
      </w:r>
    </w:p>
    <w:p w14:paraId="71B31130">
      <w:pPr>
        <w:numPr>
          <w:ilvl w:val="0"/>
          <w:numId w:val="9"/>
        </w:numPr>
        <w:ind w:left="315" w:hanging="315" w:hangingChars="150"/>
        <w:textAlignment w:val="center"/>
      </w:pPr>
      <w:r>
        <w:t>梁宏涛, 王莹, 刘红菊, 等. 基于注意力机制的CNN-BiGRU短期光伏发电功率预测 [J]. 计算机测量与控制, 2022, 30(06): 259-265.</w:t>
      </w:r>
    </w:p>
    <w:p w14:paraId="7DA744F0">
      <w:pPr>
        <w:numPr>
          <w:ilvl w:val="0"/>
          <w:numId w:val="9"/>
        </w:numPr>
        <w:ind w:left="315" w:hanging="315" w:hangingChars="150"/>
        <w:textAlignment w:val="center"/>
      </w:pPr>
      <w:r>
        <w:t>张雲钦, 程起泽, 蒋文杰, 等. 基于EMD-PCA-LSTM的光伏功率预测模型 [J]. 太阳能学报, 2021, 42(09): 62-69.</w:t>
      </w:r>
    </w:p>
    <w:p w14:paraId="150C979D">
      <w:pPr>
        <w:numPr>
          <w:ilvl w:val="0"/>
          <w:numId w:val="9"/>
        </w:numPr>
        <w:ind w:left="315" w:hanging="315" w:hangingChars="150"/>
        <w:textAlignment w:val="center"/>
      </w:pPr>
      <w:r>
        <w:t>黄贤明, 郝雨辰, 霍雪松, 等. 基于时空混合注意力机制的超短时风电功率预测方法 [J]. 现代电力, 2025, 42(05): 928-936.</w:t>
      </w:r>
    </w:p>
    <w:p w14:paraId="1F210F38">
      <w:pPr>
        <w:numPr>
          <w:ilvl w:val="0"/>
          <w:numId w:val="9"/>
        </w:numPr>
        <w:ind w:left="315" w:hanging="315" w:hangingChars="150"/>
        <w:textAlignment w:val="center"/>
      </w:pPr>
      <w:r>
        <w:t>韩华, 李杨, 王磊. 基于 EMD-BiGRU 的光伏功率短期预测 [J]. 电力系统保护与控制, 2020, 48(15): 142-148.</w:t>
      </w:r>
    </w:p>
    <w:p w14:paraId="52519F20">
      <w:pPr>
        <w:numPr>
          <w:ilvl w:val="0"/>
          <w:numId w:val="9"/>
        </w:numPr>
        <w:ind w:left="315" w:hanging="315" w:hangingChars="150"/>
        <w:textAlignment w:val="center"/>
      </w:pPr>
      <w:r>
        <w:t>刘军, 张宇, 李明. 光伏功率预测技术研究现状与发展趋势 [J]. 电工技术学报, 2019, 34(S1): 232-243.</w:t>
      </w:r>
    </w:p>
    <w:p w14:paraId="205268EA">
      <w:pPr>
        <w:numPr>
          <w:ilvl w:val="0"/>
          <w:numId w:val="9"/>
        </w:numPr>
        <w:ind w:left="315" w:hanging="315" w:hangingChars="150"/>
        <w:textAlignment w:val="center"/>
      </w:pPr>
      <w:r>
        <w:t>Zhang Y, Wang J, Li H. Short-term photovoltaic power prediction based on EMD and BiGRU neural network [J]. Renewable Energy, 2022, 186: 789-798.</w:t>
      </w:r>
    </w:p>
    <w:p w14:paraId="148FAE21">
      <w:pPr>
        <w:numPr>
          <w:ilvl w:val="0"/>
          <w:numId w:val="9"/>
        </w:numPr>
        <w:ind w:left="315" w:hanging="315" w:hangingChars="150"/>
        <w:textAlignment w:val="center"/>
      </w:pPr>
      <w:r>
        <w:t>王磊, 韩华. 基于 VMD-BiGRU 的光伏功率短期预测 [J]. 电网技术, 2021, 45(07): 2654-2661.</w:t>
      </w:r>
    </w:p>
    <w:p w14:paraId="6717E8A6">
      <w:pPr>
        <w:numPr>
          <w:ilvl w:val="0"/>
          <w:numId w:val="9"/>
        </w:numPr>
        <w:ind w:left="315" w:hanging="315" w:hangingChars="150"/>
        <w:textAlignment w:val="center"/>
      </w:pPr>
      <w:r>
        <w:t>王乐, 丁皓. 基于深度学习的时间序列预测方法综述 [J]. 计算机工程与应用, 2023, 59(02): 1-16.</w:t>
      </w:r>
    </w:p>
    <w:p w14:paraId="1B451F25">
      <w:pPr>
        <w:numPr>
          <w:ilvl w:val="0"/>
          <w:numId w:val="9"/>
        </w:numPr>
        <w:ind w:left="315" w:hanging="315" w:hangingChars="150"/>
        <w:textAlignment w:val="center"/>
      </w:pPr>
      <w:r>
        <w:t>王聪, 王磊. 经验模态分解研究进展与综述 [J]. 电子学报, 2022, 50(03): 745-758.</w:t>
      </w:r>
    </w:p>
    <w:p w14:paraId="45C88510">
      <w:pPr>
        <w:numPr>
          <w:ilvl w:val="0"/>
          <w:numId w:val="9"/>
        </w:numPr>
        <w:ind w:left="315" w:hanging="315" w:hangingChars="150"/>
        <w:textAlignment w:val="center"/>
      </w:pPr>
      <w:r>
        <w:t>王凯, 李娟. 双向门控循环单元(BiGRU)研究与应用综述 [J]. 计算机工程与应用, 2024, 60(01): 42-54.</w:t>
      </w:r>
    </w:p>
    <w:p w14:paraId="38A5A09D">
      <w:pPr>
        <w:numPr>
          <w:ilvl w:val="0"/>
          <w:numId w:val="9"/>
        </w:numPr>
        <w:ind w:left="315" w:hanging="315" w:hangingChars="150"/>
        <w:textAlignment w:val="center"/>
      </w:pPr>
      <w:r>
        <w:t>国家能源局. 太阳能发展 “十四五” 规划 [Z]. 2021.</w:t>
      </w:r>
    </w:p>
    <w:p w14:paraId="450F6CCB">
      <w:pPr>
        <w:numPr>
          <w:ilvl w:val="0"/>
          <w:numId w:val="9"/>
        </w:numPr>
        <w:ind w:left="315" w:hanging="315" w:hangingChars="150"/>
        <w:textAlignment w:val="center"/>
      </w:pPr>
      <w:r>
        <w:t>陈强, 孙晓明. 考虑气象突变因素的组合模型超短期功率预测 [J]. 可再生能源, 2021, 39(11): 1450-1456.</w:t>
      </w:r>
    </w:p>
    <w:p w14:paraId="7BCD85B4">
      <w:pPr>
        <w:numPr>
          <w:ilvl w:val="0"/>
          <w:numId w:val="9"/>
        </w:numPr>
        <w:ind w:left="315" w:hanging="315" w:hangingChars="150"/>
        <w:textAlignment w:val="center"/>
      </w:pPr>
      <w:r>
        <w:t>Li X, Chen Z. Short-term solar power forecasting using empirical mode decomposition and deep learning [J]. IEEE Access, 2020, 8: 12567-12578.</w:t>
      </w:r>
    </w:p>
    <w:p w14:paraId="168F420E">
      <w:pPr>
        <w:numPr>
          <w:ilvl w:val="0"/>
          <w:numId w:val="9"/>
        </w:numPr>
        <w:ind w:left="315" w:hanging="315" w:hangingChars="150"/>
        <w:textAlignment w:val="center"/>
      </w:pPr>
      <w:r>
        <w:t>吴浩, 周洁. 光伏数据清洗及归一化对预测精度的影响评估 [J]. 电力自动化设备, 2019, 39(08): 77-83.</w:t>
      </w:r>
    </w:p>
    <w:p w14:paraId="10E5C9B6">
      <w:pPr>
        <w:numPr>
          <w:ilvl w:val="0"/>
          <w:numId w:val="9"/>
        </w:numPr>
        <w:ind w:left="315" w:hanging="315" w:hangingChars="150"/>
        <w:textAlignment w:val="center"/>
      </w:pPr>
      <w:r>
        <w:t>林海, 郭峰. 鲁棒损失函数在强噪声新能源预测模型中的应用 [J]. 电网技术, 2023, 47(02): 510-518.</w:t>
      </w:r>
    </w:p>
    <w:p w14:paraId="5A780E8D">
      <w:pPr>
        <w:pStyle w:val="23"/>
        <w:ind w:firstLine="480"/>
      </w:pPr>
    </w:p>
    <w:p w14:paraId="4AD32358">
      <w:pPr>
        <w:pStyle w:val="23"/>
        <w:ind w:firstLine="480"/>
      </w:pPr>
    </w:p>
    <w:p w14:paraId="20FFC4EE">
      <w:pPr>
        <w:pStyle w:val="23"/>
        <w:ind w:firstLine="480"/>
      </w:pPr>
    </w:p>
    <w:p w14:paraId="0F32AFC3">
      <w:pPr>
        <w:pStyle w:val="19"/>
        <w:numPr>
          <w:ilvl w:val="0"/>
          <w:numId w:val="0"/>
        </w:numPr>
      </w:pPr>
      <w:bookmarkStart w:id="372" w:name="_Toc5897"/>
      <w:bookmarkEnd w:id="372"/>
    </w:p>
    <w:p w14:paraId="268D8264">
      <w:pPr>
        <w:pStyle w:val="19"/>
        <w:numPr>
          <w:ilvl w:val="0"/>
          <w:numId w:val="0"/>
        </w:numPr>
        <w:jc w:val="center"/>
      </w:pPr>
      <w:bookmarkStart w:id="373" w:name="_Toc10027"/>
      <w:bookmarkStart w:id="374" w:name="_Toc227161743"/>
      <w:bookmarkStart w:id="375" w:name="_Toc15060"/>
      <w:bookmarkStart w:id="376" w:name="_Toc4703"/>
      <w:r>
        <w:rPr>
          <w:rFonts w:hint="eastAsia"/>
        </w:rPr>
        <w:t>致谢</w:t>
      </w:r>
      <w:bookmarkEnd w:id="373"/>
      <w:bookmarkEnd w:id="374"/>
      <w:bookmarkEnd w:id="375"/>
      <w:bookmarkEnd w:id="376"/>
    </w:p>
    <w:p w14:paraId="1DCFF2CC">
      <w:pPr>
        <w:ind w:firstLine="480"/>
      </w:pPr>
      <w:r>
        <w:rPr>
          <w:rFonts w:hint="eastAsia"/>
        </w:rPr>
        <w:t>XXXXXXXXXXXXXXXXXXXXXXXXXXXXXXXXXXXXXXXXXXXXXXXXXXXXXXXXXXXXXXXXXXXXXXXXXXXXXXXXXXXXXXXXXXXXXXXXXXXXXXXXXXXXXXXXXXXXXXXXXXXXXXXXXXXXXXXXXXXXXXXXXXXXXXXXXXXXXXXXXXXXXXX</w:t>
      </w:r>
    </w:p>
    <w:p w14:paraId="4DA245FD">
      <w:pPr>
        <w:ind w:firstLine="480"/>
      </w:pPr>
      <w:r>
        <w:rPr>
          <w:rFonts w:hint="eastAsia"/>
        </w:rPr>
        <w:t>XXXXXXXXXXXXXXXXXXXXXXXXXXXXXXX</w:t>
      </w:r>
    </w:p>
    <w:p w14:paraId="6563D87E">
      <w:pPr>
        <w:ind w:firstLine="480"/>
        <w:sectPr>
          <w:pgSz w:w="11906" w:h="16838"/>
          <w:pgMar w:top="1588" w:right="1134" w:bottom="1247" w:left="1701" w:header="1021" w:footer="794" w:gutter="0"/>
          <w:cols w:space="425" w:num="1"/>
          <w:docGrid w:type="lines" w:linePitch="312" w:charSpace="0"/>
        </w:sectPr>
      </w:pPr>
    </w:p>
    <w:p w14:paraId="427554F5">
      <w:pPr>
        <w:pStyle w:val="19"/>
        <w:numPr>
          <w:ilvl w:val="0"/>
          <w:numId w:val="0"/>
        </w:numPr>
        <w:ind w:left="425"/>
        <w:jc w:val="center"/>
      </w:pPr>
      <w:bookmarkStart w:id="377" w:name="_Toc23095"/>
      <w:bookmarkStart w:id="378" w:name="_Toc3719"/>
      <w:bookmarkStart w:id="379" w:name="_Toc227161744"/>
      <w:bookmarkStart w:id="380" w:name="_Toc15903"/>
      <w:r>
        <w:rPr>
          <w:rFonts w:hint="eastAsia"/>
        </w:rPr>
        <w:t>附录A</w:t>
      </w:r>
      <w:r>
        <w:t xml:space="preserve"> </w:t>
      </w:r>
      <w:r>
        <w:rPr>
          <w:rFonts w:hint="eastAsia"/>
        </w:rPr>
        <w:t xml:space="preserve"> XXXXXX</w:t>
      </w:r>
      <w:bookmarkEnd w:id="377"/>
      <w:bookmarkEnd w:id="378"/>
      <w:bookmarkEnd w:id="379"/>
      <w:bookmarkEnd w:id="380"/>
    </w:p>
    <w:p w14:paraId="2A490629">
      <w:r>
        <w:rPr>
          <w:rFonts w:hint="eastAsia"/>
        </w:rPr>
        <w:t>XXXXXXXXXXXXXXXXXXXXXXXXXXXXXXXXXXXXXXXXXXXXXXXXXXXXXXXXXXXXXXXXXXXXXXXXXXXXXXXXXXXXXXXXXXXXX</w:t>
      </w:r>
    </w:p>
    <w:p w14:paraId="4E7E0D7D">
      <w:r>
        <w:rPr>
          <w:rFonts w:hint="eastAsia"/>
        </w:rPr>
        <w:t>XXXXXXXXXXXXXXXXXXXXXXXXXXXXXXX</w:t>
      </w:r>
    </w:p>
    <w:p w14:paraId="54D84FE6">
      <w:pPr>
        <w:pStyle w:val="19"/>
        <w:sectPr>
          <w:pgSz w:w="11906" w:h="16838"/>
          <w:pgMar w:top="1588" w:right="1134" w:bottom="1247" w:left="1701" w:header="1021" w:footer="794" w:gutter="0"/>
          <w:cols w:space="425" w:num="1"/>
          <w:docGrid w:type="lines" w:linePitch="312" w:charSpace="0"/>
        </w:sectPr>
      </w:pPr>
      <w:bookmarkStart w:id="381" w:name="_Toc5144"/>
      <w:bookmarkEnd w:id="381"/>
      <w:bookmarkStart w:id="382" w:name="_Toc7483"/>
      <w:bookmarkEnd w:id="382"/>
      <w:bookmarkStart w:id="383" w:name="_Toc227161745"/>
      <w:bookmarkEnd w:id="383"/>
      <w:bookmarkStart w:id="384" w:name="_Toc227161746"/>
      <w:bookmarkEnd w:id="384"/>
    </w:p>
    <w:p w14:paraId="097DFC15">
      <w:pPr>
        <w:pStyle w:val="19"/>
        <w:numPr>
          <w:ilvl w:val="0"/>
          <w:numId w:val="0"/>
        </w:numPr>
        <w:ind w:left="425"/>
        <w:jc w:val="center"/>
      </w:pPr>
      <w:bookmarkStart w:id="385" w:name="_Toc20356"/>
      <w:bookmarkStart w:id="386" w:name="_Toc227161747"/>
      <w:bookmarkStart w:id="387" w:name="_Toc31052"/>
      <w:bookmarkStart w:id="388" w:name="_Toc15004"/>
      <w:r>
        <w:rPr>
          <w:rFonts w:hint="eastAsia"/>
        </w:rPr>
        <w:t>附录B</w:t>
      </w:r>
      <w:r>
        <w:t xml:space="preserve"> </w:t>
      </w:r>
      <w:r>
        <w:rPr>
          <w:rFonts w:hint="eastAsia"/>
        </w:rPr>
        <w:t xml:space="preserve"> XXXXXXX</w:t>
      </w:r>
      <w:bookmarkEnd w:id="385"/>
      <w:bookmarkEnd w:id="386"/>
      <w:bookmarkEnd w:id="387"/>
      <w:bookmarkEnd w:id="388"/>
    </w:p>
    <w:p w14:paraId="413C56B8">
      <w:pPr>
        <w:snapToGrid w:val="0"/>
      </w:pPr>
    </w:p>
    <w:sectPr>
      <w:pgSz w:w="11906" w:h="16838"/>
      <w:pgMar w:top="1588" w:right="1134" w:bottom="1247" w:left="1701" w:header="102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587FD">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0A3E7">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C74C2">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EEC74C2">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AD00D">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F4BD0">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C2DD2">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9AC2DD2">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C2F28">
    <w:pPr>
      <w:tabs>
        <w:tab w:val="center" w:pos="4153"/>
        <w:tab w:val="right" w:pos="8306"/>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039AF">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4C039AF">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BED53">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39726">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6C039726">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681948">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5681948">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7EB8A">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72370">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CC81F">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BE11">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C6E0D">
    <w:pPr>
      <w:pBdr>
        <w:bottom w:val="single" w:color="auto" w:sz="4" w:space="0"/>
      </w:pBdr>
      <w:tabs>
        <w:tab w:val="center" w:pos="4153"/>
        <w:tab w:val="right" w:pos="8306"/>
      </w:tabs>
      <w:rPr>
        <w:sz w:val="18"/>
        <w:szCs w:val="18"/>
      </w:rPr>
    </w:pPr>
    <w:r>
      <w:rPr>
        <w:rFonts w:hint="eastAsia"/>
        <w:sz w:val="18"/>
        <w:szCs w:val="18"/>
      </w:rPr>
      <w:t>论文题目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879E1">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15413"/>
    <w:multiLevelType w:val="multilevel"/>
    <w:tmpl w:val="BA415413"/>
    <w:lvl w:ilvl="0" w:tentative="0">
      <w:start w:val="1"/>
      <w:numFmt w:val="decimal"/>
      <w:pStyle w:val="19"/>
      <w:lvlText w:val="%1"/>
      <w:lvlJc w:val="left"/>
      <w:pPr>
        <w:ind w:left="425" w:hanging="425"/>
      </w:pPr>
      <w:rPr>
        <w:rFonts w:hint="default"/>
      </w:rPr>
    </w:lvl>
    <w:lvl w:ilvl="1" w:tentative="0">
      <w:start w:val="1"/>
      <w:numFmt w:val="decimal"/>
      <w:pStyle w:val="21"/>
      <w:lvlText w:val="%1.%2"/>
      <w:lvlJc w:val="left"/>
      <w:pPr>
        <w:ind w:left="567" w:hanging="567"/>
      </w:pPr>
      <w:rPr>
        <w:rFonts w:hint="default" w:ascii="Times New Roman" w:hAnsi="Times New Roman" w:cs="Times New Roman"/>
      </w:rPr>
    </w:lvl>
    <w:lvl w:ilvl="2" w:tentative="0">
      <w:start w:val="1"/>
      <w:numFmt w:val="decimal"/>
      <w:pStyle w:val="22"/>
      <w:lvlText w:val="%1.%2.%3"/>
      <w:lvlJc w:val="left"/>
      <w:pPr>
        <w:ind w:left="709" w:hanging="709"/>
      </w:pPr>
      <w:rPr>
        <w:rFonts w:hint="default"/>
      </w:rPr>
    </w:lvl>
    <w:lvl w:ilvl="3" w:tentative="0">
      <w:start w:val="1"/>
      <w:numFmt w:val="decimal"/>
      <w:pStyle w:val="24"/>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C34B892"/>
    <w:multiLevelType w:val="singleLevel"/>
    <w:tmpl w:val="DC34B892"/>
    <w:lvl w:ilvl="0" w:tentative="0">
      <w:start w:val="1"/>
      <w:numFmt w:val="decimal"/>
      <w:suff w:val="nothing"/>
      <w:lvlText w:val="（%1）"/>
      <w:lvlJc w:val="left"/>
      <w:pPr>
        <w:tabs>
          <w:tab w:val="left" w:pos="420"/>
        </w:tabs>
        <w:ind w:left="425" w:leftChars="0" w:hanging="425" w:firstLineChars="0"/>
      </w:pPr>
      <w:rPr>
        <w:rFonts w:hint="default"/>
      </w:rPr>
    </w:lvl>
  </w:abstractNum>
  <w:abstractNum w:abstractNumId="2">
    <w:nsid w:val="00000007"/>
    <w:multiLevelType w:val="multilevel"/>
    <w:tmpl w:val="00000007"/>
    <w:lvl w:ilvl="0" w:tentative="0">
      <w:start w:val="1"/>
      <w:numFmt w:val="decimal"/>
      <w:pStyle w:val="32"/>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65F9A95"/>
    <w:multiLevelType w:val="singleLevel"/>
    <w:tmpl w:val="165F9A95"/>
    <w:lvl w:ilvl="0" w:tentative="0">
      <w:start w:val="1"/>
      <w:numFmt w:val="decimal"/>
      <w:suff w:val="nothing"/>
      <w:lvlText w:val="（%1）"/>
      <w:lvlJc w:val="left"/>
      <w:pPr>
        <w:tabs>
          <w:tab w:val="left" w:pos="420"/>
        </w:tabs>
        <w:ind w:left="425" w:leftChars="0" w:hanging="425" w:firstLineChars="0"/>
      </w:pPr>
      <w:rPr>
        <w:rFonts w:hint="default"/>
      </w:rPr>
    </w:lvl>
  </w:abstractNum>
  <w:abstractNum w:abstractNumId="5">
    <w:nsid w:val="2FB88273"/>
    <w:multiLevelType w:val="singleLevel"/>
    <w:tmpl w:val="2FB88273"/>
    <w:lvl w:ilvl="0" w:tentative="0">
      <w:start w:val="1"/>
      <w:numFmt w:val="decimal"/>
      <w:suff w:val="nothing"/>
      <w:lvlText w:val="（%1）"/>
      <w:lvlJc w:val="left"/>
      <w:pPr>
        <w:tabs>
          <w:tab w:val="left" w:pos="420"/>
        </w:tabs>
        <w:ind w:left="425" w:leftChars="0" w:hanging="425" w:firstLineChars="0"/>
      </w:pPr>
      <w:rPr>
        <w:rFonts w:hint="default"/>
      </w:rPr>
    </w:lvl>
  </w:abstractNum>
  <w:abstractNum w:abstractNumId="6">
    <w:nsid w:val="32E83E71"/>
    <w:multiLevelType w:val="singleLevel"/>
    <w:tmpl w:val="32E83E71"/>
    <w:lvl w:ilvl="0" w:tentative="0">
      <w:start w:val="1"/>
      <w:numFmt w:val="decimal"/>
      <w:suff w:val="nothing"/>
      <w:lvlText w:val="（%1）"/>
      <w:lvlJc w:val="left"/>
      <w:pPr>
        <w:tabs>
          <w:tab w:val="left" w:pos="420"/>
        </w:tabs>
        <w:ind w:left="425" w:leftChars="0" w:hanging="425" w:firstLineChars="0"/>
      </w:pPr>
      <w:rPr>
        <w:rFonts w:hint="default"/>
      </w:rPr>
    </w:lvl>
  </w:abstractNum>
  <w:abstractNum w:abstractNumId="7">
    <w:nsid w:val="75FA18F9"/>
    <w:multiLevelType w:val="singleLevel"/>
    <w:tmpl w:val="75FA18F9"/>
    <w:lvl w:ilvl="0" w:tentative="0">
      <w:start w:val="1"/>
      <w:numFmt w:val="decimal"/>
      <w:suff w:val="nothing"/>
      <w:lvlText w:val="（%1）"/>
      <w:lvlJc w:val="left"/>
      <w:pPr>
        <w:tabs>
          <w:tab w:val="left" w:pos="0"/>
        </w:tabs>
        <w:ind w:left="420" w:leftChars="0"/>
      </w:pPr>
      <w:rPr>
        <w:rFonts w:hint="default"/>
      </w:rPr>
    </w:lvl>
  </w:abstractNum>
  <w:abstractNum w:abstractNumId="8">
    <w:nsid w:val="7B0008D5"/>
    <w:multiLevelType w:val="multilevel"/>
    <w:tmpl w:val="7B0008D5"/>
    <w:lvl w:ilvl="0" w:tentative="0">
      <w:start w:val="1"/>
      <w:numFmt w:val="decimal"/>
      <w:lvlText w:val="（%1）"/>
      <w:lvlJc w:val="left"/>
      <w:pPr>
        <w:ind w:left="1202" w:hanging="720"/>
      </w:pPr>
      <w:rPr>
        <w:rFonts w:hint="default"/>
        <w:b w:val="0"/>
        <w:bCs/>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D87A1C"/>
    <w:rsid w:val="0F784431"/>
    <w:rsid w:val="12F679A6"/>
    <w:rsid w:val="178169D1"/>
    <w:rsid w:val="1C5B2B0F"/>
    <w:rsid w:val="2083786D"/>
    <w:rsid w:val="218912A4"/>
    <w:rsid w:val="2C6B39A7"/>
    <w:rsid w:val="2E2A3653"/>
    <w:rsid w:val="2F93651B"/>
    <w:rsid w:val="31143DBB"/>
    <w:rsid w:val="31544F2F"/>
    <w:rsid w:val="38787C50"/>
    <w:rsid w:val="3AF22E32"/>
    <w:rsid w:val="3C4F05D0"/>
    <w:rsid w:val="3D7C3F43"/>
    <w:rsid w:val="47A04D6C"/>
    <w:rsid w:val="4A3D7A8D"/>
    <w:rsid w:val="4C607B9A"/>
    <w:rsid w:val="4E247E37"/>
    <w:rsid w:val="56197CEE"/>
    <w:rsid w:val="56D133FC"/>
    <w:rsid w:val="5C186FA6"/>
    <w:rsid w:val="5EC713FD"/>
    <w:rsid w:val="60025ECE"/>
    <w:rsid w:val="63141C2A"/>
    <w:rsid w:val="64AF414A"/>
    <w:rsid w:val="64D53C23"/>
    <w:rsid w:val="670B1F37"/>
    <w:rsid w:val="68F22488"/>
    <w:rsid w:val="6E3628CA"/>
    <w:rsid w:val="73171838"/>
    <w:rsid w:val="733777E5"/>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5"/>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36"/>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toc 3"/>
    <w:basedOn w:val="1"/>
    <w:next w:val="1"/>
    <w:autoRedefine/>
    <w:qFormat/>
    <w:uiPriority w:val="39"/>
    <w:pPr>
      <w:ind w:left="840" w:leftChars="400"/>
    </w:p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qFormat/>
    <w:uiPriority w:val="39"/>
    <w:pPr>
      <w:tabs>
        <w:tab w:val="left" w:pos="1100"/>
        <w:tab w:val="right" w:leader="dot" w:pos="9061"/>
      </w:tabs>
      <w:spacing w:line="324" w:lineRule="auto"/>
      <w:ind w:left="420" w:leftChars="200"/>
    </w:pPr>
  </w:style>
  <w:style w:type="paragraph" w:styleId="13">
    <w:name w:val="Normal (Web)"/>
    <w:basedOn w:val="1"/>
    <w:unhideWhenUsed/>
    <w:qFormat/>
    <w:uiPriority w:val="99"/>
    <w:pPr>
      <w:spacing w:beforeAutospacing="1" w:afterAutospacing="1"/>
      <w:jc w:val="left"/>
    </w:pPr>
    <w:rPr>
      <w:kern w:val="0"/>
      <w:sz w:val="24"/>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99"/>
    <w:rPr>
      <w:color w:val="0563C1"/>
      <w:u w:val="single"/>
    </w:rPr>
  </w:style>
  <w:style w:type="character" w:styleId="18">
    <w:name w:val="HTML Code"/>
    <w:basedOn w:val="16"/>
    <w:unhideWhenUsed/>
    <w:qFormat/>
    <w:uiPriority w:val="99"/>
    <w:rPr>
      <w:rFonts w:ascii="宋体" w:hAnsi="宋体" w:eastAsia="宋体" w:cs="宋体"/>
      <w:sz w:val="24"/>
      <w:szCs w:val="24"/>
    </w:rPr>
  </w:style>
  <w:style w:type="paragraph" w:customStyle="1" w:styleId="19">
    <w:name w:val="一级标题"/>
    <w:basedOn w:val="1"/>
    <w:link w:val="20"/>
    <w:autoRedefine/>
    <w:qFormat/>
    <w:uiPriority w:val="0"/>
    <w:pPr>
      <w:numPr>
        <w:ilvl w:val="0"/>
        <w:numId w:val="1"/>
      </w:numPr>
      <w:spacing w:before="312" w:beforeLines="100" w:after="312" w:afterLines="100"/>
      <w:jc w:val="left"/>
      <w:outlineLvl w:val="0"/>
    </w:pPr>
    <w:rPr>
      <w:rFonts w:eastAsia="黑体"/>
      <w:b/>
      <w:sz w:val="32"/>
    </w:rPr>
  </w:style>
  <w:style w:type="character" w:customStyle="1" w:styleId="20">
    <w:name w:val="一级标题 字符"/>
    <w:basedOn w:val="16"/>
    <w:link w:val="19"/>
    <w:autoRedefine/>
    <w:qFormat/>
    <w:uiPriority w:val="0"/>
    <w:rPr>
      <w:rFonts w:eastAsia="黑体"/>
      <w:b/>
      <w:kern w:val="2"/>
      <w:sz w:val="32"/>
      <w:szCs w:val="24"/>
    </w:rPr>
  </w:style>
  <w:style w:type="paragraph" w:customStyle="1" w:styleId="21">
    <w:name w:val="二级标题"/>
    <w:basedOn w:val="1"/>
    <w:link w:val="25"/>
    <w:autoRedefine/>
    <w:qFormat/>
    <w:uiPriority w:val="0"/>
    <w:pPr>
      <w:numPr>
        <w:ilvl w:val="1"/>
        <w:numId w:val="1"/>
      </w:numPr>
      <w:spacing w:before="50" w:beforeLines="50" w:after="50" w:afterLines="50"/>
      <w:outlineLvl w:val="1"/>
    </w:pPr>
    <w:rPr>
      <w:rFonts w:eastAsia="黑体"/>
      <w:b/>
      <w:sz w:val="30"/>
    </w:rPr>
  </w:style>
  <w:style w:type="paragraph" w:customStyle="1" w:styleId="22">
    <w:name w:val="三级标题"/>
    <w:basedOn w:val="1"/>
    <w:next w:val="23"/>
    <w:link w:val="26"/>
    <w:autoRedefine/>
    <w:qFormat/>
    <w:uiPriority w:val="0"/>
    <w:pPr>
      <w:numPr>
        <w:ilvl w:val="2"/>
        <w:numId w:val="1"/>
      </w:numPr>
      <w:spacing w:before="50" w:beforeLines="50" w:after="50" w:afterLines="50"/>
    </w:pPr>
    <w:rPr>
      <w:rFonts w:eastAsia="黑体"/>
      <w:b/>
      <w:sz w:val="28"/>
    </w:rPr>
  </w:style>
  <w:style w:type="paragraph" w:customStyle="1" w:styleId="23">
    <w:name w:val="论文正文"/>
    <w:basedOn w:val="1"/>
    <w:qFormat/>
    <w:uiPriority w:val="0"/>
    <w:pPr>
      <w:spacing w:line="360" w:lineRule="auto"/>
      <w:ind w:firstLine="200" w:firstLineChars="200"/>
    </w:pPr>
    <w:rPr>
      <w:sz w:val="24"/>
    </w:rPr>
  </w:style>
  <w:style w:type="paragraph" w:customStyle="1" w:styleId="24">
    <w:name w:val="四级标题"/>
    <w:basedOn w:val="1"/>
    <w:link w:val="27"/>
    <w:autoRedefine/>
    <w:qFormat/>
    <w:uiPriority w:val="0"/>
    <w:pPr>
      <w:numPr>
        <w:ilvl w:val="3"/>
        <w:numId w:val="1"/>
      </w:numPr>
      <w:spacing w:line="360" w:lineRule="auto"/>
      <w:ind w:left="0" w:firstLine="420"/>
    </w:pPr>
    <w:rPr>
      <w:rFonts w:eastAsia="黑体"/>
      <w:b/>
      <w:sz w:val="24"/>
    </w:rPr>
  </w:style>
  <w:style w:type="character" w:customStyle="1" w:styleId="25">
    <w:name w:val="二级标题 字符"/>
    <w:basedOn w:val="16"/>
    <w:link w:val="21"/>
    <w:autoRedefine/>
    <w:qFormat/>
    <w:uiPriority w:val="0"/>
    <w:rPr>
      <w:rFonts w:eastAsia="黑体"/>
      <w:b/>
      <w:kern w:val="2"/>
      <w:sz w:val="30"/>
      <w:szCs w:val="24"/>
    </w:rPr>
  </w:style>
  <w:style w:type="character" w:customStyle="1" w:styleId="26">
    <w:name w:val="三级标题 字符"/>
    <w:basedOn w:val="16"/>
    <w:link w:val="22"/>
    <w:autoRedefine/>
    <w:qFormat/>
    <w:uiPriority w:val="0"/>
    <w:rPr>
      <w:rFonts w:ascii="Times New Roman" w:hAnsi="Times New Roman" w:eastAsia="黑体" w:cs="Times New Roman"/>
      <w:b/>
      <w:sz w:val="28"/>
      <w:szCs w:val="24"/>
    </w:rPr>
  </w:style>
  <w:style w:type="character" w:customStyle="1" w:styleId="27">
    <w:name w:val="四级标题 字符"/>
    <w:basedOn w:val="16"/>
    <w:link w:val="24"/>
    <w:autoRedefine/>
    <w:qFormat/>
    <w:uiPriority w:val="0"/>
    <w:rPr>
      <w:rFonts w:ascii="Times New Roman" w:hAnsi="Times New Roman" w:eastAsia="黑体" w:cs="Times New Roman"/>
      <w:b/>
      <w:sz w:val="24"/>
      <w:szCs w:val="24"/>
    </w:rPr>
  </w:style>
  <w:style w:type="paragraph" w:customStyle="1" w:styleId="28">
    <w:name w:val="摘要标题"/>
    <w:basedOn w:val="1"/>
    <w:link w:val="29"/>
    <w:autoRedefine/>
    <w:qFormat/>
    <w:uiPriority w:val="0"/>
    <w:pPr>
      <w:spacing w:before="100" w:beforeLines="100" w:after="100" w:afterLines="100"/>
      <w:jc w:val="center"/>
    </w:pPr>
    <w:rPr>
      <w:rFonts w:eastAsia="黑体"/>
      <w:b/>
      <w:sz w:val="32"/>
    </w:rPr>
  </w:style>
  <w:style w:type="character" w:customStyle="1" w:styleId="29">
    <w:name w:val="摘要标题 字符"/>
    <w:basedOn w:val="16"/>
    <w:link w:val="28"/>
    <w:autoRedefine/>
    <w:qFormat/>
    <w:uiPriority w:val="0"/>
    <w:rPr>
      <w:rFonts w:ascii="Times New Roman" w:hAnsi="Times New Roman" w:eastAsia="黑体" w:cs="Times New Roman"/>
      <w:b/>
      <w:sz w:val="32"/>
      <w:szCs w:val="24"/>
    </w:rPr>
  </w:style>
  <w:style w:type="paragraph" w:customStyle="1" w:styleId="30">
    <w:name w:val="英文摘要"/>
    <w:basedOn w:val="1"/>
    <w:link w:val="31"/>
    <w:autoRedefine/>
    <w:qFormat/>
    <w:uiPriority w:val="0"/>
    <w:pPr>
      <w:spacing w:before="100" w:beforeLines="100" w:after="100" w:afterLines="100"/>
      <w:jc w:val="center"/>
    </w:pPr>
    <w:rPr>
      <w:rFonts w:eastAsia="Times New Roman"/>
      <w:b/>
      <w:bCs/>
      <w:sz w:val="32"/>
    </w:rPr>
  </w:style>
  <w:style w:type="character" w:customStyle="1" w:styleId="31">
    <w:name w:val="英文摘要 字符"/>
    <w:basedOn w:val="16"/>
    <w:link w:val="30"/>
    <w:autoRedefine/>
    <w:qFormat/>
    <w:uiPriority w:val="0"/>
    <w:rPr>
      <w:rFonts w:ascii="Times New Roman" w:hAnsi="Times New Roman" w:eastAsia="Times New Roman" w:cs="Times New Roman"/>
      <w:b/>
      <w:bCs/>
      <w:sz w:val="32"/>
      <w:szCs w:val="24"/>
    </w:rPr>
  </w:style>
  <w:style w:type="paragraph" w:customStyle="1" w:styleId="32">
    <w:name w:val="五级标题"/>
    <w:basedOn w:val="1"/>
    <w:link w:val="33"/>
    <w:autoRedefine/>
    <w:qFormat/>
    <w:uiPriority w:val="0"/>
    <w:pPr>
      <w:numPr>
        <w:ilvl w:val="0"/>
        <w:numId w:val="2"/>
      </w:numPr>
      <w:spacing w:line="360" w:lineRule="auto"/>
      <w:ind w:left="0" w:firstLine="200" w:firstLineChars="200"/>
    </w:pPr>
    <w:rPr>
      <w:sz w:val="24"/>
    </w:rPr>
  </w:style>
  <w:style w:type="character" w:customStyle="1" w:styleId="33">
    <w:name w:val="五级标题 字符"/>
    <w:basedOn w:val="16"/>
    <w:link w:val="32"/>
    <w:autoRedefine/>
    <w:qFormat/>
    <w:uiPriority w:val="0"/>
    <w:rPr>
      <w:rFonts w:ascii="Times New Roman" w:hAnsi="Times New Roman" w:eastAsia="宋体" w:cs="Times New Roman"/>
      <w:sz w:val="24"/>
      <w:szCs w:val="24"/>
    </w:rPr>
  </w:style>
  <w:style w:type="character" w:customStyle="1" w:styleId="34">
    <w:name w:val="标题 1 字符"/>
    <w:basedOn w:val="16"/>
    <w:link w:val="2"/>
    <w:autoRedefine/>
    <w:qFormat/>
    <w:uiPriority w:val="9"/>
    <w:rPr>
      <w:rFonts w:ascii="Times New Roman" w:hAnsi="Times New Roman" w:eastAsia="宋体" w:cs="Times New Roman"/>
      <w:b/>
      <w:bCs/>
      <w:kern w:val="44"/>
      <w:sz w:val="44"/>
      <w:szCs w:val="44"/>
    </w:rPr>
  </w:style>
  <w:style w:type="character" w:customStyle="1" w:styleId="35">
    <w:name w:val="标题 2 字符"/>
    <w:basedOn w:val="16"/>
    <w:link w:val="3"/>
    <w:autoRedefine/>
    <w:semiHidden/>
    <w:qFormat/>
    <w:uiPriority w:val="9"/>
    <w:rPr>
      <w:rFonts w:eastAsia="黑体" w:asciiTheme="majorHAnsi" w:hAnsiTheme="majorHAnsi" w:cstheme="majorBidi"/>
      <w:b/>
      <w:bCs/>
      <w:sz w:val="32"/>
      <w:szCs w:val="32"/>
    </w:rPr>
  </w:style>
  <w:style w:type="character" w:customStyle="1" w:styleId="36">
    <w:name w:val="标题 3 字符"/>
    <w:basedOn w:val="16"/>
    <w:link w:val="4"/>
    <w:autoRedefine/>
    <w:semiHidden/>
    <w:qFormat/>
    <w:uiPriority w:val="9"/>
    <w:rPr>
      <w:rFonts w:ascii="Times New Roman" w:hAnsi="Times New Roman" w:eastAsia="宋体" w:cs="Times New Roman"/>
      <w:b/>
      <w:bCs/>
      <w:sz w:val="32"/>
      <w:szCs w:val="32"/>
    </w:rPr>
  </w:style>
  <w:style w:type="paragraph" w:customStyle="1" w:styleId="37">
    <w:name w:val="论文标题"/>
    <w:basedOn w:val="1"/>
    <w:autoRedefine/>
    <w:qFormat/>
    <w:uiPriority w:val="0"/>
    <w:pPr>
      <w:spacing w:before="100" w:beforeLines="100" w:after="100" w:afterLines="100"/>
      <w:jc w:val="center"/>
    </w:pPr>
    <w:rPr>
      <w:rFonts w:eastAsia="黑体"/>
      <w:b/>
      <w:sz w:val="44"/>
    </w:rPr>
  </w:style>
  <w:style w:type="paragraph" w:customStyle="1" w:styleId="38">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39">
    <w:name w:val="英文摘要正文"/>
    <w:basedOn w:val="1"/>
    <w:autoRedefine/>
    <w:qFormat/>
    <w:uiPriority w:val="0"/>
    <w:pPr>
      <w:spacing w:line="360" w:lineRule="auto"/>
      <w:ind w:firstLine="200" w:firstLineChars="200"/>
    </w:pPr>
    <w:rPr>
      <w:rFonts w:eastAsia="Times New Roman"/>
      <w:sz w:val="24"/>
    </w:rPr>
  </w:style>
  <w:style w:type="character" w:customStyle="1" w:styleId="40">
    <w:name w:val="ne-text"/>
    <w:basedOn w:val="16"/>
    <w:autoRedefine/>
    <w:qFormat/>
    <w:uiPriority w:val="0"/>
  </w:style>
  <w:style w:type="character" w:styleId="41">
    <w:name w:val="Placeholder Text"/>
    <w:basedOn w:val="16"/>
    <w:unhideWhenUsed/>
    <w:qFormat/>
    <w:uiPriority w:val="99"/>
    <w:rPr>
      <w:color w:val="666666"/>
    </w:rPr>
  </w:style>
  <w:style w:type="paragraph" w:styleId="42">
    <w:name w:val="List Paragraph"/>
    <w:basedOn w:val="1"/>
    <w:unhideWhenUsed/>
    <w:qFormat/>
    <w:uiPriority w:val="99"/>
    <w:pPr>
      <w:ind w:firstLine="420" w:firstLineChars="200"/>
    </w:pPr>
  </w:style>
  <w:style w:type="paragraph" w:customStyle="1" w:styleId="43">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44">
    <w:name w:val="关键词 字符"/>
    <w:basedOn w:val="16"/>
    <w:link w:val="45"/>
    <w:autoRedefine/>
    <w:qFormat/>
    <w:uiPriority w:val="0"/>
    <w:rPr>
      <w:rFonts w:eastAsia="黑体"/>
      <w:b/>
      <w:sz w:val="28"/>
      <w:szCs w:val="24"/>
    </w:rPr>
  </w:style>
  <w:style w:type="paragraph" w:customStyle="1" w:styleId="45">
    <w:name w:val="关键词"/>
    <w:basedOn w:val="1"/>
    <w:link w:val="44"/>
    <w:autoRedefine/>
    <w:qFormat/>
    <w:uiPriority w:val="0"/>
    <w:pPr>
      <w:ind w:firstLine="200" w:firstLineChars="200"/>
    </w:pPr>
    <w:rPr>
      <w:rFonts w:eastAsia="黑体"/>
      <w:b/>
      <w:kern w:val="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datastoreItem>
</file>

<file path=docProps/app.xml><?xml version="1.0" encoding="utf-8"?>
<Properties xmlns="http://schemas.openxmlformats.org/officeDocument/2006/extended-properties" xmlns:vt="http://schemas.openxmlformats.org/officeDocument/2006/docPropsVTypes">
  <Template>Normal.dotm</Template>
  <Pages>50</Pages>
  <Words>6344</Words>
  <Characters>8639</Characters>
  <Lines>280</Lines>
  <Paragraphs>78</Paragraphs>
  <TotalTime>104</TotalTime>
  <ScaleCrop>false</ScaleCrop>
  <LinksUpToDate>false</LinksUpToDate>
  <CharactersWithSpaces>9435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2026-04-24T15:59:43Z</dcterms:modified>
  <cp:revision>2551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