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C99CFB">
      <w:pPr>
        <w:spacing w:line="360" w:lineRule="auto"/>
        <w:jc w:val="left"/>
        <w:rPr>
          <w:sz w:val="32"/>
          <w:u w:val="single"/>
        </w:rPr>
      </w:pPr>
      <w:r>
        <w:drawing>
          <wp:inline distT="0" distB="0" distL="0" distR="0">
            <wp:extent cx="5033645" cy="1299210"/>
            <wp:effectExtent l="0" t="0" r="0" b="0"/>
            <wp:docPr id="1026" name="图片 1"/>
            <wp:cNvGraphicFramePr/>
            <a:graphic xmlns:a="http://schemas.openxmlformats.org/drawingml/2006/main">
              <a:graphicData uri="http://schemas.openxmlformats.org/drawingml/2006/picture">
                <pic:pic xmlns:pic="http://schemas.openxmlformats.org/drawingml/2006/picture">
                  <pic:nvPicPr>
                    <pic:cNvPr id="1026" name="图片 1"/>
                    <pic:cNvPicPr/>
                  </pic:nvPicPr>
                  <pic:blipFill>
                    <a:blip r:embed="rId18" cstate="print"/>
                    <a:srcRect/>
                    <a:stretch>
                      <a:fillRect/>
                    </a:stretch>
                  </pic:blipFill>
                  <pic:spPr>
                    <a:xfrm>
                      <a:off x="0" y="0"/>
                      <a:ext cx="5033645" cy="1299210"/>
                    </a:xfrm>
                    <a:prstGeom prst="rect">
                      <a:avLst/>
                    </a:prstGeom>
                    <a:ln>
                      <a:noFill/>
                    </a:ln>
                  </pic:spPr>
                </pic:pic>
              </a:graphicData>
            </a:graphic>
          </wp:inline>
        </w:drawing>
      </w:r>
    </w:p>
    <w:p w14:paraId="469850BB">
      <w:pPr>
        <w:jc w:val="left"/>
      </w:pPr>
    </w:p>
    <w:p w14:paraId="5C5DE009"/>
    <w:p w14:paraId="1868ABC3">
      <w:pPr>
        <w:rPr>
          <w:sz w:val="32"/>
        </w:rPr>
      </w:pPr>
    </w:p>
    <w:p w14:paraId="0292204D">
      <w:pPr>
        <w:jc w:val="center"/>
        <w:rPr>
          <w:b/>
          <w:sz w:val="28"/>
        </w:rPr>
      </w:pPr>
      <w:r>
        <w:rPr>
          <w:rFonts w:hint="eastAsia" w:ascii="宋体" w:hAnsi="宋体"/>
          <w:b/>
          <w:w w:val="90"/>
          <w:sz w:val="72"/>
          <w:szCs w:val="72"/>
        </w:rPr>
        <w:t>毕 业 设 计（论 文）</w:t>
      </w:r>
    </w:p>
    <w:p w14:paraId="3AEDCFE3">
      <w:pPr>
        <w:rPr>
          <w:sz w:val="32"/>
        </w:rPr>
      </w:pPr>
    </w:p>
    <w:p w14:paraId="504D0DDC">
      <w:pPr>
        <w:ind w:right="1103" w:rightChars="525" w:firstLine="960" w:firstLineChars="300"/>
        <w:rPr>
          <w:sz w:val="32"/>
          <w:u w:val="single"/>
        </w:rPr>
      </w:pPr>
      <w:r>
        <w:rPr>
          <w:rFonts w:hint="eastAsia"/>
          <w:sz w:val="32"/>
        </w:rPr>
        <w:t>题 目：</w:t>
      </w:r>
      <w:r>
        <w:rPr>
          <w:rFonts w:hint="eastAsia"/>
          <w:sz w:val="32"/>
          <w:u w:val="single"/>
        </w:rPr>
        <w:t xml:space="preserve">基于经验模态分解的 BiGRU 神经网络  </w:t>
      </w:r>
    </w:p>
    <w:p w14:paraId="37198BF6">
      <w:pPr>
        <w:ind w:left="1680" w:right="1103" w:rightChars="525" w:firstLine="420"/>
        <w:jc w:val="left"/>
        <w:rPr>
          <w:sz w:val="32"/>
          <w:u w:val="single"/>
        </w:rPr>
      </w:pPr>
      <w:r>
        <w:rPr>
          <w:rFonts w:hint="eastAsia"/>
          <w:sz w:val="32"/>
          <w:u w:val="single"/>
        </w:rPr>
        <w:t>的光伏功率短期预测</w:t>
      </w:r>
    </w:p>
    <w:p w14:paraId="6A1B2A71">
      <w:pPr>
        <w:ind w:right="1103" w:rightChars="525" w:firstLine="560" w:firstLineChars="200"/>
        <w:jc w:val="left"/>
        <w:rPr>
          <w:sz w:val="32"/>
          <w:szCs w:val="32"/>
          <w:u w:val="single"/>
        </w:rPr>
      </w:pPr>
      <w:r>
        <w:rPr>
          <w:rFonts w:hint="eastAsia"/>
          <w:sz w:val="28"/>
        </w:rPr>
        <w:t>（英文）：</w:t>
      </w:r>
      <w:bookmarkStart w:id="0" w:name="_Hlk101280189"/>
      <w:r>
        <w:rPr>
          <w:rFonts w:hint="eastAsia"/>
          <w:sz w:val="32"/>
          <w:szCs w:val="32"/>
          <w:u w:val="single"/>
        </w:rPr>
        <w:t xml:space="preserve">Short-term Prediction of Photovoltaic Power </w:t>
      </w:r>
    </w:p>
    <w:p w14:paraId="2F38153B">
      <w:pPr>
        <w:ind w:right="1103" w:rightChars="525" w:firstLine="1888" w:firstLineChars="590"/>
        <w:jc w:val="left"/>
        <w:rPr>
          <w:sz w:val="32"/>
          <w:szCs w:val="32"/>
          <w:u w:val="single"/>
        </w:rPr>
      </w:pPr>
      <w:r>
        <w:rPr>
          <w:rFonts w:hint="eastAsia"/>
          <w:sz w:val="32"/>
          <w:szCs w:val="32"/>
          <w:u w:val="single"/>
        </w:rPr>
        <w:t>Based on Empirical Mode Decomposition and</w:t>
      </w:r>
    </w:p>
    <w:p w14:paraId="15934CA8">
      <w:pPr>
        <w:ind w:right="1103" w:rightChars="525" w:firstLine="1888" w:firstLineChars="590"/>
        <w:jc w:val="left"/>
        <w:rPr>
          <w:sz w:val="10"/>
          <w:szCs w:val="6"/>
          <w:u w:val="single"/>
        </w:rPr>
      </w:pPr>
      <w:r>
        <w:rPr>
          <w:rFonts w:hint="eastAsia"/>
          <w:sz w:val="32"/>
          <w:szCs w:val="32"/>
          <w:u w:val="single"/>
        </w:rPr>
        <w:t>BiGRU Neural Network</w:t>
      </w:r>
      <w:bookmarkEnd w:id="0"/>
    </w:p>
    <w:p w14:paraId="4EF082CD">
      <w:pPr>
        <w:ind w:right="1103" w:rightChars="525"/>
        <w:rPr>
          <w:sz w:val="28"/>
          <w:szCs w:val="22"/>
          <w:u w:val="single"/>
        </w:rPr>
      </w:pPr>
    </w:p>
    <w:p w14:paraId="7BD6CE08">
      <w:pPr>
        <w:spacing w:line="600" w:lineRule="auto"/>
        <w:ind w:left="1470" w:leftChars="700" w:right="1802" w:rightChars="858"/>
        <w:rPr>
          <w:sz w:val="32"/>
        </w:rPr>
      </w:pPr>
      <w:r>
        <w:rPr>
          <w:rFonts w:hint="eastAsia"/>
          <w:sz w:val="32"/>
        </w:rPr>
        <w:t>院</w:t>
      </w:r>
      <w:r>
        <w:rPr>
          <w:sz w:val="32"/>
        </w:rPr>
        <w:t xml:space="preserve">    </w:t>
      </w:r>
      <w:r>
        <w:rPr>
          <w:rFonts w:hint="eastAsia"/>
          <w:sz w:val="32"/>
        </w:rPr>
        <w:t>别：</w:t>
      </w:r>
      <w:r>
        <w:rPr>
          <w:sz w:val="32"/>
          <w:u w:val="single"/>
        </w:rPr>
        <w:t xml:space="preserve">   </w:t>
      </w:r>
      <w:r>
        <w:rPr>
          <w:rFonts w:hint="eastAsia"/>
          <w:sz w:val="32"/>
          <w:u w:val="single"/>
        </w:rPr>
        <w:t>电子与信息学院</w:t>
      </w:r>
      <w:r>
        <w:rPr>
          <w:sz w:val="32"/>
          <w:u w:val="single"/>
        </w:rPr>
        <w:t xml:space="preserve"> </w:t>
      </w:r>
      <w:r>
        <w:rPr>
          <w:rFonts w:hint="eastAsia"/>
          <w:sz w:val="32"/>
          <w:u w:val="single"/>
        </w:rPr>
        <w:t xml:space="preserve">   </w:t>
      </w:r>
    </w:p>
    <w:p w14:paraId="7AAB07C2">
      <w:pPr>
        <w:spacing w:line="600" w:lineRule="auto"/>
        <w:ind w:left="1470" w:leftChars="700" w:right="1802" w:rightChars="858"/>
        <w:rPr>
          <w:sz w:val="32"/>
        </w:rPr>
      </w:pPr>
      <w:r>
        <w:rPr>
          <w:rFonts w:hint="eastAsia"/>
          <w:sz w:val="32"/>
        </w:rPr>
        <w:t>专</w:t>
      </w:r>
      <w:r>
        <w:rPr>
          <w:sz w:val="32"/>
        </w:rPr>
        <w:t xml:space="preserve">    </w:t>
      </w:r>
      <w:r>
        <w:rPr>
          <w:rFonts w:hint="eastAsia"/>
          <w:sz w:val="32"/>
        </w:rPr>
        <w:t>业：</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网络工程       </w:t>
      </w:r>
    </w:p>
    <w:p w14:paraId="0E558B40">
      <w:pPr>
        <w:spacing w:line="600" w:lineRule="auto"/>
        <w:ind w:left="1470" w:leftChars="700" w:right="1802" w:rightChars="858"/>
        <w:rPr>
          <w:sz w:val="32"/>
        </w:rPr>
      </w:pPr>
      <w:r>
        <w:rPr>
          <w:rFonts w:hint="eastAsia"/>
          <w:sz w:val="32"/>
        </w:rPr>
        <w:t>姓</w:t>
      </w:r>
      <w:r>
        <w:rPr>
          <w:sz w:val="32"/>
        </w:rPr>
        <w:t xml:space="preserve">    </w:t>
      </w:r>
      <w:r>
        <w:rPr>
          <w:rFonts w:hint="eastAsia"/>
          <w:sz w:val="32"/>
        </w:rPr>
        <w:t>名：</w:t>
      </w:r>
      <w:r>
        <w:rPr>
          <w:sz w:val="32"/>
          <w:u w:val="single"/>
        </w:rPr>
        <w:t xml:space="preserve">       </w:t>
      </w:r>
      <w:r>
        <w:rPr>
          <w:rFonts w:hint="eastAsia"/>
          <w:sz w:val="32"/>
          <w:u w:val="single"/>
        </w:rPr>
        <w:t xml:space="preserve">李荣仕    </w:t>
      </w:r>
      <w:r>
        <w:rPr>
          <w:sz w:val="32"/>
          <w:u w:val="single"/>
        </w:rPr>
        <w:t xml:space="preserve"> </w:t>
      </w:r>
      <w:r>
        <w:rPr>
          <w:rFonts w:hint="eastAsia"/>
          <w:sz w:val="32"/>
          <w:u w:val="single"/>
        </w:rPr>
        <w:t xml:space="preserve">   </w:t>
      </w:r>
    </w:p>
    <w:p w14:paraId="02CBCDC7">
      <w:pPr>
        <w:spacing w:line="600" w:lineRule="auto"/>
        <w:ind w:left="1470" w:leftChars="700" w:right="1802" w:rightChars="858"/>
        <w:rPr>
          <w:sz w:val="32"/>
        </w:rPr>
      </w:pPr>
      <w:r>
        <w:rPr>
          <w:rFonts w:hint="eastAsia"/>
          <w:sz w:val="32"/>
        </w:rPr>
        <w:t>学</w:t>
      </w:r>
      <w:r>
        <w:rPr>
          <w:sz w:val="32"/>
        </w:rPr>
        <w:t xml:space="preserve">    </w:t>
      </w:r>
      <w:r>
        <w:rPr>
          <w:rFonts w:hint="eastAsia"/>
          <w:sz w:val="32"/>
        </w:rPr>
        <w:t>号：</w:t>
      </w:r>
      <w:r>
        <w:rPr>
          <w:sz w:val="32"/>
          <w:u w:val="single"/>
        </w:rPr>
        <w:t xml:space="preserve">    </w:t>
      </w:r>
      <w:r>
        <w:rPr>
          <w:rFonts w:hint="eastAsia"/>
          <w:sz w:val="32"/>
          <w:u w:val="single"/>
        </w:rPr>
        <w:t xml:space="preserve">2022044743221    </w:t>
      </w:r>
    </w:p>
    <w:p w14:paraId="5FA1EF42">
      <w:pPr>
        <w:spacing w:line="600" w:lineRule="auto"/>
        <w:ind w:left="1470" w:leftChars="700" w:right="1802" w:rightChars="858"/>
        <w:rPr>
          <w:sz w:val="32"/>
        </w:rPr>
      </w:pPr>
      <w:r>
        <w:rPr>
          <w:rFonts w:hint="eastAsia"/>
          <w:sz w:val="32"/>
        </w:rPr>
        <w:t>指导教师：</w:t>
      </w:r>
      <w:r>
        <w:rPr>
          <w:sz w:val="32"/>
          <w:u w:val="single"/>
        </w:rPr>
        <w:t xml:space="preserve">   </w:t>
      </w:r>
      <w:r>
        <w:rPr>
          <w:rFonts w:hint="eastAsia"/>
          <w:sz w:val="32"/>
          <w:u w:val="single"/>
        </w:rPr>
        <w:t xml:space="preserve">    林文帅</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r>
        <w:rPr>
          <w:sz w:val="32"/>
          <w:u w:val="single"/>
        </w:rPr>
        <w:t xml:space="preserve">  </w:t>
      </w:r>
    </w:p>
    <w:p w14:paraId="62649802">
      <w:pPr>
        <w:spacing w:line="600" w:lineRule="auto"/>
        <w:ind w:left="1470" w:leftChars="700" w:right="1802" w:rightChars="858"/>
        <w:rPr>
          <w:sz w:val="32"/>
          <w:u w:val="single"/>
        </w:rPr>
      </w:pPr>
      <w:r>
        <w:rPr>
          <w:rFonts w:hint="eastAsia"/>
          <w:sz w:val="32"/>
        </w:rPr>
        <w:t>日    期：</w:t>
      </w:r>
      <w:r>
        <w:rPr>
          <w:sz w:val="32"/>
          <w:u w:val="single"/>
        </w:rPr>
        <w:t xml:space="preserve">    </w:t>
      </w:r>
      <w:r>
        <w:rPr>
          <w:rFonts w:hint="eastAsia"/>
          <w:sz w:val="32"/>
          <w:u w:val="single"/>
        </w:rPr>
        <w:t xml:space="preserve">            </w:t>
      </w:r>
      <w:r>
        <w:rPr>
          <w:sz w:val="32"/>
          <w:u w:val="single"/>
        </w:rPr>
        <w:t xml:space="preserve">     </w:t>
      </w:r>
    </w:p>
    <w:p w14:paraId="48287E2F">
      <w:pPr>
        <w:spacing w:line="600" w:lineRule="auto"/>
        <w:ind w:right="1802" w:rightChars="858"/>
        <w:rPr>
          <w:sz w:val="32"/>
        </w:rPr>
      </w:pPr>
    </w:p>
    <w:p w14:paraId="547DBBC5"/>
    <w:p w14:paraId="76996794">
      <w:pPr>
        <w:jc w:val="center"/>
        <w:outlineLvl w:val="0"/>
        <w:rPr>
          <w:rFonts w:hint="eastAsia" w:ascii="黑体" w:hAnsi="黑体" w:eastAsia="黑体" w:cs="黑体"/>
          <w:b/>
          <w:w w:val="90"/>
          <w:sz w:val="32"/>
          <w:szCs w:val="32"/>
        </w:rPr>
      </w:pPr>
      <w:r>
        <w:rPr>
          <w:rFonts w:hint="eastAsia" w:ascii="黑体" w:hAnsi="黑体" w:eastAsia="黑体" w:cs="黑体"/>
          <w:b/>
          <w:w w:val="90"/>
          <w:sz w:val="32"/>
          <w:szCs w:val="32"/>
        </w:rPr>
        <w:t>广东技术师范大学学位论文写作声明和使用授权说明</w:t>
      </w:r>
    </w:p>
    <w:p w14:paraId="762791FF">
      <w:pPr>
        <w:jc w:val="center"/>
        <w:rPr>
          <w:rFonts w:hint="eastAsia" w:ascii="宋体" w:hAnsi="宋体"/>
          <w:sz w:val="28"/>
          <w:szCs w:val="28"/>
        </w:rPr>
      </w:pPr>
    </w:p>
    <w:p w14:paraId="6718DFF1">
      <w:pPr>
        <w:jc w:val="center"/>
        <w:rPr>
          <w:b/>
          <w:sz w:val="18"/>
          <w:szCs w:val="18"/>
        </w:rPr>
      </w:pPr>
      <w:r>
        <w:rPr>
          <w:rFonts w:hint="eastAsia"/>
          <w:b/>
          <w:sz w:val="28"/>
        </w:rPr>
        <w:t>学位论文写作声明</w:t>
      </w:r>
    </w:p>
    <w:p w14:paraId="40540794">
      <w:pPr>
        <w:jc w:val="center"/>
        <w:rPr>
          <w:rFonts w:hint="eastAsia" w:ascii="宋体" w:hAnsi="宋体"/>
          <w:sz w:val="18"/>
          <w:szCs w:val="18"/>
        </w:rPr>
      </w:pPr>
    </w:p>
    <w:p w14:paraId="72B3893C">
      <w:pPr>
        <w:spacing w:line="360" w:lineRule="auto"/>
        <w:ind w:firstLine="480" w:firstLineChars="200"/>
        <w:rPr>
          <w:rFonts w:hint="eastAsia" w:ascii="宋体" w:hAnsi="宋体"/>
          <w:sz w:val="24"/>
        </w:rPr>
      </w:pPr>
      <w:r>
        <w:rPr>
          <w:rFonts w:hint="eastAsia" w:ascii="宋体" w:hAnsi="宋体"/>
          <w:sz w:val="24"/>
        </w:rPr>
        <w:t>本人郑重声明：所呈交的学位论文，是本人在导师的指导下，独立进行研究工作所取得的成果。除文中已经注明引用的内容外，本论文不含任何其他个人或集体已经发表或撰写过的作品或成果。对本文的研究做出重要贡献的个人和集体，均已在文中以明确方式标明。本声明的法律结果由本人承担。</w:t>
      </w:r>
    </w:p>
    <w:p w14:paraId="6CA4C625">
      <w:pPr>
        <w:spacing w:line="360" w:lineRule="auto"/>
        <w:rPr>
          <w:sz w:val="24"/>
        </w:rPr>
      </w:pPr>
    </w:p>
    <w:p w14:paraId="08526352">
      <w:pPr>
        <w:spacing w:line="360" w:lineRule="auto"/>
        <w:rPr>
          <w:sz w:val="24"/>
        </w:rPr>
      </w:pPr>
    </w:p>
    <w:p w14:paraId="5BB8E73A">
      <w:pPr>
        <w:spacing w:line="360" w:lineRule="auto"/>
        <w:rPr>
          <w:sz w:val="24"/>
        </w:rPr>
      </w:pPr>
    </w:p>
    <w:p w14:paraId="5F8B7CE0">
      <w:pPr>
        <w:wordWrap w:val="0"/>
        <w:jc w:val="right"/>
        <w:rPr>
          <w:rFonts w:hint="eastAsia" w:ascii="宋体" w:hAnsi="宋体"/>
          <w:sz w:val="24"/>
        </w:rPr>
      </w:pPr>
      <w:r>
        <w:rPr>
          <w:rFonts w:hint="eastAsia" w:ascii="宋体" w:hAnsi="宋体"/>
          <w:sz w:val="24"/>
        </w:rPr>
        <w:t xml:space="preserve">                       论文作者签名：             日期：    年    月   日   </w:t>
      </w:r>
    </w:p>
    <w:p w14:paraId="0542914B">
      <w:pPr>
        <w:spacing w:line="360" w:lineRule="auto"/>
        <w:rPr>
          <w:rFonts w:hint="eastAsia" w:ascii="宋体" w:hAnsi="宋体"/>
          <w:sz w:val="24"/>
        </w:rPr>
      </w:pPr>
    </w:p>
    <w:p w14:paraId="65CC9DA5">
      <w:pPr>
        <w:rPr>
          <w:rFonts w:hint="eastAsia" w:ascii="宋体" w:hAnsi="宋体"/>
          <w:sz w:val="24"/>
        </w:rPr>
      </w:pPr>
    </w:p>
    <w:p w14:paraId="75C8B401">
      <w:pPr>
        <w:rPr>
          <w:rFonts w:hint="eastAsia" w:ascii="宋体" w:hAnsi="宋体"/>
          <w:sz w:val="24"/>
        </w:rPr>
      </w:pPr>
    </w:p>
    <w:p w14:paraId="2FAE8E3D">
      <w:pPr>
        <w:rPr>
          <w:rFonts w:hint="eastAsia" w:ascii="宋体" w:hAnsi="宋体"/>
          <w:sz w:val="24"/>
        </w:rPr>
      </w:pPr>
    </w:p>
    <w:p w14:paraId="56938802">
      <w:pPr>
        <w:jc w:val="center"/>
        <w:outlineLvl w:val="0"/>
        <w:rPr>
          <w:b/>
          <w:sz w:val="28"/>
        </w:rPr>
      </w:pPr>
      <w:r>
        <w:rPr>
          <w:rFonts w:hint="eastAsia"/>
          <w:b/>
          <w:sz w:val="28"/>
        </w:rPr>
        <w:t>学位论文使用授权说明</w:t>
      </w:r>
    </w:p>
    <w:p w14:paraId="74D5AA5C">
      <w:pPr>
        <w:rPr>
          <w:b/>
          <w:sz w:val="18"/>
          <w:szCs w:val="18"/>
        </w:rPr>
      </w:pPr>
    </w:p>
    <w:p w14:paraId="43F5925E">
      <w:pPr>
        <w:spacing w:line="360" w:lineRule="auto"/>
        <w:ind w:firstLine="588" w:firstLineChars="245"/>
        <w:rPr>
          <w:rFonts w:hint="eastAsia" w:ascii="宋体" w:hAnsi="宋体"/>
          <w:sz w:val="24"/>
        </w:rPr>
      </w:pPr>
      <w:r>
        <w:rPr>
          <w:rFonts w:hint="eastAsia" w:ascii="宋体" w:hAnsi="宋体"/>
          <w:sz w:val="24"/>
        </w:rPr>
        <w:t>本人完全了解广东技术师范大学关于收集、保存、使用学位论文的规定，即：按照学校要求提交学位论文的印刷本和电子版本；学校有权保存学位论文的印刷本和电子版，并提供目录检索与阅览服务；学校可以采用影印、缩印、数字化或其它复制手段保存论文；在不以赢利为目的的前提下，学校可以将学位论文编入有关数据库,提供网上服务。（保密论文在解密后遵守此规定）</w:t>
      </w:r>
    </w:p>
    <w:p w14:paraId="3EFCFF3C">
      <w:pPr>
        <w:spacing w:line="360" w:lineRule="auto"/>
        <w:ind w:firstLine="588" w:firstLineChars="245"/>
        <w:rPr>
          <w:rFonts w:hint="eastAsia" w:ascii="宋体" w:hAnsi="宋体"/>
          <w:sz w:val="24"/>
        </w:rPr>
      </w:pPr>
    </w:p>
    <w:p w14:paraId="0AD86788">
      <w:pPr>
        <w:spacing w:line="360" w:lineRule="auto"/>
        <w:rPr>
          <w:rFonts w:hint="eastAsia" w:ascii="宋体" w:hAnsi="宋体"/>
          <w:sz w:val="24"/>
        </w:rPr>
      </w:pPr>
    </w:p>
    <w:p w14:paraId="2B0891DE">
      <w:pPr>
        <w:spacing w:line="360" w:lineRule="auto"/>
        <w:ind w:firstLine="588" w:firstLineChars="245"/>
        <w:rPr>
          <w:rFonts w:hint="eastAsia" w:ascii="宋体" w:hAnsi="宋体"/>
          <w:sz w:val="24"/>
        </w:rPr>
      </w:pPr>
    </w:p>
    <w:p w14:paraId="02D0B3BD">
      <w:pPr>
        <w:wordWrap w:val="0"/>
        <w:spacing w:line="360" w:lineRule="auto"/>
        <w:ind w:firstLine="588" w:firstLineChars="245"/>
        <w:jc w:val="right"/>
        <w:rPr>
          <w:rFonts w:hint="eastAsia" w:ascii="宋体" w:hAnsi="宋体"/>
          <w:sz w:val="24"/>
        </w:rPr>
      </w:pPr>
      <w:r>
        <w:rPr>
          <w:rFonts w:hint="eastAsia" w:ascii="宋体" w:hAnsi="宋体"/>
          <w:sz w:val="24"/>
        </w:rPr>
        <w:t xml:space="preserve">                 论文作者签名：             导师签名：                 </w:t>
      </w:r>
    </w:p>
    <w:p w14:paraId="1B8C1515">
      <w:pPr>
        <w:wordWrap w:val="0"/>
        <w:spacing w:line="360" w:lineRule="auto"/>
        <w:ind w:firstLine="588" w:firstLineChars="245"/>
        <w:jc w:val="right"/>
      </w:pPr>
      <w:r>
        <w:rPr>
          <w:rFonts w:hint="eastAsia" w:ascii="宋体" w:hAnsi="宋体"/>
          <w:sz w:val="24"/>
        </w:rPr>
        <w:t xml:space="preserve">                            日期：    年    月    日</w:t>
      </w:r>
    </w:p>
    <w:p w14:paraId="68117BAE">
      <w:pPr>
        <w:sectPr>
          <w:headerReference r:id="rId5" w:type="default"/>
          <w:footerReference r:id="rId7" w:type="default"/>
          <w:headerReference r:id="rId6" w:type="even"/>
          <w:footerReference r:id="rId8" w:type="even"/>
          <w:pgSz w:w="11906" w:h="16838"/>
          <w:pgMar w:top="1588" w:right="1134" w:bottom="1247" w:left="1701" w:header="1021" w:footer="794" w:gutter="0"/>
          <w:cols w:space="425" w:num="1"/>
          <w:docGrid w:type="lines" w:linePitch="312" w:charSpace="0"/>
        </w:sectPr>
      </w:pPr>
    </w:p>
    <w:p w14:paraId="01C2A3C6">
      <w:pPr>
        <w:spacing w:before="312" w:beforeLines="100" w:after="312" w:afterLines="100"/>
        <w:jc w:val="center"/>
        <w:rPr>
          <w:rFonts w:ascii="黑体" w:eastAsia="黑体"/>
          <w:b/>
          <w:sz w:val="44"/>
          <w:szCs w:val="44"/>
        </w:rPr>
      </w:pPr>
      <w:r>
        <w:rPr>
          <w:rFonts w:hint="eastAsia" w:ascii="黑体" w:eastAsia="黑体"/>
          <w:b/>
          <w:sz w:val="44"/>
          <w:szCs w:val="44"/>
        </w:rPr>
        <w:t xml:space="preserve">基于经验模态分解的 </w:t>
      </w:r>
      <w:r>
        <w:rPr>
          <w:rFonts w:hint="eastAsia" w:eastAsia="黑体"/>
          <w:b/>
          <w:sz w:val="44"/>
          <w:szCs w:val="44"/>
        </w:rPr>
        <w:t>BiGRU</w:t>
      </w:r>
      <w:r>
        <w:rPr>
          <w:rFonts w:hint="eastAsia" w:ascii="黑体" w:eastAsia="黑体"/>
          <w:b/>
          <w:sz w:val="44"/>
          <w:szCs w:val="44"/>
        </w:rPr>
        <w:t xml:space="preserve"> 神经网络的光伏功率短期预测</w:t>
      </w:r>
    </w:p>
    <w:p w14:paraId="23118313">
      <w:pPr>
        <w:spacing w:line="360" w:lineRule="auto"/>
        <w:jc w:val="center"/>
        <w:rPr>
          <w:rFonts w:ascii="黑体" w:eastAsia="黑体"/>
          <w:b/>
          <w:sz w:val="32"/>
          <w:szCs w:val="32"/>
        </w:rPr>
      </w:pPr>
      <w:r>
        <w:rPr>
          <w:rFonts w:hint="eastAsia" w:ascii="黑体" w:eastAsia="黑体"/>
          <w:b/>
          <w:sz w:val="32"/>
          <w:szCs w:val="32"/>
        </w:rPr>
        <w:t>摘要</w:t>
      </w:r>
    </w:p>
    <w:p w14:paraId="71DE46D2">
      <w:pPr>
        <w:pStyle w:val="27"/>
        <w:ind w:firstLine="480"/>
      </w:pPr>
      <w:r>
        <w:rPr>
          <w:rFonts w:hint="eastAsia"/>
        </w:rPr>
        <w:t>要在瞬息万变的智能电网调度中稳住阵脚，高精度的短期光伏功率预测几乎是“刚需”。但难点在于，太阳辐射、温湿度这些变量在大自然中深度交织，让光伏输出功率带上了极强的随机性和不平稳色彩，就像断了线的风筝，很难捕捉其动态规律。常见的那些单一深度学习模型，在面对这种“乱麻”般的时序数据时，往往顾了这头顾不了那头——抓住了宏观趋势却漏掉了局部的瞬时突变。针对上述问题，本文提出了一种基于经验模态分解（EMD）与双向门控循环单元（BiGRU）深度融合的光伏功率短期组合预测模型。</w:t>
      </w:r>
    </w:p>
    <w:p w14:paraId="774FCBBD">
      <w:pPr>
        <w:pStyle w:val="27"/>
        <w:ind w:firstLine="480"/>
      </w:pPr>
      <w:r>
        <w:rPr>
          <w:rFonts w:hint="eastAsia"/>
        </w:rPr>
        <w:t>首先，对实测光伏功率与多维气象数据进行清洗与最大最小归一化处理，以消除多源特征之间的量纲壁垒。其次，引入 EMD 算法对高度非线性的光伏功率序列进行自适应解耦，将其分解为多个相对平稳的本征模函数（IMF）分量与残余趋势分量，从底层逻辑上降低了深度神经网络的非凸优化难度。随后，构建基于 Huber Loss 与 AdamW 优化器的 BiGRU 预测网络，利用其正反双向门控机制，深度提取各频段信号的历史依赖与全局上下文演变趋势。在实验与模型寻优环节，本文通过严密的超参数网格搜索与敏感性分析，确立了全局最优的特征表达参数组合。实验结果表明，本文提出的 EMD-BiGRU 模型在各项评价指标上均取得最优表现，其均方根误差（RMSE）低至0.071015，平均绝对误差（MAE）为0.051202，决定系数（R²）高达0.9465。与单一的 BiGRU 模型相比，其 RMSE 降低了约49.21%，MAE 降低了约54.89%，R²提升了约19.42%。该组合模型有效克服了复杂气象条件下的预测精度瓶颈，大幅削弱功率序列波动带来的负面影响，展现了卓越的拟合解释能力与抗干扰鲁棒性，为新能源的大规模并网与电力系统稳定运行提供了可靠的技术支撑。</w:t>
      </w:r>
    </w:p>
    <w:p w14:paraId="4B480FC4">
      <w:pPr>
        <w:pStyle w:val="27"/>
        <w:ind w:firstLine="480"/>
      </w:pPr>
    </w:p>
    <w:p w14:paraId="2691A0A8">
      <w:pPr>
        <w:pStyle w:val="27"/>
        <w:ind w:firstLine="562"/>
      </w:pPr>
      <w:r>
        <w:rPr>
          <w:rFonts w:hint="eastAsia"/>
          <w:b/>
          <w:sz w:val="28"/>
          <w:szCs w:val="28"/>
        </w:rPr>
        <w:t>关键词：</w:t>
      </w:r>
      <w:r>
        <w:rPr>
          <w:rFonts w:hint="eastAsia"/>
        </w:rPr>
        <w:t>光伏功率预测；经验模态分解；BiGRU；时间序列；深度学习</w:t>
      </w:r>
    </w:p>
    <w:p w14:paraId="3BCD0753">
      <w:pPr>
        <w:pStyle w:val="27"/>
        <w:ind w:firstLine="480"/>
      </w:pPr>
    </w:p>
    <w:p w14:paraId="439EE121">
      <w:r>
        <w:br w:type="page"/>
      </w:r>
    </w:p>
    <w:p w14:paraId="412F90FF">
      <w:pPr>
        <w:pStyle w:val="32"/>
        <w:spacing w:before="312" w:after="312"/>
        <w:jc w:val="both"/>
        <w:sectPr>
          <w:headerReference r:id="rId9" w:type="default"/>
          <w:footerReference r:id="rId11" w:type="default"/>
          <w:headerReference r:id="rId10" w:type="even"/>
          <w:footerReference r:id="rId12" w:type="even"/>
          <w:pgSz w:w="11906" w:h="16838"/>
          <w:pgMar w:top="1588" w:right="1134" w:bottom="1247" w:left="1701" w:header="1021" w:footer="794" w:gutter="0"/>
          <w:cols w:space="425" w:num="1"/>
          <w:docGrid w:type="lines" w:linePitch="312" w:charSpace="0"/>
        </w:sectPr>
      </w:pPr>
    </w:p>
    <w:p w14:paraId="58DA5097">
      <w:pPr>
        <w:spacing w:before="312" w:beforeLines="100" w:after="312" w:afterLines="100"/>
        <w:jc w:val="center"/>
        <w:rPr>
          <w:rFonts w:eastAsia="黑体"/>
          <w:b/>
          <w:bCs/>
          <w:kern w:val="44"/>
          <w:sz w:val="32"/>
          <w:szCs w:val="32"/>
        </w:rPr>
      </w:pPr>
      <w:r>
        <w:rPr>
          <w:rFonts w:hint="eastAsia" w:eastAsia="黑体"/>
          <w:b/>
          <w:bCs/>
          <w:kern w:val="44"/>
          <w:sz w:val="32"/>
          <w:szCs w:val="32"/>
        </w:rPr>
        <w:t>Short-term Prediction of Photovoltaic Power Based on Empirical Mode Decomposition and BiGRU Neural Network</w:t>
      </w:r>
    </w:p>
    <w:p w14:paraId="4A529569">
      <w:pPr>
        <w:pStyle w:val="34"/>
        <w:spacing w:before="312" w:after="312"/>
        <w:outlineLvl w:val="0"/>
      </w:pPr>
      <w:r>
        <w:rPr>
          <w:rFonts w:hint="eastAsia" w:eastAsia="等线"/>
        </w:rPr>
        <w:t>ABSTRACT</w:t>
      </w:r>
    </w:p>
    <w:p w14:paraId="5D3AADD7">
      <w:pPr>
        <w:pStyle w:val="43"/>
        <w:snapToGrid w:val="0"/>
        <w:ind w:firstLine="480"/>
        <w:rPr>
          <w:rStyle w:val="44"/>
          <w:rFonts w:eastAsia="宋体"/>
        </w:rPr>
      </w:pPr>
      <w:r>
        <w:rPr>
          <w:rStyle w:val="44"/>
          <w:rFonts w:hint="eastAsia" w:eastAsia="宋体"/>
        </w:rPr>
        <w:t xml:space="preserve">Accurate short-term photovoltaic (PV) power prediction is crucial for the safe and stable operation as well as efficient scheduling of smart grids. However, affected by the deep coupling of multiple meteorological factors such as solar radiation, temperature and humidity, PV output power presents strong randomness, volatility and non-stationary characteristics. Traditional single deep learning models are difficult to balance high-frequency local mutation and low-frequency global trend when processing such time-series data, resulting in limited prediction accuracy. To solve the above problems, this paper proposes a novel combined short-term PV power prediction model integrating Empirical Mode Decomposition (EMD) and Bidirectional Gated Recurrent Unit (BiGRU). Firstly, data cleaning and Min-Max normalization are carried out on measured PV power and multi-dimensional meteorological data to eliminate dimensional differences among multi-source features. Secondly, the EMD algorithm is adopted to adaptively decouple the highly nonlinear PV power sequence into several relatively stationary intrinsic mode function (IMF) components and a residual trend component, which fundamentally reduces the optimization difficulty of the deep learning model. Subsequently, a BiGRU prediction network based on Huber Loss and AdamW optimizer is constructed to deeply mine the temporal correlation and global evolution trend of each component through bidirectional feature extraction. Through rigorous hyperparameter grid search and sensitivity analysis, the optimal parameter combination of the model is determined. Comparative experimental results demonstrate that the proposed EMD-BiGRU model achieves the best comprehensive performance. It obtains an RMSE of 0.071015, an MAE of 0.051202, and a high coefficient of determination R2 of 0.9465. Compared with the single BiGRU model, the RMSE and MAE are reduced by 49.21% and 54.89% respectively, while the R2 is improved by 19.42%. </w:t>
      </w:r>
    </w:p>
    <w:p w14:paraId="2F2C02FF">
      <w:pPr>
        <w:spacing w:before="312" w:beforeLines="100" w:after="312" w:afterLines="100"/>
        <w:ind w:firstLine="560" w:firstLineChars="200"/>
        <w:jc w:val="center"/>
        <w:rPr>
          <w:rStyle w:val="44"/>
          <w:sz w:val="24"/>
        </w:rPr>
      </w:pPr>
      <w:r>
        <w:rPr>
          <w:rFonts w:eastAsia="Times New Roman"/>
          <w:sz w:val="28"/>
        </w:rPr>
        <w:t>Key words</w:t>
      </w:r>
      <w:r>
        <w:rPr>
          <w:rFonts w:hint="eastAsia" w:ascii="宋体" w:hAnsi="宋体" w:cs="宋体"/>
          <w:sz w:val="28"/>
        </w:rPr>
        <w:t>：</w:t>
      </w:r>
      <w:r>
        <w:rPr>
          <w:rStyle w:val="44"/>
          <w:rFonts w:hint="eastAsia"/>
          <w:sz w:val="24"/>
        </w:rPr>
        <w:t>Photovoltaic power prediction; Empirical Mode Decomposition; BiGRU; Time series; Deep Learning</w:t>
      </w:r>
    </w:p>
    <w:p w14:paraId="467BCE12">
      <w:pPr>
        <w:rPr>
          <w:rStyle w:val="44"/>
          <w:sz w:val="24"/>
        </w:rPr>
      </w:pPr>
      <w:r>
        <w:rPr>
          <w:rStyle w:val="44"/>
          <w:rFonts w:hint="eastAsia"/>
          <w:sz w:val="24"/>
        </w:rPr>
        <w:br w:type="page"/>
      </w:r>
    </w:p>
    <w:p w14:paraId="169D75CA">
      <w:pPr>
        <w:jc w:val="center"/>
        <w:rPr>
          <w:rFonts w:hint="eastAsia" w:ascii="黑体" w:hAnsi="黑体" w:eastAsia="黑体" w:cs="宋体"/>
          <w:b/>
          <w:bCs/>
          <w:sz w:val="32"/>
          <w:szCs w:val="32"/>
        </w:rPr>
      </w:pPr>
      <w:r>
        <w:rPr>
          <w:rFonts w:hint="eastAsia" w:ascii="黑体" w:eastAsia="黑体"/>
          <w:b/>
          <w:sz w:val="32"/>
          <w:szCs w:val="32"/>
        </w:rPr>
        <w:t>目 录</w:t>
      </w:r>
    </w:p>
    <w:p w14:paraId="31BC736A">
      <w:pPr>
        <w:pStyle w:val="12"/>
        <w:tabs>
          <w:tab w:val="right" w:leader="dot" w:pos="9071"/>
        </w:tabs>
        <w:rPr>
          <w:rFonts w:hint="eastAsia" w:ascii="黑体" w:hAnsi="黑体" w:eastAsia="黑体"/>
          <w:b/>
          <w:bCs/>
          <w:sz w:val="24"/>
        </w:rPr>
      </w:pPr>
      <w:r>
        <w:rPr>
          <w:rFonts w:eastAsiaTheme="minorEastAsia"/>
          <w:sz w:val="24"/>
        </w:rPr>
        <w:fldChar w:fldCharType="begin"/>
      </w:r>
      <w:r>
        <w:rPr>
          <w:rFonts w:eastAsiaTheme="minorEastAsia"/>
          <w:sz w:val="24"/>
        </w:rPr>
        <w:instrText xml:space="preserve"> TOC \h \z \t "一级标题,1,二级标题,2,三级标题,3" </w:instrText>
      </w:r>
      <w:r>
        <w:rPr>
          <w:rFonts w:eastAsiaTheme="minorEastAsia"/>
          <w:sz w:val="24"/>
        </w:rPr>
        <w:fldChar w:fldCharType="separate"/>
      </w:r>
      <w:r>
        <w:fldChar w:fldCharType="begin"/>
      </w:r>
      <w:r>
        <w:instrText xml:space="preserve"> HYPERLINK \l "_Toc21933" </w:instrText>
      </w:r>
      <w:r>
        <w:fldChar w:fldCharType="separate"/>
      </w:r>
      <w:r>
        <w:rPr>
          <w:rFonts w:eastAsia="黑体"/>
          <w:b/>
          <w:bCs/>
          <w:sz w:val="24"/>
        </w:rPr>
        <w:t>1</w:t>
      </w:r>
      <w:r>
        <w:rPr>
          <w:rFonts w:ascii="黑体" w:hAnsi="黑体" w:eastAsia="黑体"/>
          <w:b/>
          <w:bCs/>
          <w:sz w:val="24"/>
        </w:rPr>
        <w:t xml:space="preserve"> </w:t>
      </w:r>
      <w:r>
        <w:rPr>
          <w:rFonts w:hint="eastAsia" w:ascii="黑体" w:hAnsi="黑体" w:eastAsia="黑体"/>
          <w:b/>
          <w:bCs/>
          <w:sz w:val="24"/>
        </w:rPr>
        <w:t>绪论</w:t>
      </w:r>
      <w:r>
        <w:rPr>
          <w:rFonts w:hint="eastAsia" w:ascii="黑体" w:hAnsi="黑体" w:eastAsia="黑体"/>
          <w:b/>
          <w:bCs/>
          <w:sz w:val="24"/>
        </w:rPr>
        <w:tab/>
      </w:r>
      <w:r>
        <w:rPr>
          <w:rFonts w:hint="eastAsia" w:ascii="黑体" w:hAnsi="黑体" w:eastAsia="黑体"/>
          <w:b/>
          <w:bCs/>
          <w:sz w:val="24"/>
        </w:rPr>
        <w:fldChar w:fldCharType="begin"/>
      </w:r>
      <w:r>
        <w:rPr>
          <w:rFonts w:hint="eastAsia" w:ascii="黑体" w:hAnsi="黑体" w:eastAsia="黑体"/>
          <w:b/>
          <w:bCs/>
          <w:sz w:val="24"/>
        </w:rPr>
        <w:instrText xml:space="preserve"> PAGEREF _Toc21933 \h </w:instrText>
      </w:r>
      <w:r>
        <w:rPr>
          <w:rFonts w:hint="eastAsia" w:ascii="黑体" w:hAnsi="黑体" w:eastAsia="黑体"/>
          <w:b/>
          <w:bCs/>
          <w:sz w:val="24"/>
        </w:rPr>
        <w:fldChar w:fldCharType="separate"/>
      </w:r>
      <w:r>
        <w:rPr>
          <w:rFonts w:hint="eastAsia" w:eastAsia="黑体"/>
          <w:b/>
          <w:bCs/>
          <w:sz w:val="24"/>
        </w:rPr>
        <w:t>3</w:t>
      </w:r>
      <w:r>
        <w:rPr>
          <w:rFonts w:hint="eastAsia" w:ascii="黑体" w:hAnsi="黑体" w:eastAsia="黑体"/>
          <w:b/>
          <w:bCs/>
          <w:sz w:val="24"/>
        </w:rPr>
        <w:fldChar w:fldCharType="end"/>
      </w:r>
      <w:r>
        <w:rPr>
          <w:rFonts w:hint="eastAsia" w:ascii="黑体" w:hAnsi="黑体" w:eastAsia="黑体"/>
          <w:b/>
          <w:bCs/>
          <w:sz w:val="24"/>
        </w:rPr>
        <w:fldChar w:fldCharType="end"/>
      </w:r>
    </w:p>
    <w:p w14:paraId="25A489B8">
      <w:pPr>
        <w:pStyle w:val="13"/>
        <w:tabs>
          <w:tab w:val="right" w:leader="dot" w:pos="9071"/>
          <w:tab w:val="clear" w:pos="1100"/>
          <w:tab w:val="clear" w:pos="9061"/>
        </w:tabs>
      </w:pPr>
      <w:r>
        <w:fldChar w:fldCharType="begin"/>
      </w:r>
      <w:r>
        <w:instrText xml:space="preserve"> HYPERLINK \l "_Toc1767" </w:instrText>
      </w:r>
      <w:r>
        <w:fldChar w:fldCharType="separate"/>
      </w:r>
      <w:r>
        <w:t xml:space="preserve">1.1 </w:t>
      </w:r>
      <w:r>
        <w:rPr>
          <w:rFonts w:hint="eastAsia"/>
        </w:rPr>
        <w:t>研究背景与意义</w:t>
      </w:r>
      <w:r>
        <w:tab/>
      </w:r>
      <w:r>
        <w:fldChar w:fldCharType="begin"/>
      </w:r>
      <w:r>
        <w:instrText xml:space="preserve"> PAGEREF _Toc1767 \h </w:instrText>
      </w:r>
      <w:r>
        <w:fldChar w:fldCharType="separate"/>
      </w:r>
      <w:r>
        <w:t>3</w:t>
      </w:r>
      <w:r>
        <w:fldChar w:fldCharType="end"/>
      </w:r>
      <w:r>
        <w:fldChar w:fldCharType="end"/>
      </w:r>
    </w:p>
    <w:p w14:paraId="34441403">
      <w:pPr>
        <w:pStyle w:val="9"/>
        <w:tabs>
          <w:tab w:val="right" w:leader="dot" w:pos="9071"/>
        </w:tabs>
      </w:pPr>
      <w:r>
        <w:fldChar w:fldCharType="begin"/>
      </w:r>
      <w:r>
        <w:instrText xml:space="preserve"> HYPERLINK \l "_Toc2129" </w:instrText>
      </w:r>
      <w:r>
        <w:fldChar w:fldCharType="separate"/>
      </w:r>
      <w:r>
        <w:t xml:space="preserve">1.1.1 </w:t>
      </w:r>
      <w:r>
        <w:rPr>
          <w:rFonts w:hint="eastAsia"/>
        </w:rPr>
        <w:t>研究背景</w:t>
      </w:r>
      <w:r>
        <w:tab/>
      </w:r>
      <w:r>
        <w:fldChar w:fldCharType="begin"/>
      </w:r>
      <w:r>
        <w:instrText xml:space="preserve"> PAGEREF _Toc2129 \h </w:instrText>
      </w:r>
      <w:r>
        <w:fldChar w:fldCharType="separate"/>
      </w:r>
      <w:r>
        <w:t>4</w:t>
      </w:r>
      <w:r>
        <w:fldChar w:fldCharType="end"/>
      </w:r>
      <w:r>
        <w:fldChar w:fldCharType="end"/>
      </w:r>
    </w:p>
    <w:p w14:paraId="32C08B76">
      <w:pPr>
        <w:pStyle w:val="9"/>
        <w:tabs>
          <w:tab w:val="right" w:leader="dot" w:pos="9071"/>
        </w:tabs>
      </w:pPr>
      <w:r>
        <w:fldChar w:fldCharType="begin"/>
      </w:r>
      <w:r>
        <w:instrText xml:space="preserve"> HYPERLINK \l "_Toc6076" </w:instrText>
      </w:r>
      <w:r>
        <w:fldChar w:fldCharType="separate"/>
      </w:r>
      <w:r>
        <w:t>1.1.2 研究意义</w:t>
      </w:r>
      <w:r>
        <w:tab/>
      </w:r>
      <w:r>
        <w:fldChar w:fldCharType="begin"/>
      </w:r>
      <w:r>
        <w:instrText xml:space="preserve"> PAGEREF _Toc6076 \h </w:instrText>
      </w:r>
      <w:r>
        <w:fldChar w:fldCharType="separate"/>
      </w:r>
      <w:r>
        <w:t>4</w:t>
      </w:r>
      <w:r>
        <w:fldChar w:fldCharType="end"/>
      </w:r>
      <w:r>
        <w:fldChar w:fldCharType="end"/>
      </w:r>
    </w:p>
    <w:p w14:paraId="1FB2F593">
      <w:pPr>
        <w:pStyle w:val="13"/>
        <w:tabs>
          <w:tab w:val="right" w:leader="dot" w:pos="9071"/>
          <w:tab w:val="clear" w:pos="1100"/>
          <w:tab w:val="clear" w:pos="9061"/>
        </w:tabs>
      </w:pPr>
      <w:r>
        <w:fldChar w:fldCharType="begin"/>
      </w:r>
      <w:r>
        <w:instrText xml:space="preserve"> HYPERLINK \l "_Toc30132" </w:instrText>
      </w:r>
      <w:r>
        <w:fldChar w:fldCharType="separate"/>
      </w:r>
      <w:r>
        <w:t xml:space="preserve">1.2 </w:t>
      </w:r>
      <w:r>
        <w:rPr>
          <w:rFonts w:hint="eastAsia"/>
        </w:rPr>
        <w:t>国内外研究现状</w:t>
      </w:r>
      <w:r>
        <w:tab/>
      </w:r>
      <w:r>
        <w:fldChar w:fldCharType="begin"/>
      </w:r>
      <w:r>
        <w:instrText xml:space="preserve"> PAGEREF _Toc30132 \h </w:instrText>
      </w:r>
      <w:r>
        <w:fldChar w:fldCharType="separate"/>
      </w:r>
      <w:r>
        <w:t>5</w:t>
      </w:r>
      <w:r>
        <w:fldChar w:fldCharType="end"/>
      </w:r>
      <w:r>
        <w:fldChar w:fldCharType="end"/>
      </w:r>
    </w:p>
    <w:p w14:paraId="2F83DBB9">
      <w:pPr>
        <w:pStyle w:val="9"/>
        <w:tabs>
          <w:tab w:val="right" w:leader="dot" w:pos="9071"/>
        </w:tabs>
      </w:pPr>
      <w:r>
        <w:fldChar w:fldCharType="begin"/>
      </w:r>
      <w:r>
        <w:instrText xml:space="preserve"> HYPERLINK \l "_Toc8596" </w:instrText>
      </w:r>
      <w:r>
        <w:fldChar w:fldCharType="separate"/>
      </w:r>
      <w:r>
        <w:t>1.2.1 国外研究现状</w:t>
      </w:r>
      <w:r>
        <w:tab/>
      </w:r>
      <w:r>
        <w:fldChar w:fldCharType="begin"/>
      </w:r>
      <w:r>
        <w:instrText xml:space="preserve"> PAGEREF _Toc8596 \h </w:instrText>
      </w:r>
      <w:r>
        <w:fldChar w:fldCharType="separate"/>
      </w:r>
      <w:r>
        <w:t>5</w:t>
      </w:r>
      <w:r>
        <w:fldChar w:fldCharType="end"/>
      </w:r>
      <w:r>
        <w:fldChar w:fldCharType="end"/>
      </w:r>
    </w:p>
    <w:p w14:paraId="70912172">
      <w:pPr>
        <w:pStyle w:val="9"/>
        <w:tabs>
          <w:tab w:val="right" w:leader="dot" w:pos="9071"/>
        </w:tabs>
      </w:pPr>
      <w:r>
        <w:fldChar w:fldCharType="begin"/>
      </w:r>
      <w:r>
        <w:instrText xml:space="preserve"> HYPERLINK \l "_Toc19787" </w:instrText>
      </w:r>
      <w:r>
        <w:fldChar w:fldCharType="separate"/>
      </w:r>
      <w:r>
        <w:t>1.2.2 国内研究现状</w:t>
      </w:r>
      <w:r>
        <w:tab/>
      </w:r>
      <w:r>
        <w:fldChar w:fldCharType="begin"/>
      </w:r>
      <w:r>
        <w:instrText xml:space="preserve"> PAGEREF _Toc19787 \h </w:instrText>
      </w:r>
      <w:r>
        <w:fldChar w:fldCharType="separate"/>
      </w:r>
      <w:r>
        <w:t>5</w:t>
      </w:r>
      <w:r>
        <w:fldChar w:fldCharType="end"/>
      </w:r>
      <w:r>
        <w:fldChar w:fldCharType="end"/>
      </w:r>
    </w:p>
    <w:p w14:paraId="0ABCF912">
      <w:pPr>
        <w:pStyle w:val="9"/>
        <w:tabs>
          <w:tab w:val="right" w:leader="dot" w:pos="9071"/>
        </w:tabs>
      </w:pPr>
      <w:r>
        <w:fldChar w:fldCharType="begin"/>
      </w:r>
      <w:r>
        <w:instrText xml:space="preserve"> HYPERLINK \l "_Toc31251" </w:instrText>
      </w:r>
      <w:r>
        <w:fldChar w:fldCharType="separate"/>
      </w:r>
      <w:r>
        <w:t>1.2.3 研究现状总结</w:t>
      </w:r>
      <w:r>
        <w:tab/>
      </w:r>
      <w:r>
        <w:fldChar w:fldCharType="begin"/>
      </w:r>
      <w:r>
        <w:instrText xml:space="preserve"> PAGEREF _Toc31251 \h </w:instrText>
      </w:r>
      <w:r>
        <w:fldChar w:fldCharType="separate"/>
      </w:r>
      <w:r>
        <w:t>6</w:t>
      </w:r>
      <w:r>
        <w:fldChar w:fldCharType="end"/>
      </w:r>
      <w:r>
        <w:fldChar w:fldCharType="end"/>
      </w:r>
    </w:p>
    <w:p w14:paraId="0EABD553">
      <w:pPr>
        <w:pStyle w:val="13"/>
        <w:tabs>
          <w:tab w:val="right" w:leader="dot" w:pos="9071"/>
          <w:tab w:val="clear" w:pos="1100"/>
          <w:tab w:val="clear" w:pos="9061"/>
        </w:tabs>
      </w:pPr>
      <w:r>
        <w:fldChar w:fldCharType="begin"/>
      </w:r>
      <w:r>
        <w:instrText xml:space="preserve"> HYPERLINK \l "_Toc27175" </w:instrText>
      </w:r>
      <w:r>
        <w:fldChar w:fldCharType="separate"/>
      </w:r>
      <w:r>
        <w:t xml:space="preserve">1.3 </w:t>
      </w:r>
      <w:r>
        <w:rPr>
          <w:rFonts w:hint="eastAsia"/>
        </w:rPr>
        <w:t>研究内容与技术路线</w:t>
      </w:r>
      <w:r>
        <w:tab/>
      </w:r>
      <w:r>
        <w:fldChar w:fldCharType="begin"/>
      </w:r>
      <w:r>
        <w:instrText xml:space="preserve"> PAGEREF _Toc27175 \h </w:instrText>
      </w:r>
      <w:r>
        <w:fldChar w:fldCharType="separate"/>
      </w:r>
      <w:r>
        <w:t>6</w:t>
      </w:r>
      <w:r>
        <w:fldChar w:fldCharType="end"/>
      </w:r>
      <w:r>
        <w:fldChar w:fldCharType="end"/>
      </w:r>
    </w:p>
    <w:p w14:paraId="712383F3">
      <w:pPr>
        <w:pStyle w:val="9"/>
        <w:tabs>
          <w:tab w:val="right" w:leader="dot" w:pos="9071"/>
        </w:tabs>
      </w:pPr>
      <w:r>
        <w:fldChar w:fldCharType="begin"/>
      </w:r>
      <w:r>
        <w:instrText xml:space="preserve"> HYPERLINK \l "_Toc25620" </w:instrText>
      </w:r>
      <w:r>
        <w:fldChar w:fldCharType="separate"/>
      </w:r>
      <w:r>
        <w:t>1.3.1 研究内容</w:t>
      </w:r>
      <w:r>
        <w:tab/>
      </w:r>
      <w:r>
        <w:fldChar w:fldCharType="begin"/>
      </w:r>
      <w:r>
        <w:instrText xml:space="preserve"> PAGEREF _Toc25620 \h </w:instrText>
      </w:r>
      <w:r>
        <w:fldChar w:fldCharType="separate"/>
      </w:r>
      <w:r>
        <w:t>6</w:t>
      </w:r>
      <w:r>
        <w:fldChar w:fldCharType="end"/>
      </w:r>
      <w:r>
        <w:fldChar w:fldCharType="end"/>
      </w:r>
    </w:p>
    <w:p w14:paraId="7A8A0752">
      <w:pPr>
        <w:pStyle w:val="9"/>
        <w:tabs>
          <w:tab w:val="right" w:leader="dot" w:pos="9071"/>
        </w:tabs>
      </w:pPr>
      <w:r>
        <w:fldChar w:fldCharType="begin"/>
      </w:r>
      <w:r>
        <w:instrText xml:space="preserve"> HYPERLINK \l "_Toc20350" </w:instrText>
      </w:r>
      <w:r>
        <w:fldChar w:fldCharType="separate"/>
      </w:r>
      <w:r>
        <w:t>1.3.2 技术路线</w:t>
      </w:r>
      <w:r>
        <w:tab/>
      </w:r>
      <w:r>
        <w:fldChar w:fldCharType="begin"/>
      </w:r>
      <w:r>
        <w:instrText xml:space="preserve"> PAGEREF _Toc20350 \h </w:instrText>
      </w:r>
      <w:r>
        <w:fldChar w:fldCharType="separate"/>
      </w:r>
      <w:r>
        <w:t>6</w:t>
      </w:r>
      <w:r>
        <w:fldChar w:fldCharType="end"/>
      </w:r>
      <w:r>
        <w:fldChar w:fldCharType="end"/>
      </w:r>
    </w:p>
    <w:p w14:paraId="1C47D358">
      <w:pPr>
        <w:pStyle w:val="13"/>
        <w:tabs>
          <w:tab w:val="right" w:leader="dot" w:pos="9071"/>
          <w:tab w:val="clear" w:pos="1100"/>
          <w:tab w:val="clear" w:pos="9061"/>
        </w:tabs>
      </w:pPr>
      <w:r>
        <w:fldChar w:fldCharType="begin"/>
      </w:r>
      <w:r>
        <w:instrText xml:space="preserve"> HYPERLINK \l "_Toc6813" </w:instrText>
      </w:r>
      <w:r>
        <w:fldChar w:fldCharType="separate"/>
      </w:r>
      <w:r>
        <w:t>1.4 论文结构</w:t>
      </w:r>
      <w:r>
        <w:tab/>
      </w:r>
      <w:r>
        <w:fldChar w:fldCharType="begin"/>
      </w:r>
      <w:r>
        <w:instrText xml:space="preserve"> PAGEREF _Toc6813 \h </w:instrText>
      </w:r>
      <w:r>
        <w:fldChar w:fldCharType="separate"/>
      </w:r>
      <w:r>
        <w:t>7</w:t>
      </w:r>
      <w:r>
        <w:fldChar w:fldCharType="end"/>
      </w:r>
      <w:r>
        <w:fldChar w:fldCharType="end"/>
      </w:r>
    </w:p>
    <w:p w14:paraId="0A83A8DE">
      <w:pPr>
        <w:pStyle w:val="12"/>
        <w:tabs>
          <w:tab w:val="right" w:leader="dot" w:pos="9071"/>
        </w:tabs>
        <w:spacing w:line="324" w:lineRule="auto"/>
        <w:rPr>
          <w:rFonts w:hint="eastAsia" w:ascii="黑体" w:hAnsi="黑体" w:eastAsia="黑体"/>
          <w:b/>
          <w:bCs/>
          <w:sz w:val="24"/>
        </w:rPr>
      </w:pPr>
      <w:r>
        <w:fldChar w:fldCharType="begin"/>
      </w:r>
      <w:r>
        <w:instrText xml:space="preserve"> HYPERLINK \l "_Toc1630" </w:instrText>
      </w:r>
      <w:r>
        <w:fldChar w:fldCharType="separate"/>
      </w:r>
      <w:r>
        <w:rPr>
          <w:rFonts w:eastAsia="黑体"/>
          <w:b/>
          <w:bCs/>
          <w:sz w:val="24"/>
        </w:rPr>
        <w:t>2</w:t>
      </w:r>
      <w:r>
        <w:rPr>
          <w:rFonts w:ascii="黑体" w:hAnsi="黑体" w:eastAsia="黑体"/>
          <w:b/>
          <w:bCs/>
          <w:sz w:val="24"/>
        </w:rPr>
        <w:t xml:space="preserve"> </w:t>
      </w:r>
      <w:r>
        <w:rPr>
          <w:rFonts w:hint="eastAsia" w:ascii="黑体" w:hAnsi="黑体" w:eastAsia="黑体"/>
          <w:b/>
          <w:bCs/>
          <w:sz w:val="24"/>
        </w:rPr>
        <w:t>相关理论与技术基础</w:t>
      </w:r>
      <w:r>
        <w:rPr>
          <w:rFonts w:hint="eastAsia" w:ascii="黑体" w:hAnsi="黑体" w:eastAsia="黑体"/>
          <w:b/>
          <w:bCs/>
          <w:sz w:val="24"/>
        </w:rPr>
        <w:tab/>
      </w:r>
      <w:r>
        <w:rPr>
          <w:rFonts w:hint="eastAsia" w:ascii="黑体" w:hAnsi="黑体" w:eastAsia="黑体"/>
          <w:b/>
          <w:bCs/>
          <w:sz w:val="24"/>
        </w:rPr>
        <w:fldChar w:fldCharType="begin"/>
      </w:r>
      <w:r>
        <w:rPr>
          <w:rFonts w:hint="eastAsia" w:ascii="黑体" w:hAnsi="黑体" w:eastAsia="黑体"/>
          <w:b/>
          <w:bCs/>
          <w:sz w:val="24"/>
        </w:rPr>
        <w:instrText xml:space="preserve"> PAGEREF _Toc1630 \h </w:instrText>
      </w:r>
      <w:r>
        <w:rPr>
          <w:rFonts w:hint="eastAsia" w:ascii="黑体" w:hAnsi="黑体" w:eastAsia="黑体"/>
          <w:b/>
          <w:bCs/>
          <w:sz w:val="24"/>
        </w:rPr>
        <w:fldChar w:fldCharType="separate"/>
      </w:r>
      <w:r>
        <w:rPr>
          <w:rFonts w:hint="eastAsia" w:eastAsia="黑体"/>
          <w:b/>
          <w:bCs/>
          <w:sz w:val="24"/>
        </w:rPr>
        <w:t>7</w:t>
      </w:r>
      <w:r>
        <w:rPr>
          <w:rFonts w:hint="eastAsia" w:ascii="黑体" w:hAnsi="黑体" w:eastAsia="黑体"/>
          <w:b/>
          <w:bCs/>
          <w:sz w:val="24"/>
        </w:rPr>
        <w:fldChar w:fldCharType="end"/>
      </w:r>
      <w:r>
        <w:rPr>
          <w:rFonts w:hint="eastAsia" w:ascii="黑体" w:hAnsi="黑体" w:eastAsia="黑体"/>
          <w:b/>
          <w:bCs/>
          <w:sz w:val="24"/>
        </w:rPr>
        <w:fldChar w:fldCharType="end"/>
      </w:r>
    </w:p>
    <w:p w14:paraId="77F21494">
      <w:pPr>
        <w:pStyle w:val="13"/>
        <w:tabs>
          <w:tab w:val="right" w:leader="dot" w:pos="9071"/>
          <w:tab w:val="clear" w:pos="1100"/>
          <w:tab w:val="clear" w:pos="9061"/>
        </w:tabs>
      </w:pPr>
      <w:r>
        <w:fldChar w:fldCharType="begin"/>
      </w:r>
      <w:r>
        <w:instrText xml:space="preserve"> HYPERLINK \l "_Toc15409" </w:instrText>
      </w:r>
      <w:r>
        <w:fldChar w:fldCharType="separate"/>
      </w:r>
      <w:r>
        <w:t xml:space="preserve">2.1 </w:t>
      </w:r>
      <w:r>
        <w:rPr>
          <w:rFonts w:hint="eastAsia"/>
        </w:rPr>
        <w:t>光伏功率短期预测基础</w:t>
      </w:r>
      <w:r>
        <w:tab/>
      </w:r>
      <w:r>
        <w:fldChar w:fldCharType="begin"/>
      </w:r>
      <w:r>
        <w:instrText xml:space="preserve"> PAGEREF _Toc15409 \h </w:instrText>
      </w:r>
      <w:r>
        <w:fldChar w:fldCharType="separate"/>
      </w:r>
      <w:r>
        <w:t>7</w:t>
      </w:r>
      <w:r>
        <w:fldChar w:fldCharType="end"/>
      </w:r>
      <w:r>
        <w:fldChar w:fldCharType="end"/>
      </w:r>
    </w:p>
    <w:p w14:paraId="1D0C59FE">
      <w:pPr>
        <w:pStyle w:val="9"/>
        <w:tabs>
          <w:tab w:val="right" w:leader="dot" w:pos="9071"/>
        </w:tabs>
      </w:pPr>
      <w:r>
        <w:fldChar w:fldCharType="begin"/>
      </w:r>
      <w:r>
        <w:instrText xml:space="preserve"> HYPERLINK \l "_Toc20001" </w:instrText>
      </w:r>
      <w:r>
        <w:fldChar w:fldCharType="separate"/>
      </w:r>
      <w:r>
        <w:t>2.1.1 光伏功率的特性与影响因素</w:t>
      </w:r>
      <w:r>
        <w:tab/>
      </w:r>
      <w:r>
        <w:fldChar w:fldCharType="begin"/>
      </w:r>
      <w:r>
        <w:instrText xml:space="preserve"> PAGEREF _Toc20001 \h </w:instrText>
      </w:r>
      <w:r>
        <w:fldChar w:fldCharType="separate"/>
      </w:r>
      <w:r>
        <w:t>8</w:t>
      </w:r>
      <w:r>
        <w:fldChar w:fldCharType="end"/>
      </w:r>
      <w:r>
        <w:fldChar w:fldCharType="end"/>
      </w:r>
    </w:p>
    <w:p w14:paraId="7DE53239">
      <w:pPr>
        <w:pStyle w:val="9"/>
        <w:tabs>
          <w:tab w:val="right" w:leader="dot" w:pos="9071"/>
        </w:tabs>
      </w:pPr>
      <w:r>
        <w:fldChar w:fldCharType="begin"/>
      </w:r>
      <w:r>
        <w:instrText xml:space="preserve"> HYPERLINK \l "_Toc25097" </w:instrText>
      </w:r>
      <w:r>
        <w:fldChar w:fldCharType="separate"/>
      </w:r>
      <w:r>
        <w:t>2.1.2 短期光伏预测的定义与分类</w:t>
      </w:r>
      <w:r>
        <w:tab/>
      </w:r>
      <w:r>
        <w:fldChar w:fldCharType="begin"/>
      </w:r>
      <w:r>
        <w:instrText xml:space="preserve"> PAGEREF _Toc25097 \h </w:instrText>
      </w:r>
      <w:r>
        <w:fldChar w:fldCharType="separate"/>
      </w:r>
      <w:r>
        <w:t>8</w:t>
      </w:r>
      <w:r>
        <w:fldChar w:fldCharType="end"/>
      </w:r>
      <w:r>
        <w:fldChar w:fldCharType="end"/>
      </w:r>
    </w:p>
    <w:p w14:paraId="5CC4A373">
      <w:pPr>
        <w:pStyle w:val="9"/>
        <w:tabs>
          <w:tab w:val="right" w:leader="dot" w:pos="9071"/>
        </w:tabs>
      </w:pPr>
      <w:r>
        <w:fldChar w:fldCharType="begin"/>
      </w:r>
      <w:r>
        <w:instrText xml:space="preserve"> HYPERLINK \l "_Toc23897" </w:instrText>
      </w:r>
      <w:r>
        <w:fldChar w:fldCharType="separate"/>
      </w:r>
      <w:r>
        <w:t>2.1.3 预测结果评价指标</w:t>
      </w:r>
      <w:r>
        <w:tab/>
      </w:r>
      <w:r>
        <w:fldChar w:fldCharType="begin"/>
      </w:r>
      <w:r>
        <w:instrText xml:space="preserve"> PAGEREF _Toc23897 \h </w:instrText>
      </w:r>
      <w:r>
        <w:fldChar w:fldCharType="separate"/>
      </w:r>
      <w:r>
        <w:t>8</w:t>
      </w:r>
      <w:r>
        <w:fldChar w:fldCharType="end"/>
      </w:r>
      <w:r>
        <w:fldChar w:fldCharType="end"/>
      </w:r>
    </w:p>
    <w:p w14:paraId="7EBF5E98">
      <w:pPr>
        <w:pStyle w:val="13"/>
        <w:tabs>
          <w:tab w:val="right" w:leader="dot" w:pos="9071"/>
          <w:tab w:val="clear" w:pos="1100"/>
          <w:tab w:val="clear" w:pos="9061"/>
        </w:tabs>
      </w:pPr>
      <w:r>
        <w:fldChar w:fldCharType="begin"/>
      </w:r>
      <w:r>
        <w:instrText xml:space="preserve"> HYPERLINK \l "_Toc18875" </w:instrText>
      </w:r>
      <w:r>
        <w:fldChar w:fldCharType="separate"/>
      </w:r>
      <w:r>
        <w:rPr>
          <w:rFonts w:eastAsia="sans-serif"/>
        </w:rPr>
        <w:t xml:space="preserve">2.2 </w:t>
      </w:r>
      <w:r>
        <w:t>经验模态分解（EMD）算法</w:t>
      </w:r>
      <w:r>
        <w:rPr>
          <w:rFonts w:hint="eastAsia"/>
        </w:rPr>
        <w:t>理论推导</w:t>
      </w:r>
      <w:r>
        <w:tab/>
      </w:r>
      <w:r>
        <w:fldChar w:fldCharType="begin"/>
      </w:r>
      <w:r>
        <w:instrText xml:space="preserve"> PAGEREF _Toc18875 \h </w:instrText>
      </w:r>
      <w:r>
        <w:fldChar w:fldCharType="separate"/>
      </w:r>
      <w:r>
        <w:t>9</w:t>
      </w:r>
      <w:r>
        <w:fldChar w:fldCharType="end"/>
      </w:r>
      <w:r>
        <w:fldChar w:fldCharType="end"/>
      </w:r>
    </w:p>
    <w:p w14:paraId="0E9CFC09">
      <w:pPr>
        <w:pStyle w:val="9"/>
        <w:tabs>
          <w:tab w:val="right" w:leader="dot" w:pos="9071"/>
        </w:tabs>
      </w:pPr>
      <w:r>
        <w:fldChar w:fldCharType="begin"/>
      </w:r>
      <w:r>
        <w:instrText xml:space="preserve"> HYPERLINK \l "_Toc8018" </w:instrText>
      </w:r>
      <w:r>
        <w:fldChar w:fldCharType="separate"/>
      </w:r>
      <w:r>
        <w:t>2.2.1 IMF的数学条件与筛选原理</w:t>
      </w:r>
      <w:r>
        <w:tab/>
      </w:r>
      <w:r>
        <w:fldChar w:fldCharType="begin"/>
      </w:r>
      <w:r>
        <w:instrText xml:space="preserve"> PAGEREF _Toc8018 \h </w:instrText>
      </w:r>
      <w:r>
        <w:fldChar w:fldCharType="separate"/>
      </w:r>
      <w:r>
        <w:t>9</w:t>
      </w:r>
      <w:r>
        <w:fldChar w:fldCharType="end"/>
      </w:r>
      <w:r>
        <w:fldChar w:fldCharType="end"/>
      </w:r>
    </w:p>
    <w:p w14:paraId="377DA0D7">
      <w:pPr>
        <w:pStyle w:val="9"/>
        <w:tabs>
          <w:tab w:val="right" w:leader="dot" w:pos="9071"/>
        </w:tabs>
      </w:pPr>
      <w:r>
        <w:fldChar w:fldCharType="begin"/>
      </w:r>
      <w:r>
        <w:instrText xml:space="preserve"> HYPERLINK \l "_Toc27978" </w:instrText>
      </w:r>
      <w:r>
        <w:fldChar w:fldCharType="separate"/>
      </w:r>
      <w:r>
        <w:t>2.2.2 EMD 的筛分算法流程（Sifting Process）</w:t>
      </w:r>
      <w:r>
        <w:tab/>
      </w:r>
      <w:r>
        <w:fldChar w:fldCharType="begin"/>
      </w:r>
      <w:r>
        <w:instrText xml:space="preserve"> PAGEREF _Toc27978 \h </w:instrText>
      </w:r>
      <w:r>
        <w:fldChar w:fldCharType="separate"/>
      </w:r>
      <w:r>
        <w:t>10</w:t>
      </w:r>
      <w:r>
        <w:fldChar w:fldCharType="end"/>
      </w:r>
      <w:r>
        <w:fldChar w:fldCharType="end"/>
      </w:r>
    </w:p>
    <w:p w14:paraId="69901B17">
      <w:pPr>
        <w:pStyle w:val="9"/>
        <w:tabs>
          <w:tab w:val="right" w:leader="dot" w:pos="9071"/>
        </w:tabs>
      </w:pPr>
      <w:r>
        <w:fldChar w:fldCharType="begin"/>
      </w:r>
      <w:r>
        <w:instrText xml:space="preserve"> HYPERLINK \l "_Toc31317" </w:instrText>
      </w:r>
      <w:r>
        <w:fldChar w:fldCharType="separate"/>
      </w:r>
      <w:r>
        <w:t>2.2.3 模态混叠问题</w:t>
      </w:r>
      <w:r>
        <w:tab/>
      </w:r>
      <w:r>
        <w:fldChar w:fldCharType="begin"/>
      </w:r>
      <w:r>
        <w:instrText xml:space="preserve"> PAGEREF _Toc31317 \h </w:instrText>
      </w:r>
      <w:r>
        <w:fldChar w:fldCharType="separate"/>
      </w:r>
      <w:r>
        <w:t>11</w:t>
      </w:r>
      <w:r>
        <w:fldChar w:fldCharType="end"/>
      </w:r>
      <w:r>
        <w:fldChar w:fldCharType="end"/>
      </w:r>
    </w:p>
    <w:p w14:paraId="586C2A07">
      <w:pPr>
        <w:pStyle w:val="13"/>
        <w:tabs>
          <w:tab w:val="right" w:leader="dot" w:pos="9071"/>
          <w:tab w:val="clear" w:pos="1100"/>
          <w:tab w:val="clear" w:pos="9061"/>
        </w:tabs>
      </w:pPr>
      <w:r>
        <w:fldChar w:fldCharType="begin"/>
      </w:r>
      <w:r>
        <w:instrText xml:space="preserve"> HYPERLINK \l "_Toc1228" </w:instrText>
      </w:r>
      <w:r>
        <w:fldChar w:fldCharType="separate"/>
      </w:r>
      <w:r>
        <w:t>2.3 循环神经网络相关模型</w:t>
      </w:r>
      <w:r>
        <w:tab/>
      </w:r>
      <w:r>
        <w:fldChar w:fldCharType="begin"/>
      </w:r>
      <w:r>
        <w:instrText xml:space="preserve"> PAGEREF _Toc1228 \h </w:instrText>
      </w:r>
      <w:r>
        <w:fldChar w:fldCharType="separate"/>
      </w:r>
      <w:r>
        <w:t>11</w:t>
      </w:r>
      <w:r>
        <w:fldChar w:fldCharType="end"/>
      </w:r>
      <w:r>
        <w:fldChar w:fldCharType="end"/>
      </w:r>
    </w:p>
    <w:p w14:paraId="4895453B">
      <w:pPr>
        <w:pStyle w:val="9"/>
        <w:tabs>
          <w:tab w:val="right" w:leader="dot" w:pos="9071"/>
        </w:tabs>
      </w:pPr>
      <w:r>
        <w:fldChar w:fldCharType="begin"/>
      </w:r>
      <w:r>
        <w:instrText xml:space="preserve"> HYPERLINK \l "_Toc19793" </w:instrText>
      </w:r>
      <w:r>
        <w:fldChar w:fldCharType="separate"/>
      </w:r>
      <w:r>
        <w:t>2.3.1 循环神经网络（RNN）</w:t>
      </w:r>
      <w:r>
        <w:tab/>
      </w:r>
      <w:r>
        <w:fldChar w:fldCharType="begin"/>
      </w:r>
      <w:r>
        <w:instrText xml:space="preserve"> PAGEREF _Toc19793 \h </w:instrText>
      </w:r>
      <w:r>
        <w:fldChar w:fldCharType="separate"/>
      </w:r>
      <w:r>
        <w:t>11</w:t>
      </w:r>
      <w:r>
        <w:fldChar w:fldCharType="end"/>
      </w:r>
      <w:r>
        <w:fldChar w:fldCharType="end"/>
      </w:r>
    </w:p>
    <w:p w14:paraId="218DB77C">
      <w:pPr>
        <w:pStyle w:val="9"/>
        <w:tabs>
          <w:tab w:val="right" w:leader="dot" w:pos="9071"/>
        </w:tabs>
      </w:pPr>
      <w:r>
        <w:fldChar w:fldCharType="begin"/>
      </w:r>
      <w:r>
        <w:instrText xml:space="preserve"> HYPERLINK \l "_Toc1526" </w:instrText>
      </w:r>
      <w:r>
        <w:fldChar w:fldCharType="separate"/>
      </w:r>
      <w:r>
        <w:t>2.3.2 长短期记忆网络（LSTM）</w:t>
      </w:r>
      <w:r>
        <w:tab/>
      </w:r>
      <w:r>
        <w:fldChar w:fldCharType="begin"/>
      </w:r>
      <w:r>
        <w:instrText xml:space="preserve"> PAGEREF _Toc1526 \h </w:instrText>
      </w:r>
      <w:r>
        <w:fldChar w:fldCharType="separate"/>
      </w:r>
      <w:r>
        <w:t>13</w:t>
      </w:r>
      <w:r>
        <w:fldChar w:fldCharType="end"/>
      </w:r>
      <w:r>
        <w:fldChar w:fldCharType="end"/>
      </w:r>
    </w:p>
    <w:p w14:paraId="54C4DBB9">
      <w:pPr>
        <w:pStyle w:val="9"/>
        <w:tabs>
          <w:tab w:val="right" w:leader="dot" w:pos="9071"/>
        </w:tabs>
      </w:pPr>
      <w:r>
        <w:fldChar w:fldCharType="begin"/>
      </w:r>
      <w:r>
        <w:instrText xml:space="preserve"> HYPERLINK \l "_Toc1949" </w:instrText>
      </w:r>
      <w:r>
        <w:fldChar w:fldCharType="separate"/>
      </w:r>
      <w:r>
        <w:t>2.3.3 门控循环单元（GRU）</w:t>
      </w:r>
      <w:r>
        <w:tab/>
      </w:r>
      <w:r>
        <w:fldChar w:fldCharType="begin"/>
      </w:r>
      <w:r>
        <w:instrText xml:space="preserve"> PAGEREF _Toc1949 \h </w:instrText>
      </w:r>
      <w:r>
        <w:fldChar w:fldCharType="separate"/>
      </w:r>
      <w:r>
        <w:t>15</w:t>
      </w:r>
      <w:r>
        <w:fldChar w:fldCharType="end"/>
      </w:r>
      <w:r>
        <w:fldChar w:fldCharType="end"/>
      </w:r>
    </w:p>
    <w:p w14:paraId="1F2E3395">
      <w:pPr>
        <w:pStyle w:val="9"/>
        <w:tabs>
          <w:tab w:val="right" w:leader="dot" w:pos="9071"/>
        </w:tabs>
      </w:pPr>
      <w:r>
        <w:fldChar w:fldCharType="begin"/>
      </w:r>
      <w:r>
        <w:instrText xml:space="preserve"> HYPERLINK \l "_Toc6480" </w:instrText>
      </w:r>
      <w:r>
        <w:fldChar w:fldCharType="separate"/>
      </w:r>
      <w:r>
        <w:t>2.3.4 双向门控循环单元（BiGRU）</w:t>
      </w:r>
      <w:r>
        <w:tab/>
      </w:r>
      <w:r>
        <w:fldChar w:fldCharType="begin"/>
      </w:r>
      <w:r>
        <w:instrText xml:space="preserve"> PAGEREF _Toc6480 \h </w:instrText>
      </w:r>
      <w:r>
        <w:fldChar w:fldCharType="separate"/>
      </w:r>
      <w:r>
        <w:t>16</w:t>
      </w:r>
      <w:r>
        <w:fldChar w:fldCharType="end"/>
      </w:r>
      <w:r>
        <w:fldChar w:fldCharType="end"/>
      </w:r>
    </w:p>
    <w:p w14:paraId="4A7D99C5">
      <w:pPr>
        <w:pStyle w:val="13"/>
        <w:tabs>
          <w:tab w:val="right" w:leader="dot" w:pos="9071"/>
          <w:tab w:val="clear" w:pos="1100"/>
          <w:tab w:val="clear" w:pos="9061"/>
        </w:tabs>
      </w:pPr>
      <w:r>
        <w:fldChar w:fldCharType="begin"/>
      </w:r>
      <w:r>
        <w:instrText xml:space="preserve"> HYPERLINK \l "_Toc5100" </w:instrText>
      </w:r>
      <w:r>
        <w:fldChar w:fldCharType="separate"/>
      </w:r>
      <w:r>
        <w:t>2.4 数据预处理技术</w:t>
      </w:r>
      <w:r>
        <w:tab/>
      </w:r>
      <w:r>
        <w:fldChar w:fldCharType="begin"/>
      </w:r>
      <w:r>
        <w:instrText xml:space="preserve"> PAGEREF _Toc5100 \h </w:instrText>
      </w:r>
      <w:r>
        <w:fldChar w:fldCharType="separate"/>
      </w:r>
      <w:r>
        <w:t>18</w:t>
      </w:r>
      <w:r>
        <w:fldChar w:fldCharType="end"/>
      </w:r>
      <w:r>
        <w:fldChar w:fldCharType="end"/>
      </w:r>
    </w:p>
    <w:p w14:paraId="4F80EEB6">
      <w:pPr>
        <w:pStyle w:val="9"/>
        <w:tabs>
          <w:tab w:val="right" w:leader="dot" w:pos="9071"/>
        </w:tabs>
      </w:pPr>
      <w:r>
        <w:fldChar w:fldCharType="begin"/>
      </w:r>
      <w:r>
        <w:instrText xml:space="preserve"> HYPERLINK \l "_Toc31212" </w:instrText>
      </w:r>
      <w:r>
        <w:fldChar w:fldCharType="separate"/>
      </w:r>
      <w:r>
        <w:t>2.4.1 数据清洗</w:t>
      </w:r>
      <w:r>
        <w:tab/>
      </w:r>
      <w:r>
        <w:fldChar w:fldCharType="begin"/>
      </w:r>
      <w:r>
        <w:instrText xml:space="preserve"> PAGEREF _Toc31212 \h </w:instrText>
      </w:r>
      <w:r>
        <w:fldChar w:fldCharType="separate"/>
      </w:r>
      <w:r>
        <w:t>18</w:t>
      </w:r>
      <w:r>
        <w:fldChar w:fldCharType="end"/>
      </w:r>
      <w:r>
        <w:fldChar w:fldCharType="end"/>
      </w:r>
    </w:p>
    <w:p w14:paraId="20529549">
      <w:pPr>
        <w:pStyle w:val="9"/>
        <w:tabs>
          <w:tab w:val="right" w:leader="dot" w:pos="9071"/>
        </w:tabs>
      </w:pPr>
      <w:r>
        <w:fldChar w:fldCharType="begin"/>
      </w:r>
      <w:r>
        <w:instrText xml:space="preserve"> HYPERLINK \l "_Toc22435" </w:instrText>
      </w:r>
      <w:r>
        <w:fldChar w:fldCharType="separate"/>
      </w:r>
      <w:r>
        <w:t>2.4.2 数据归一化</w:t>
      </w:r>
      <w:r>
        <w:tab/>
      </w:r>
      <w:r>
        <w:fldChar w:fldCharType="begin"/>
      </w:r>
      <w:r>
        <w:instrText xml:space="preserve"> PAGEREF _Toc22435 \h </w:instrText>
      </w:r>
      <w:r>
        <w:fldChar w:fldCharType="separate"/>
      </w:r>
      <w:r>
        <w:t>18</w:t>
      </w:r>
      <w:r>
        <w:fldChar w:fldCharType="end"/>
      </w:r>
      <w:r>
        <w:fldChar w:fldCharType="end"/>
      </w:r>
    </w:p>
    <w:p w14:paraId="1B35CAD8">
      <w:pPr>
        <w:pStyle w:val="12"/>
        <w:tabs>
          <w:tab w:val="right" w:leader="dot" w:pos="9071"/>
        </w:tabs>
        <w:spacing w:line="324" w:lineRule="auto"/>
        <w:rPr>
          <w:rFonts w:hint="eastAsia" w:ascii="黑体" w:hAnsi="黑体" w:eastAsia="黑体"/>
          <w:b/>
          <w:bCs/>
          <w:sz w:val="24"/>
        </w:rPr>
      </w:pPr>
      <w:r>
        <w:fldChar w:fldCharType="begin"/>
      </w:r>
      <w:r>
        <w:instrText xml:space="preserve"> HYPERLINK \l "_Toc7109" </w:instrText>
      </w:r>
      <w:r>
        <w:fldChar w:fldCharType="separate"/>
      </w:r>
      <w:r>
        <w:rPr>
          <w:rFonts w:eastAsia="黑体"/>
          <w:b/>
          <w:bCs/>
          <w:sz w:val="24"/>
        </w:rPr>
        <w:t>3</w:t>
      </w:r>
      <w:r>
        <w:rPr>
          <w:rFonts w:ascii="黑体" w:hAnsi="黑体" w:eastAsia="黑体"/>
          <w:b/>
          <w:bCs/>
          <w:sz w:val="24"/>
        </w:rPr>
        <w:t xml:space="preserve"> </w:t>
      </w:r>
      <w:r>
        <w:rPr>
          <w:rFonts w:hint="eastAsia" w:ascii="黑体" w:hAnsi="黑体" w:eastAsia="黑体"/>
          <w:b/>
          <w:bCs/>
          <w:sz w:val="24"/>
        </w:rPr>
        <w:t xml:space="preserve">基于 </w:t>
      </w:r>
      <w:r>
        <w:rPr>
          <w:rFonts w:hint="eastAsia" w:eastAsia="黑体"/>
          <w:b/>
          <w:bCs/>
          <w:sz w:val="24"/>
        </w:rPr>
        <w:t>EMD</w:t>
      </w:r>
      <w:r>
        <w:rPr>
          <w:rFonts w:hint="eastAsia" w:ascii="黑体" w:hAnsi="黑体" w:eastAsia="黑体"/>
          <w:b/>
          <w:bCs/>
          <w:sz w:val="24"/>
        </w:rPr>
        <w:t>-</w:t>
      </w:r>
      <w:r>
        <w:rPr>
          <w:rFonts w:hint="eastAsia" w:eastAsia="黑体"/>
          <w:b/>
          <w:bCs/>
          <w:sz w:val="24"/>
        </w:rPr>
        <w:t>BiGRU</w:t>
      </w:r>
      <w:r>
        <w:rPr>
          <w:rFonts w:hint="eastAsia" w:ascii="黑体" w:hAnsi="黑体" w:eastAsia="黑体"/>
          <w:b/>
          <w:bCs/>
          <w:sz w:val="24"/>
        </w:rPr>
        <w:t xml:space="preserve"> 的光伏功率预测模型设计</w:t>
      </w:r>
      <w:r>
        <w:rPr>
          <w:rFonts w:hint="eastAsia" w:ascii="黑体" w:hAnsi="黑体" w:eastAsia="黑体"/>
          <w:b/>
          <w:bCs/>
          <w:sz w:val="24"/>
        </w:rPr>
        <w:tab/>
      </w:r>
      <w:r>
        <w:rPr>
          <w:rFonts w:hint="eastAsia" w:ascii="黑体" w:hAnsi="黑体" w:eastAsia="黑体"/>
          <w:b/>
          <w:bCs/>
          <w:sz w:val="24"/>
        </w:rPr>
        <w:fldChar w:fldCharType="begin"/>
      </w:r>
      <w:r>
        <w:rPr>
          <w:rFonts w:hint="eastAsia" w:ascii="黑体" w:hAnsi="黑体" w:eastAsia="黑体"/>
          <w:b/>
          <w:bCs/>
          <w:sz w:val="24"/>
        </w:rPr>
        <w:instrText xml:space="preserve"> PAGEREF _Toc7109 \h </w:instrText>
      </w:r>
      <w:r>
        <w:rPr>
          <w:rFonts w:hint="eastAsia" w:ascii="黑体" w:hAnsi="黑体" w:eastAsia="黑体"/>
          <w:b/>
          <w:bCs/>
          <w:sz w:val="24"/>
        </w:rPr>
        <w:fldChar w:fldCharType="separate"/>
      </w:r>
      <w:r>
        <w:rPr>
          <w:rFonts w:hint="eastAsia" w:eastAsia="黑体"/>
          <w:b/>
          <w:bCs/>
          <w:sz w:val="24"/>
        </w:rPr>
        <w:t>20</w:t>
      </w:r>
      <w:r>
        <w:rPr>
          <w:rFonts w:hint="eastAsia" w:ascii="黑体" w:hAnsi="黑体" w:eastAsia="黑体"/>
          <w:b/>
          <w:bCs/>
          <w:sz w:val="24"/>
        </w:rPr>
        <w:fldChar w:fldCharType="end"/>
      </w:r>
      <w:r>
        <w:rPr>
          <w:rFonts w:hint="eastAsia" w:ascii="黑体" w:hAnsi="黑体" w:eastAsia="黑体"/>
          <w:b/>
          <w:bCs/>
          <w:sz w:val="24"/>
        </w:rPr>
        <w:fldChar w:fldCharType="end"/>
      </w:r>
    </w:p>
    <w:p w14:paraId="79B37238">
      <w:pPr>
        <w:pStyle w:val="13"/>
        <w:tabs>
          <w:tab w:val="right" w:leader="dot" w:pos="9071"/>
          <w:tab w:val="clear" w:pos="1100"/>
          <w:tab w:val="clear" w:pos="9061"/>
        </w:tabs>
      </w:pPr>
      <w:r>
        <w:fldChar w:fldCharType="begin"/>
      </w:r>
      <w:r>
        <w:instrText xml:space="preserve"> HYPERLINK \l "_Toc21050" </w:instrText>
      </w:r>
      <w:r>
        <w:fldChar w:fldCharType="separate"/>
      </w:r>
      <w:r>
        <w:t>3.1 模型整体框架</w:t>
      </w:r>
      <w:r>
        <w:tab/>
      </w:r>
      <w:r>
        <w:fldChar w:fldCharType="begin"/>
      </w:r>
      <w:r>
        <w:instrText xml:space="preserve"> PAGEREF _Toc21050 \h </w:instrText>
      </w:r>
      <w:r>
        <w:fldChar w:fldCharType="separate"/>
      </w:r>
      <w:r>
        <w:t>20</w:t>
      </w:r>
      <w:r>
        <w:fldChar w:fldCharType="end"/>
      </w:r>
      <w:r>
        <w:fldChar w:fldCharType="end"/>
      </w:r>
    </w:p>
    <w:p w14:paraId="7431BF8F">
      <w:pPr>
        <w:pStyle w:val="13"/>
        <w:tabs>
          <w:tab w:val="right" w:leader="dot" w:pos="9071"/>
          <w:tab w:val="clear" w:pos="1100"/>
          <w:tab w:val="clear" w:pos="9061"/>
        </w:tabs>
      </w:pPr>
      <w:r>
        <w:fldChar w:fldCharType="begin"/>
      </w:r>
      <w:r>
        <w:instrText xml:space="preserve"> HYPERLINK \l "_Toc5690" </w:instrText>
      </w:r>
      <w:r>
        <w:fldChar w:fldCharType="separate"/>
      </w:r>
      <w:r>
        <w:t>3.2 数据处理流程</w:t>
      </w:r>
      <w:r>
        <w:tab/>
      </w:r>
      <w:r>
        <w:fldChar w:fldCharType="begin"/>
      </w:r>
      <w:r>
        <w:instrText xml:space="preserve"> PAGEREF _Toc5690 \h </w:instrText>
      </w:r>
      <w:r>
        <w:fldChar w:fldCharType="separate"/>
      </w:r>
      <w:r>
        <w:t>21</w:t>
      </w:r>
      <w:r>
        <w:fldChar w:fldCharType="end"/>
      </w:r>
      <w:r>
        <w:fldChar w:fldCharType="end"/>
      </w:r>
    </w:p>
    <w:p w14:paraId="338EBC79">
      <w:pPr>
        <w:pStyle w:val="13"/>
        <w:tabs>
          <w:tab w:val="right" w:leader="dot" w:pos="9071"/>
          <w:tab w:val="clear" w:pos="1100"/>
          <w:tab w:val="clear" w:pos="9061"/>
        </w:tabs>
      </w:pPr>
      <w:r>
        <w:fldChar w:fldCharType="begin"/>
      </w:r>
      <w:r>
        <w:instrText xml:space="preserve"> HYPERLINK \l "_Toc1103" </w:instrText>
      </w:r>
      <w:r>
        <w:fldChar w:fldCharType="separate"/>
      </w:r>
      <w:r>
        <w:t>3.3 时序数据的滑动窗口转换机制</w:t>
      </w:r>
      <w:r>
        <w:tab/>
      </w:r>
      <w:r>
        <w:fldChar w:fldCharType="begin"/>
      </w:r>
      <w:r>
        <w:instrText xml:space="preserve"> PAGEREF _Toc1103 \h </w:instrText>
      </w:r>
      <w:r>
        <w:fldChar w:fldCharType="separate"/>
      </w:r>
      <w:r>
        <w:t>22</w:t>
      </w:r>
      <w:r>
        <w:fldChar w:fldCharType="end"/>
      </w:r>
      <w:r>
        <w:fldChar w:fldCharType="end"/>
      </w:r>
    </w:p>
    <w:p w14:paraId="05E13A9D">
      <w:pPr>
        <w:pStyle w:val="13"/>
        <w:tabs>
          <w:tab w:val="right" w:leader="dot" w:pos="9071"/>
          <w:tab w:val="clear" w:pos="1100"/>
          <w:tab w:val="clear" w:pos="9061"/>
        </w:tabs>
      </w:pPr>
      <w:r>
        <w:fldChar w:fldCharType="begin"/>
      </w:r>
      <w:r>
        <w:instrText xml:space="preserve"> HYPERLINK \l "_Toc31552" </w:instrText>
      </w:r>
      <w:r>
        <w:fldChar w:fldCharType="separate"/>
      </w:r>
      <w:r>
        <w:t>3.4 损失函数设计与网络参数寻优</w:t>
      </w:r>
      <w:r>
        <w:tab/>
      </w:r>
      <w:r>
        <w:fldChar w:fldCharType="begin"/>
      </w:r>
      <w:r>
        <w:instrText xml:space="preserve"> PAGEREF _Toc31552 \h </w:instrText>
      </w:r>
      <w:r>
        <w:fldChar w:fldCharType="separate"/>
      </w:r>
      <w:r>
        <w:t>23</w:t>
      </w:r>
      <w:r>
        <w:fldChar w:fldCharType="end"/>
      </w:r>
      <w:r>
        <w:fldChar w:fldCharType="end"/>
      </w:r>
    </w:p>
    <w:p w14:paraId="2C92458B">
      <w:pPr>
        <w:pStyle w:val="13"/>
        <w:tabs>
          <w:tab w:val="right" w:leader="dot" w:pos="9071"/>
          <w:tab w:val="clear" w:pos="1100"/>
          <w:tab w:val="clear" w:pos="9061"/>
        </w:tabs>
      </w:pPr>
      <w:r>
        <w:fldChar w:fldCharType="begin"/>
      </w:r>
      <w:r>
        <w:instrText xml:space="preserve"> HYPERLINK \l "_Toc17548" </w:instrText>
      </w:r>
      <w:r>
        <w:fldChar w:fldCharType="separate"/>
      </w:r>
      <w:r>
        <w:t>3.5 EMD 分解实现</w:t>
      </w:r>
      <w:r>
        <w:tab/>
      </w:r>
      <w:r>
        <w:fldChar w:fldCharType="begin"/>
      </w:r>
      <w:r>
        <w:instrText xml:space="preserve"> PAGEREF _Toc17548 \h </w:instrText>
      </w:r>
      <w:r>
        <w:fldChar w:fldCharType="separate"/>
      </w:r>
      <w:r>
        <w:t>24</w:t>
      </w:r>
      <w:r>
        <w:fldChar w:fldCharType="end"/>
      </w:r>
      <w:r>
        <w:fldChar w:fldCharType="end"/>
      </w:r>
    </w:p>
    <w:p w14:paraId="0282BB4B">
      <w:pPr>
        <w:pStyle w:val="13"/>
        <w:tabs>
          <w:tab w:val="right" w:leader="dot" w:pos="9071"/>
          <w:tab w:val="clear" w:pos="1100"/>
          <w:tab w:val="clear" w:pos="9061"/>
        </w:tabs>
      </w:pPr>
      <w:r>
        <w:fldChar w:fldCharType="begin"/>
      </w:r>
      <w:r>
        <w:instrText xml:space="preserve"> HYPERLINK \l "_Toc18750" </w:instrText>
      </w:r>
      <w:r>
        <w:fldChar w:fldCharType="separate"/>
      </w:r>
      <w:r>
        <w:t>3.6 BiGRU 神经网络结构</w:t>
      </w:r>
      <w:r>
        <w:rPr>
          <w:rFonts w:hint="eastAsia"/>
        </w:rPr>
        <w:t>实现</w:t>
      </w:r>
      <w:r>
        <w:tab/>
      </w:r>
      <w:r>
        <w:fldChar w:fldCharType="begin"/>
      </w:r>
      <w:r>
        <w:instrText xml:space="preserve"> PAGEREF _Toc18750 \h </w:instrText>
      </w:r>
      <w:r>
        <w:fldChar w:fldCharType="separate"/>
      </w:r>
      <w:r>
        <w:t>24</w:t>
      </w:r>
      <w:r>
        <w:fldChar w:fldCharType="end"/>
      </w:r>
      <w:r>
        <w:fldChar w:fldCharType="end"/>
      </w:r>
    </w:p>
    <w:p w14:paraId="6C57DEE5">
      <w:pPr>
        <w:pStyle w:val="9"/>
        <w:tabs>
          <w:tab w:val="right" w:leader="dot" w:pos="9071"/>
        </w:tabs>
      </w:pPr>
      <w:r>
        <w:fldChar w:fldCharType="begin"/>
      </w:r>
      <w:r>
        <w:instrText xml:space="preserve"> HYPERLINK \l "_Toc6295" </w:instrText>
      </w:r>
      <w:r>
        <w:fldChar w:fldCharType="separate"/>
      </w:r>
      <w:r>
        <w:t>3.6.1 网络整体结构</w:t>
      </w:r>
      <w:r>
        <w:tab/>
      </w:r>
      <w:r>
        <w:fldChar w:fldCharType="begin"/>
      </w:r>
      <w:r>
        <w:instrText xml:space="preserve"> PAGEREF _Toc6295 \h </w:instrText>
      </w:r>
      <w:r>
        <w:fldChar w:fldCharType="separate"/>
      </w:r>
      <w:r>
        <w:t>24</w:t>
      </w:r>
      <w:r>
        <w:fldChar w:fldCharType="end"/>
      </w:r>
      <w:r>
        <w:fldChar w:fldCharType="end"/>
      </w:r>
    </w:p>
    <w:p w14:paraId="020EEF4F">
      <w:pPr>
        <w:pStyle w:val="9"/>
        <w:tabs>
          <w:tab w:val="right" w:leader="dot" w:pos="9071"/>
        </w:tabs>
      </w:pPr>
      <w:r>
        <w:fldChar w:fldCharType="begin"/>
      </w:r>
      <w:r>
        <w:instrText xml:space="preserve"> HYPERLINK \l "_Toc21681" </w:instrText>
      </w:r>
      <w:r>
        <w:fldChar w:fldCharType="separate"/>
      </w:r>
      <w:r>
        <w:t>3.6.2 神经元与层数设置</w:t>
      </w:r>
      <w:r>
        <w:tab/>
      </w:r>
      <w:r>
        <w:fldChar w:fldCharType="begin"/>
      </w:r>
      <w:r>
        <w:instrText xml:space="preserve"> PAGEREF _Toc21681 \h </w:instrText>
      </w:r>
      <w:r>
        <w:fldChar w:fldCharType="separate"/>
      </w:r>
      <w:r>
        <w:t>25</w:t>
      </w:r>
      <w:r>
        <w:fldChar w:fldCharType="end"/>
      </w:r>
      <w:r>
        <w:fldChar w:fldCharType="end"/>
      </w:r>
    </w:p>
    <w:p w14:paraId="11FF5456">
      <w:pPr>
        <w:pStyle w:val="13"/>
        <w:tabs>
          <w:tab w:val="right" w:leader="dot" w:pos="9071"/>
          <w:tab w:val="clear" w:pos="1100"/>
          <w:tab w:val="clear" w:pos="9061"/>
        </w:tabs>
      </w:pPr>
      <w:r>
        <w:fldChar w:fldCharType="begin"/>
      </w:r>
      <w:r>
        <w:instrText xml:space="preserve"> HYPERLINK \l "_Toc6817" </w:instrText>
      </w:r>
      <w:r>
        <w:fldChar w:fldCharType="separate"/>
      </w:r>
      <w:r>
        <w:t>3.7 模型训练与参数优化</w:t>
      </w:r>
      <w:r>
        <w:tab/>
      </w:r>
      <w:r>
        <w:fldChar w:fldCharType="begin"/>
      </w:r>
      <w:r>
        <w:instrText xml:space="preserve"> PAGEREF _Toc6817 \h </w:instrText>
      </w:r>
      <w:r>
        <w:fldChar w:fldCharType="separate"/>
      </w:r>
      <w:r>
        <w:t>26</w:t>
      </w:r>
      <w:r>
        <w:fldChar w:fldCharType="end"/>
      </w:r>
      <w:r>
        <w:fldChar w:fldCharType="end"/>
      </w:r>
    </w:p>
    <w:p w14:paraId="0B532849">
      <w:pPr>
        <w:pStyle w:val="9"/>
        <w:tabs>
          <w:tab w:val="right" w:leader="dot" w:pos="9071"/>
        </w:tabs>
      </w:pPr>
      <w:r>
        <w:fldChar w:fldCharType="begin"/>
      </w:r>
      <w:r>
        <w:instrText xml:space="preserve"> HYPERLINK \l "_Toc12299" </w:instrText>
      </w:r>
      <w:r>
        <w:fldChar w:fldCharType="separate"/>
      </w:r>
      <w:r>
        <w:t>3.7.1 模型训练流程</w:t>
      </w:r>
      <w:r>
        <w:tab/>
      </w:r>
      <w:r>
        <w:fldChar w:fldCharType="begin"/>
      </w:r>
      <w:r>
        <w:instrText xml:space="preserve"> PAGEREF _Toc12299 \h </w:instrText>
      </w:r>
      <w:r>
        <w:fldChar w:fldCharType="separate"/>
      </w:r>
      <w:r>
        <w:t>26</w:t>
      </w:r>
      <w:r>
        <w:fldChar w:fldCharType="end"/>
      </w:r>
      <w:r>
        <w:fldChar w:fldCharType="end"/>
      </w:r>
    </w:p>
    <w:p w14:paraId="103D361D">
      <w:pPr>
        <w:pStyle w:val="9"/>
        <w:tabs>
          <w:tab w:val="right" w:leader="dot" w:pos="9071"/>
        </w:tabs>
      </w:pPr>
      <w:r>
        <w:fldChar w:fldCharType="begin"/>
      </w:r>
      <w:r>
        <w:instrText xml:space="preserve"> HYPERLINK \l "_Toc30800" </w:instrText>
      </w:r>
      <w:r>
        <w:fldChar w:fldCharType="separate"/>
      </w:r>
      <w:r>
        <w:t>3.7.2 超参数选择依据</w:t>
      </w:r>
      <w:r>
        <w:tab/>
      </w:r>
      <w:r>
        <w:fldChar w:fldCharType="begin"/>
      </w:r>
      <w:r>
        <w:instrText xml:space="preserve"> PAGEREF _Toc30800 \h </w:instrText>
      </w:r>
      <w:r>
        <w:fldChar w:fldCharType="separate"/>
      </w:r>
      <w:r>
        <w:t>27</w:t>
      </w:r>
      <w:r>
        <w:fldChar w:fldCharType="end"/>
      </w:r>
      <w:r>
        <w:fldChar w:fldCharType="end"/>
      </w:r>
    </w:p>
    <w:p w14:paraId="1751B5DA">
      <w:pPr>
        <w:pStyle w:val="9"/>
        <w:tabs>
          <w:tab w:val="right" w:leader="dot" w:pos="9071"/>
        </w:tabs>
      </w:pPr>
      <w:r>
        <w:fldChar w:fldCharType="begin"/>
      </w:r>
      <w:r>
        <w:instrText xml:space="preserve"> HYPERLINK \l "_Toc2919" </w:instrText>
      </w:r>
      <w:r>
        <w:fldChar w:fldCharType="separate"/>
      </w:r>
      <w:r>
        <w:t>3.7.3 预测与结果融合</w:t>
      </w:r>
      <w:r>
        <w:tab/>
      </w:r>
      <w:r>
        <w:fldChar w:fldCharType="begin"/>
      </w:r>
      <w:r>
        <w:instrText xml:space="preserve"> PAGEREF _Toc2919 \h </w:instrText>
      </w:r>
      <w:r>
        <w:fldChar w:fldCharType="separate"/>
      </w:r>
      <w:r>
        <w:t>28</w:t>
      </w:r>
      <w:r>
        <w:fldChar w:fldCharType="end"/>
      </w:r>
      <w:r>
        <w:fldChar w:fldCharType="end"/>
      </w:r>
    </w:p>
    <w:p w14:paraId="34BA3254">
      <w:pPr>
        <w:pStyle w:val="12"/>
        <w:tabs>
          <w:tab w:val="right" w:leader="dot" w:pos="9071"/>
        </w:tabs>
        <w:spacing w:line="324" w:lineRule="auto"/>
        <w:rPr>
          <w:rFonts w:hint="eastAsia" w:ascii="黑体" w:hAnsi="黑体" w:eastAsia="黑体"/>
          <w:b/>
          <w:bCs/>
          <w:sz w:val="24"/>
        </w:rPr>
      </w:pPr>
      <w:r>
        <w:fldChar w:fldCharType="begin"/>
      </w:r>
      <w:r>
        <w:instrText xml:space="preserve"> HYPERLINK \l "_Toc3484" </w:instrText>
      </w:r>
      <w:r>
        <w:fldChar w:fldCharType="separate"/>
      </w:r>
      <w:r>
        <w:rPr>
          <w:rFonts w:hint="eastAsia" w:eastAsia="黑体"/>
          <w:b/>
          <w:bCs/>
          <w:sz w:val="24"/>
        </w:rPr>
        <w:t>4</w:t>
      </w:r>
      <w:r>
        <w:rPr>
          <w:rFonts w:ascii="黑体" w:hAnsi="黑体" w:eastAsia="黑体"/>
          <w:b/>
          <w:bCs/>
          <w:sz w:val="24"/>
        </w:rPr>
        <w:t xml:space="preserve"> </w:t>
      </w:r>
      <w:r>
        <w:rPr>
          <w:rFonts w:hint="eastAsia" w:ascii="黑体" w:hAnsi="黑体" w:eastAsia="黑体"/>
          <w:b/>
          <w:bCs/>
          <w:sz w:val="24"/>
        </w:rPr>
        <w:t>实验结果与分析</w:t>
      </w:r>
      <w:r>
        <w:rPr>
          <w:rFonts w:hint="eastAsia" w:ascii="黑体" w:hAnsi="黑体" w:eastAsia="黑体"/>
          <w:b/>
          <w:bCs/>
          <w:sz w:val="24"/>
        </w:rPr>
        <w:tab/>
      </w:r>
      <w:r>
        <w:rPr>
          <w:rFonts w:hint="eastAsia" w:ascii="黑体" w:hAnsi="黑体" w:eastAsia="黑体"/>
          <w:b/>
          <w:bCs/>
          <w:sz w:val="24"/>
        </w:rPr>
        <w:fldChar w:fldCharType="begin"/>
      </w:r>
      <w:r>
        <w:rPr>
          <w:rFonts w:hint="eastAsia" w:ascii="黑体" w:hAnsi="黑体" w:eastAsia="黑体"/>
          <w:b/>
          <w:bCs/>
          <w:sz w:val="24"/>
        </w:rPr>
        <w:instrText xml:space="preserve"> PAGEREF _Toc3484 \h </w:instrText>
      </w:r>
      <w:r>
        <w:rPr>
          <w:rFonts w:hint="eastAsia" w:ascii="黑体" w:hAnsi="黑体" w:eastAsia="黑体"/>
          <w:b/>
          <w:bCs/>
          <w:sz w:val="24"/>
        </w:rPr>
        <w:fldChar w:fldCharType="separate"/>
      </w:r>
      <w:r>
        <w:rPr>
          <w:rFonts w:hint="eastAsia" w:eastAsia="黑体"/>
          <w:b/>
          <w:bCs/>
          <w:sz w:val="24"/>
        </w:rPr>
        <w:t>28</w:t>
      </w:r>
      <w:r>
        <w:rPr>
          <w:rFonts w:hint="eastAsia" w:ascii="黑体" w:hAnsi="黑体" w:eastAsia="黑体"/>
          <w:b/>
          <w:bCs/>
          <w:sz w:val="24"/>
        </w:rPr>
        <w:fldChar w:fldCharType="end"/>
      </w:r>
      <w:r>
        <w:rPr>
          <w:rFonts w:hint="eastAsia" w:ascii="黑体" w:hAnsi="黑体" w:eastAsia="黑体"/>
          <w:b/>
          <w:bCs/>
          <w:sz w:val="24"/>
        </w:rPr>
        <w:fldChar w:fldCharType="end"/>
      </w:r>
    </w:p>
    <w:p w14:paraId="66299AF4">
      <w:pPr>
        <w:pStyle w:val="13"/>
        <w:tabs>
          <w:tab w:val="right" w:leader="dot" w:pos="9071"/>
          <w:tab w:val="clear" w:pos="1100"/>
          <w:tab w:val="clear" w:pos="9061"/>
        </w:tabs>
      </w:pPr>
      <w:r>
        <w:fldChar w:fldCharType="begin"/>
      </w:r>
      <w:r>
        <w:instrText xml:space="preserve"> HYPERLINK \l "_Toc7871" </w:instrText>
      </w:r>
      <w:r>
        <w:fldChar w:fldCharType="separate"/>
      </w:r>
      <w:r>
        <w:rPr>
          <w:rFonts w:hint="eastAsia"/>
        </w:rPr>
        <w:t>4</w:t>
      </w:r>
      <w:r>
        <w:t>.1 实验设计与评价指标</w:t>
      </w:r>
      <w:r>
        <w:tab/>
      </w:r>
      <w:r>
        <w:fldChar w:fldCharType="begin"/>
      </w:r>
      <w:r>
        <w:instrText xml:space="preserve"> PAGEREF _Toc7871 \h </w:instrText>
      </w:r>
      <w:r>
        <w:fldChar w:fldCharType="separate"/>
      </w:r>
      <w:r>
        <w:t>29</w:t>
      </w:r>
      <w:r>
        <w:fldChar w:fldCharType="end"/>
      </w:r>
      <w:r>
        <w:fldChar w:fldCharType="end"/>
      </w:r>
    </w:p>
    <w:p w14:paraId="652A65B2">
      <w:pPr>
        <w:pStyle w:val="13"/>
        <w:tabs>
          <w:tab w:val="right" w:leader="dot" w:pos="9071"/>
          <w:tab w:val="clear" w:pos="1100"/>
          <w:tab w:val="clear" w:pos="9061"/>
        </w:tabs>
      </w:pPr>
      <w:r>
        <w:fldChar w:fldCharType="begin"/>
      </w:r>
      <w:r>
        <w:instrText xml:space="preserve"> HYPERLINK \l "_Toc23296" </w:instrText>
      </w:r>
      <w:r>
        <w:fldChar w:fldCharType="separate"/>
      </w:r>
      <w:r>
        <w:rPr>
          <w:rFonts w:hint="eastAsia"/>
        </w:rPr>
        <w:t>4</w:t>
      </w:r>
      <w:r>
        <w:t>.2 各模型预测结果定量对比</w:t>
      </w:r>
      <w:r>
        <w:tab/>
      </w:r>
      <w:r>
        <w:fldChar w:fldCharType="begin"/>
      </w:r>
      <w:r>
        <w:instrText xml:space="preserve"> PAGEREF _Toc23296 \h </w:instrText>
      </w:r>
      <w:r>
        <w:fldChar w:fldCharType="separate"/>
      </w:r>
      <w:r>
        <w:t>32</w:t>
      </w:r>
      <w:r>
        <w:fldChar w:fldCharType="end"/>
      </w:r>
      <w:r>
        <w:fldChar w:fldCharType="end"/>
      </w:r>
    </w:p>
    <w:p w14:paraId="268C3C73">
      <w:pPr>
        <w:pStyle w:val="13"/>
        <w:tabs>
          <w:tab w:val="right" w:leader="dot" w:pos="9071"/>
          <w:tab w:val="clear" w:pos="1100"/>
          <w:tab w:val="clear" w:pos="9061"/>
        </w:tabs>
      </w:pPr>
      <w:r>
        <w:fldChar w:fldCharType="begin"/>
      </w:r>
      <w:r>
        <w:instrText xml:space="preserve"> HYPERLINK \l "_Toc17843" </w:instrText>
      </w:r>
      <w:r>
        <w:fldChar w:fldCharType="separate"/>
      </w:r>
      <w:r>
        <w:rPr>
          <w:rFonts w:hint="eastAsia"/>
        </w:rPr>
        <w:t>4</w:t>
      </w:r>
      <w:r>
        <w:t>.3 预测曲线对比分析</w:t>
      </w:r>
      <w:r>
        <w:tab/>
      </w:r>
      <w:r>
        <w:fldChar w:fldCharType="begin"/>
      </w:r>
      <w:r>
        <w:instrText xml:space="preserve"> PAGEREF _Toc17843 \h </w:instrText>
      </w:r>
      <w:r>
        <w:fldChar w:fldCharType="separate"/>
      </w:r>
      <w:r>
        <w:t>34</w:t>
      </w:r>
      <w:r>
        <w:fldChar w:fldCharType="end"/>
      </w:r>
      <w:r>
        <w:fldChar w:fldCharType="end"/>
      </w:r>
    </w:p>
    <w:p w14:paraId="6CF7D8FF">
      <w:pPr>
        <w:pStyle w:val="13"/>
        <w:tabs>
          <w:tab w:val="right" w:leader="dot" w:pos="9071"/>
          <w:tab w:val="clear" w:pos="1100"/>
          <w:tab w:val="clear" w:pos="9061"/>
        </w:tabs>
      </w:pPr>
      <w:r>
        <w:fldChar w:fldCharType="begin"/>
      </w:r>
      <w:r>
        <w:instrText xml:space="preserve"> HYPERLINK \l "_Toc7144" </w:instrText>
      </w:r>
      <w:r>
        <w:fldChar w:fldCharType="separate"/>
      </w:r>
      <w:r>
        <w:rPr>
          <w:rFonts w:hint="eastAsia"/>
        </w:rPr>
        <w:t>4</w:t>
      </w:r>
      <w:r>
        <w:t>.4 EMD 模态分解结果与物理机理映射</w:t>
      </w:r>
      <w:r>
        <w:tab/>
      </w:r>
      <w:r>
        <w:fldChar w:fldCharType="begin"/>
      </w:r>
      <w:r>
        <w:instrText xml:space="preserve"> PAGEREF _Toc7144 \h </w:instrText>
      </w:r>
      <w:r>
        <w:fldChar w:fldCharType="separate"/>
      </w:r>
      <w:r>
        <w:t>35</w:t>
      </w:r>
      <w:r>
        <w:fldChar w:fldCharType="end"/>
      </w:r>
      <w:r>
        <w:fldChar w:fldCharType="end"/>
      </w:r>
    </w:p>
    <w:p w14:paraId="7B4CAAF1">
      <w:pPr>
        <w:pStyle w:val="13"/>
        <w:tabs>
          <w:tab w:val="right" w:leader="dot" w:pos="9071"/>
          <w:tab w:val="clear" w:pos="1100"/>
          <w:tab w:val="clear" w:pos="9061"/>
        </w:tabs>
      </w:pPr>
      <w:r>
        <w:fldChar w:fldCharType="begin"/>
      </w:r>
      <w:r>
        <w:instrText xml:space="preserve"> HYPERLINK \l "_Toc14409" </w:instrText>
      </w:r>
      <w:r>
        <w:fldChar w:fldCharType="separate"/>
      </w:r>
      <w:r>
        <w:rPr>
          <w:rFonts w:hint="eastAsia"/>
        </w:rPr>
        <w:t>4</w:t>
      </w:r>
      <w:r>
        <w:t>.5 模型损失曲线分析</w:t>
      </w:r>
      <w:r>
        <w:tab/>
      </w:r>
      <w:r>
        <w:fldChar w:fldCharType="begin"/>
      </w:r>
      <w:r>
        <w:instrText xml:space="preserve"> PAGEREF _Toc14409 \h </w:instrText>
      </w:r>
      <w:r>
        <w:fldChar w:fldCharType="separate"/>
      </w:r>
      <w:r>
        <w:t>36</w:t>
      </w:r>
      <w:r>
        <w:fldChar w:fldCharType="end"/>
      </w:r>
      <w:r>
        <w:fldChar w:fldCharType="end"/>
      </w:r>
    </w:p>
    <w:p w14:paraId="4746C694">
      <w:pPr>
        <w:pStyle w:val="13"/>
        <w:tabs>
          <w:tab w:val="right" w:leader="dot" w:pos="9071"/>
          <w:tab w:val="clear" w:pos="1100"/>
          <w:tab w:val="clear" w:pos="9061"/>
        </w:tabs>
      </w:pPr>
      <w:r>
        <w:fldChar w:fldCharType="begin"/>
      </w:r>
      <w:r>
        <w:instrText xml:space="preserve"> HYPERLINK \l "_Toc8276" </w:instrText>
      </w:r>
      <w:r>
        <w:fldChar w:fldCharType="separate"/>
      </w:r>
      <w:r>
        <w:rPr>
          <w:rFonts w:hint="eastAsia"/>
        </w:rPr>
        <w:t>4</w:t>
      </w:r>
      <w:r>
        <w:t>.6 误差来源分析</w:t>
      </w:r>
      <w:r>
        <w:tab/>
      </w:r>
      <w:r>
        <w:fldChar w:fldCharType="begin"/>
      </w:r>
      <w:r>
        <w:instrText xml:space="preserve"> PAGEREF _Toc8276 \h </w:instrText>
      </w:r>
      <w:r>
        <w:fldChar w:fldCharType="separate"/>
      </w:r>
      <w:r>
        <w:t>36</w:t>
      </w:r>
      <w:r>
        <w:fldChar w:fldCharType="end"/>
      </w:r>
      <w:r>
        <w:fldChar w:fldCharType="end"/>
      </w:r>
    </w:p>
    <w:p w14:paraId="013CEC51">
      <w:pPr>
        <w:pStyle w:val="13"/>
        <w:tabs>
          <w:tab w:val="right" w:leader="dot" w:pos="9071"/>
          <w:tab w:val="clear" w:pos="1100"/>
          <w:tab w:val="clear" w:pos="9061"/>
        </w:tabs>
      </w:pPr>
      <w:r>
        <w:fldChar w:fldCharType="begin"/>
      </w:r>
      <w:r>
        <w:instrText xml:space="preserve"> HYPERLINK \l "_Toc8730" </w:instrText>
      </w:r>
      <w:r>
        <w:fldChar w:fldCharType="separate"/>
      </w:r>
      <w:r>
        <w:rPr>
          <w:rFonts w:hint="eastAsia"/>
        </w:rPr>
        <w:t>4</w:t>
      </w:r>
      <w:r>
        <w:t xml:space="preserve">.7 </w:t>
      </w:r>
      <w:r>
        <w:rPr>
          <w:rFonts w:hint="eastAsia"/>
        </w:rPr>
        <w:t>超参数网格搜索与敏感性分析</w:t>
      </w:r>
      <w:r>
        <w:tab/>
      </w:r>
      <w:r>
        <w:fldChar w:fldCharType="begin"/>
      </w:r>
      <w:r>
        <w:instrText xml:space="preserve"> PAGEREF _Toc8730 \h </w:instrText>
      </w:r>
      <w:r>
        <w:fldChar w:fldCharType="separate"/>
      </w:r>
      <w:r>
        <w:t>37</w:t>
      </w:r>
      <w:r>
        <w:fldChar w:fldCharType="end"/>
      </w:r>
      <w:r>
        <w:fldChar w:fldCharType="end"/>
      </w:r>
    </w:p>
    <w:p w14:paraId="19429D05">
      <w:pPr>
        <w:pStyle w:val="9"/>
        <w:tabs>
          <w:tab w:val="right" w:leader="dot" w:pos="9071"/>
        </w:tabs>
      </w:pPr>
      <w:r>
        <w:fldChar w:fldCharType="begin"/>
      </w:r>
      <w:r>
        <w:instrText xml:space="preserve"> HYPERLINK \l "_Toc23235" </w:instrText>
      </w:r>
      <w:r>
        <w:fldChar w:fldCharType="separate"/>
      </w:r>
      <w:r>
        <w:rPr>
          <w:rFonts w:hint="eastAsia"/>
        </w:rPr>
        <w:t>4</w:t>
      </w:r>
      <w:r>
        <w:t>.7.1 参数交互对预测精度的影响</w:t>
      </w:r>
      <w:r>
        <w:tab/>
      </w:r>
      <w:r>
        <w:fldChar w:fldCharType="begin"/>
      </w:r>
      <w:r>
        <w:instrText xml:space="preserve"> PAGEREF _Toc23235 \h </w:instrText>
      </w:r>
      <w:r>
        <w:fldChar w:fldCharType="separate"/>
      </w:r>
      <w:r>
        <w:t>37</w:t>
      </w:r>
      <w:r>
        <w:fldChar w:fldCharType="end"/>
      </w:r>
      <w:r>
        <w:fldChar w:fldCharType="end"/>
      </w:r>
    </w:p>
    <w:p w14:paraId="2B8E8822">
      <w:pPr>
        <w:pStyle w:val="9"/>
        <w:tabs>
          <w:tab w:val="right" w:leader="dot" w:pos="9071"/>
        </w:tabs>
      </w:pPr>
      <w:r>
        <w:fldChar w:fldCharType="begin"/>
      </w:r>
      <w:r>
        <w:instrText xml:space="preserve"> HYPERLINK \l "_Toc29641" </w:instrText>
      </w:r>
      <w:r>
        <w:fldChar w:fldCharType="separate"/>
      </w:r>
      <w:r>
        <w:rPr>
          <w:rFonts w:hint="eastAsia"/>
        </w:rPr>
        <w:t>4</w:t>
      </w:r>
      <w:r>
        <w:t>.7.2 IMF 保留数量与时间步长敏感性分析</w:t>
      </w:r>
      <w:r>
        <w:tab/>
      </w:r>
      <w:r>
        <w:fldChar w:fldCharType="begin"/>
      </w:r>
      <w:r>
        <w:instrText xml:space="preserve"> PAGEREF _Toc29641 \h </w:instrText>
      </w:r>
      <w:r>
        <w:fldChar w:fldCharType="separate"/>
      </w:r>
      <w:r>
        <w:t>38</w:t>
      </w:r>
      <w:r>
        <w:fldChar w:fldCharType="end"/>
      </w:r>
      <w:r>
        <w:fldChar w:fldCharType="end"/>
      </w:r>
    </w:p>
    <w:p w14:paraId="160951FD">
      <w:pPr>
        <w:pStyle w:val="9"/>
        <w:tabs>
          <w:tab w:val="right" w:leader="dot" w:pos="9071"/>
        </w:tabs>
      </w:pPr>
      <w:r>
        <w:fldChar w:fldCharType="begin"/>
      </w:r>
      <w:r>
        <w:instrText xml:space="preserve"> HYPERLINK \l "_Toc10469" </w:instrText>
      </w:r>
      <w:r>
        <w:fldChar w:fldCharType="separate"/>
      </w:r>
      <w:r>
        <w:rPr>
          <w:rFonts w:hint="eastAsia"/>
        </w:rPr>
        <w:t>4</w:t>
      </w:r>
      <w:r>
        <w:t>.7.3 全局最优模型拟合效果验证</w:t>
      </w:r>
      <w:r>
        <w:tab/>
      </w:r>
      <w:r>
        <w:fldChar w:fldCharType="begin"/>
      </w:r>
      <w:r>
        <w:instrText xml:space="preserve"> PAGEREF _Toc10469 \h </w:instrText>
      </w:r>
      <w:r>
        <w:fldChar w:fldCharType="separate"/>
      </w:r>
      <w:r>
        <w:t>39</w:t>
      </w:r>
      <w:r>
        <w:fldChar w:fldCharType="end"/>
      </w:r>
      <w:r>
        <w:fldChar w:fldCharType="end"/>
      </w:r>
    </w:p>
    <w:p w14:paraId="7E9B19A1">
      <w:pPr>
        <w:pStyle w:val="13"/>
        <w:tabs>
          <w:tab w:val="right" w:leader="dot" w:pos="9071"/>
          <w:tab w:val="clear" w:pos="1100"/>
          <w:tab w:val="clear" w:pos="9061"/>
        </w:tabs>
      </w:pPr>
      <w:r>
        <w:fldChar w:fldCharType="begin"/>
      </w:r>
      <w:r>
        <w:instrText xml:space="preserve"> HYPERLINK \l "_Toc28022" </w:instrText>
      </w:r>
      <w:r>
        <w:fldChar w:fldCharType="separate"/>
      </w:r>
      <w:r>
        <w:rPr>
          <w:rFonts w:hint="eastAsia"/>
        </w:rPr>
        <w:t>4</w:t>
      </w:r>
      <w:r>
        <w:t>.8 模型改进方向</w:t>
      </w:r>
      <w:r>
        <w:tab/>
      </w:r>
      <w:r>
        <w:fldChar w:fldCharType="begin"/>
      </w:r>
      <w:r>
        <w:instrText xml:space="preserve"> PAGEREF _Toc28022 \h </w:instrText>
      </w:r>
      <w:r>
        <w:fldChar w:fldCharType="separate"/>
      </w:r>
      <w:r>
        <w:t>40</w:t>
      </w:r>
      <w:r>
        <w:fldChar w:fldCharType="end"/>
      </w:r>
      <w:r>
        <w:fldChar w:fldCharType="end"/>
      </w:r>
    </w:p>
    <w:p w14:paraId="1F333F52">
      <w:pPr>
        <w:pStyle w:val="12"/>
        <w:tabs>
          <w:tab w:val="right" w:leader="dot" w:pos="9071"/>
        </w:tabs>
        <w:spacing w:line="324" w:lineRule="auto"/>
        <w:rPr>
          <w:rFonts w:hint="eastAsia" w:ascii="黑体" w:hAnsi="黑体" w:eastAsia="黑体"/>
          <w:b/>
          <w:bCs/>
          <w:sz w:val="24"/>
        </w:rPr>
      </w:pPr>
      <w:r>
        <w:fldChar w:fldCharType="begin"/>
      </w:r>
      <w:r>
        <w:instrText xml:space="preserve"> HYPERLINK \l "_Toc1732" </w:instrText>
      </w:r>
      <w:r>
        <w:fldChar w:fldCharType="separate"/>
      </w:r>
      <w:r>
        <w:rPr>
          <w:rFonts w:hint="eastAsia"/>
          <w:b/>
          <w:bCs/>
          <w:sz w:val="24"/>
          <w:szCs w:val="32"/>
        </w:rPr>
        <w:t>5</w:t>
      </w:r>
      <w:r>
        <w:rPr>
          <w:rFonts w:ascii="黑体" w:hAnsi="黑体" w:eastAsia="黑体"/>
          <w:b/>
          <w:bCs/>
          <w:sz w:val="24"/>
        </w:rPr>
        <w:t xml:space="preserve"> </w:t>
      </w:r>
      <w:r>
        <w:rPr>
          <w:rFonts w:hint="eastAsia" w:ascii="黑体" w:hAnsi="黑体" w:eastAsia="黑体"/>
          <w:b/>
          <w:bCs/>
          <w:sz w:val="24"/>
        </w:rPr>
        <w:t>结论与展望</w:t>
      </w:r>
      <w:r>
        <w:rPr>
          <w:rFonts w:hint="eastAsia" w:ascii="黑体" w:hAnsi="黑体" w:eastAsia="黑体"/>
          <w:b/>
          <w:bCs/>
          <w:sz w:val="24"/>
        </w:rPr>
        <w:tab/>
      </w:r>
      <w:r>
        <w:rPr>
          <w:rFonts w:hint="eastAsia" w:ascii="黑体" w:hAnsi="黑体" w:eastAsia="黑体"/>
          <w:b/>
          <w:bCs/>
          <w:sz w:val="24"/>
        </w:rPr>
        <w:fldChar w:fldCharType="begin"/>
      </w:r>
      <w:r>
        <w:rPr>
          <w:rFonts w:hint="eastAsia" w:ascii="黑体" w:hAnsi="黑体" w:eastAsia="黑体"/>
          <w:b/>
          <w:bCs/>
          <w:sz w:val="24"/>
        </w:rPr>
        <w:instrText xml:space="preserve"> PAGEREF _Toc1732 \h </w:instrText>
      </w:r>
      <w:r>
        <w:rPr>
          <w:rFonts w:hint="eastAsia" w:ascii="黑体" w:hAnsi="黑体" w:eastAsia="黑体"/>
          <w:b/>
          <w:bCs/>
          <w:sz w:val="24"/>
        </w:rPr>
        <w:fldChar w:fldCharType="separate"/>
      </w:r>
      <w:r>
        <w:rPr>
          <w:rFonts w:hint="eastAsia" w:eastAsia="黑体"/>
          <w:b/>
          <w:bCs/>
          <w:sz w:val="24"/>
        </w:rPr>
        <w:t>41</w:t>
      </w:r>
      <w:r>
        <w:rPr>
          <w:rFonts w:hint="eastAsia" w:ascii="黑体" w:hAnsi="黑体" w:eastAsia="黑体"/>
          <w:b/>
          <w:bCs/>
          <w:sz w:val="24"/>
        </w:rPr>
        <w:fldChar w:fldCharType="end"/>
      </w:r>
      <w:r>
        <w:rPr>
          <w:rFonts w:hint="eastAsia" w:ascii="黑体" w:hAnsi="黑体" w:eastAsia="黑体"/>
          <w:b/>
          <w:bCs/>
          <w:sz w:val="24"/>
        </w:rPr>
        <w:fldChar w:fldCharType="end"/>
      </w:r>
    </w:p>
    <w:p w14:paraId="0C10F865">
      <w:pPr>
        <w:pStyle w:val="13"/>
        <w:tabs>
          <w:tab w:val="right" w:leader="dot" w:pos="9071"/>
          <w:tab w:val="clear" w:pos="1100"/>
          <w:tab w:val="clear" w:pos="9061"/>
        </w:tabs>
      </w:pPr>
      <w:r>
        <w:fldChar w:fldCharType="begin"/>
      </w:r>
      <w:r>
        <w:instrText xml:space="preserve"> HYPERLINK \l "_Toc3526" </w:instrText>
      </w:r>
      <w:r>
        <w:fldChar w:fldCharType="separate"/>
      </w:r>
      <w:r>
        <w:rPr>
          <w:rFonts w:hint="eastAsia"/>
        </w:rPr>
        <w:t>5</w:t>
      </w:r>
      <w:r>
        <w:t>.1 研究总结</w:t>
      </w:r>
      <w:r>
        <w:tab/>
      </w:r>
      <w:r>
        <w:fldChar w:fldCharType="begin"/>
      </w:r>
      <w:r>
        <w:instrText xml:space="preserve"> PAGEREF _Toc3526 \h </w:instrText>
      </w:r>
      <w:r>
        <w:fldChar w:fldCharType="separate"/>
      </w:r>
      <w:r>
        <w:t>41</w:t>
      </w:r>
      <w:r>
        <w:fldChar w:fldCharType="end"/>
      </w:r>
      <w:r>
        <w:fldChar w:fldCharType="end"/>
      </w:r>
    </w:p>
    <w:p w14:paraId="0215F8BC">
      <w:pPr>
        <w:pStyle w:val="13"/>
        <w:tabs>
          <w:tab w:val="right" w:leader="dot" w:pos="9071"/>
          <w:tab w:val="clear" w:pos="1100"/>
          <w:tab w:val="clear" w:pos="9061"/>
        </w:tabs>
      </w:pPr>
      <w:r>
        <w:fldChar w:fldCharType="begin"/>
      </w:r>
      <w:r>
        <w:instrText xml:space="preserve"> HYPERLINK \l "_Toc10285" </w:instrText>
      </w:r>
      <w:r>
        <w:fldChar w:fldCharType="separate"/>
      </w:r>
      <w:r>
        <w:rPr>
          <w:rFonts w:hint="eastAsia"/>
        </w:rPr>
        <w:t>5</w:t>
      </w:r>
      <w:r>
        <w:t>.2 未来工作展望</w:t>
      </w:r>
      <w:r>
        <w:tab/>
      </w:r>
      <w:r>
        <w:fldChar w:fldCharType="begin"/>
      </w:r>
      <w:r>
        <w:instrText xml:space="preserve"> PAGEREF _Toc10285 \h </w:instrText>
      </w:r>
      <w:r>
        <w:fldChar w:fldCharType="separate"/>
      </w:r>
      <w:r>
        <w:t>41</w:t>
      </w:r>
      <w:r>
        <w:fldChar w:fldCharType="end"/>
      </w:r>
      <w:r>
        <w:fldChar w:fldCharType="end"/>
      </w:r>
    </w:p>
    <w:p w14:paraId="1FF4070F">
      <w:pPr>
        <w:pStyle w:val="12"/>
        <w:tabs>
          <w:tab w:val="right" w:leader="dot" w:pos="9071"/>
        </w:tabs>
        <w:spacing w:line="324" w:lineRule="auto"/>
        <w:rPr>
          <w:rFonts w:hint="eastAsia" w:ascii="黑体" w:hAnsi="黑体" w:eastAsia="黑体"/>
          <w:b/>
          <w:bCs/>
          <w:sz w:val="24"/>
        </w:rPr>
      </w:pPr>
      <w:r>
        <w:fldChar w:fldCharType="begin"/>
      </w:r>
      <w:r>
        <w:instrText xml:space="preserve"> HYPERLINK \l "_Toc4646" </w:instrText>
      </w:r>
      <w:r>
        <w:fldChar w:fldCharType="separate"/>
      </w:r>
      <w:r>
        <w:rPr>
          <w:rFonts w:hint="eastAsia" w:ascii="黑体" w:hAnsi="黑体" w:eastAsia="黑体"/>
          <w:b/>
          <w:bCs/>
          <w:sz w:val="24"/>
        </w:rPr>
        <w:t>参考文献</w:t>
      </w:r>
      <w:r>
        <w:rPr>
          <w:rFonts w:hint="eastAsia" w:ascii="黑体" w:hAnsi="黑体" w:eastAsia="黑体"/>
          <w:b/>
          <w:bCs/>
          <w:sz w:val="24"/>
        </w:rPr>
        <w:tab/>
      </w:r>
      <w:r>
        <w:rPr>
          <w:rFonts w:hint="eastAsia" w:ascii="黑体" w:hAnsi="黑体" w:eastAsia="黑体"/>
          <w:b/>
          <w:bCs/>
          <w:sz w:val="24"/>
        </w:rPr>
        <w:fldChar w:fldCharType="begin"/>
      </w:r>
      <w:r>
        <w:rPr>
          <w:rFonts w:hint="eastAsia" w:ascii="黑体" w:hAnsi="黑体" w:eastAsia="黑体"/>
          <w:b/>
          <w:bCs/>
          <w:sz w:val="24"/>
        </w:rPr>
        <w:instrText xml:space="preserve"> PAGEREF _Toc4646 \h </w:instrText>
      </w:r>
      <w:r>
        <w:rPr>
          <w:rFonts w:hint="eastAsia" w:ascii="黑体" w:hAnsi="黑体" w:eastAsia="黑体"/>
          <w:b/>
          <w:bCs/>
          <w:sz w:val="24"/>
        </w:rPr>
        <w:fldChar w:fldCharType="separate"/>
      </w:r>
      <w:r>
        <w:rPr>
          <w:rFonts w:hint="eastAsia" w:eastAsia="黑体"/>
          <w:b/>
          <w:bCs/>
          <w:sz w:val="24"/>
        </w:rPr>
        <w:t>43</w:t>
      </w:r>
      <w:r>
        <w:rPr>
          <w:rFonts w:hint="eastAsia" w:ascii="黑体" w:hAnsi="黑体" w:eastAsia="黑体"/>
          <w:b/>
          <w:bCs/>
          <w:sz w:val="24"/>
        </w:rPr>
        <w:fldChar w:fldCharType="end"/>
      </w:r>
      <w:r>
        <w:rPr>
          <w:rFonts w:hint="eastAsia" w:ascii="黑体" w:hAnsi="黑体" w:eastAsia="黑体"/>
          <w:b/>
          <w:bCs/>
          <w:sz w:val="24"/>
        </w:rPr>
        <w:fldChar w:fldCharType="end"/>
      </w:r>
    </w:p>
    <w:p w14:paraId="6FBF9E38">
      <w:pPr>
        <w:pStyle w:val="12"/>
        <w:tabs>
          <w:tab w:val="right" w:leader="dot" w:pos="9071"/>
        </w:tabs>
        <w:spacing w:line="324" w:lineRule="auto"/>
        <w:rPr>
          <w:rFonts w:hint="eastAsia" w:ascii="黑体" w:hAnsi="黑体" w:eastAsia="黑体"/>
          <w:b/>
          <w:bCs/>
          <w:sz w:val="24"/>
        </w:rPr>
      </w:pPr>
      <w:r>
        <w:fldChar w:fldCharType="begin"/>
      </w:r>
      <w:r>
        <w:instrText xml:space="preserve"> HYPERLINK \l "_Toc4703" </w:instrText>
      </w:r>
      <w:r>
        <w:fldChar w:fldCharType="separate"/>
      </w:r>
      <w:r>
        <w:rPr>
          <w:rFonts w:hint="eastAsia" w:ascii="黑体" w:hAnsi="黑体" w:eastAsia="黑体"/>
          <w:b/>
          <w:bCs/>
          <w:sz w:val="24"/>
        </w:rPr>
        <w:t>致谢</w:t>
      </w:r>
      <w:r>
        <w:rPr>
          <w:rFonts w:hint="eastAsia" w:ascii="黑体" w:hAnsi="黑体" w:eastAsia="黑体"/>
          <w:b/>
          <w:bCs/>
          <w:sz w:val="24"/>
        </w:rPr>
        <w:tab/>
      </w:r>
      <w:r>
        <w:rPr>
          <w:rFonts w:hint="eastAsia" w:ascii="黑体" w:hAnsi="黑体" w:eastAsia="黑体"/>
          <w:b/>
          <w:bCs/>
          <w:sz w:val="24"/>
        </w:rPr>
        <w:fldChar w:fldCharType="begin"/>
      </w:r>
      <w:r>
        <w:rPr>
          <w:rFonts w:hint="eastAsia" w:ascii="黑体" w:hAnsi="黑体" w:eastAsia="黑体"/>
          <w:b/>
          <w:bCs/>
          <w:sz w:val="24"/>
        </w:rPr>
        <w:instrText xml:space="preserve"> PAGEREF _Toc4703 \h </w:instrText>
      </w:r>
      <w:r>
        <w:rPr>
          <w:rFonts w:hint="eastAsia" w:ascii="黑体" w:hAnsi="黑体" w:eastAsia="黑体"/>
          <w:b/>
          <w:bCs/>
          <w:sz w:val="24"/>
        </w:rPr>
        <w:fldChar w:fldCharType="separate"/>
      </w:r>
      <w:r>
        <w:rPr>
          <w:rFonts w:hint="eastAsia" w:eastAsia="黑体"/>
          <w:b/>
          <w:bCs/>
          <w:sz w:val="24"/>
        </w:rPr>
        <w:t>44</w:t>
      </w:r>
      <w:r>
        <w:rPr>
          <w:rFonts w:hint="eastAsia" w:ascii="黑体" w:hAnsi="黑体" w:eastAsia="黑体"/>
          <w:b/>
          <w:bCs/>
          <w:sz w:val="24"/>
        </w:rPr>
        <w:fldChar w:fldCharType="end"/>
      </w:r>
      <w:r>
        <w:rPr>
          <w:rFonts w:hint="eastAsia" w:ascii="黑体" w:hAnsi="黑体" w:eastAsia="黑体"/>
          <w:b/>
          <w:bCs/>
          <w:sz w:val="24"/>
        </w:rPr>
        <w:fldChar w:fldCharType="end"/>
      </w:r>
    </w:p>
    <w:p w14:paraId="2525BE09">
      <w:pPr>
        <w:pStyle w:val="12"/>
        <w:tabs>
          <w:tab w:val="right" w:leader="dot" w:pos="9071"/>
        </w:tabs>
        <w:spacing w:line="324" w:lineRule="auto"/>
        <w:rPr>
          <w:rFonts w:hint="eastAsia" w:ascii="黑体" w:hAnsi="黑体" w:eastAsia="黑体"/>
          <w:b/>
          <w:bCs/>
          <w:sz w:val="24"/>
        </w:rPr>
      </w:pPr>
      <w:r>
        <w:fldChar w:fldCharType="begin"/>
      </w:r>
      <w:r>
        <w:instrText xml:space="preserve"> HYPERLINK \l "_Toc23095" </w:instrText>
      </w:r>
      <w:r>
        <w:fldChar w:fldCharType="separate"/>
      </w:r>
      <w:r>
        <w:rPr>
          <w:rFonts w:hint="eastAsia" w:ascii="黑体" w:hAnsi="黑体" w:eastAsia="黑体"/>
          <w:b/>
          <w:bCs/>
          <w:sz w:val="24"/>
        </w:rPr>
        <w:t>附录</w:t>
      </w:r>
      <w:r>
        <w:rPr>
          <w:rFonts w:hint="eastAsia" w:eastAsia="黑体"/>
          <w:b/>
          <w:bCs/>
          <w:sz w:val="24"/>
        </w:rPr>
        <w:t>A</w:t>
      </w:r>
      <w:r>
        <w:rPr>
          <w:rFonts w:hint="eastAsia" w:ascii="黑体" w:hAnsi="黑体" w:eastAsia="黑体"/>
          <w:b/>
          <w:bCs/>
          <w:sz w:val="24"/>
        </w:rPr>
        <w:t xml:space="preserve">  </w:t>
      </w:r>
      <w:r>
        <w:rPr>
          <w:rFonts w:hint="eastAsia" w:eastAsia="黑体"/>
          <w:b/>
          <w:bCs/>
          <w:sz w:val="24"/>
        </w:rPr>
        <w:t>XXXXXX</w:t>
      </w:r>
      <w:r>
        <w:rPr>
          <w:rFonts w:hint="eastAsia" w:ascii="黑体" w:hAnsi="黑体" w:eastAsia="黑体"/>
          <w:b/>
          <w:bCs/>
          <w:sz w:val="24"/>
        </w:rPr>
        <w:tab/>
      </w:r>
      <w:r>
        <w:rPr>
          <w:rFonts w:hint="eastAsia" w:ascii="黑体" w:hAnsi="黑体" w:eastAsia="黑体"/>
          <w:b/>
          <w:bCs/>
          <w:sz w:val="24"/>
        </w:rPr>
        <w:fldChar w:fldCharType="begin"/>
      </w:r>
      <w:r>
        <w:rPr>
          <w:rFonts w:hint="eastAsia" w:ascii="黑体" w:hAnsi="黑体" w:eastAsia="黑体"/>
          <w:b/>
          <w:bCs/>
          <w:sz w:val="24"/>
        </w:rPr>
        <w:instrText xml:space="preserve"> PAGEREF _Toc23095 \h </w:instrText>
      </w:r>
      <w:r>
        <w:rPr>
          <w:rFonts w:hint="eastAsia" w:ascii="黑体" w:hAnsi="黑体" w:eastAsia="黑体"/>
          <w:b/>
          <w:bCs/>
          <w:sz w:val="24"/>
        </w:rPr>
        <w:fldChar w:fldCharType="separate"/>
      </w:r>
      <w:r>
        <w:rPr>
          <w:rFonts w:hint="eastAsia" w:eastAsia="黑体"/>
          <w:b/>
          <w:bCs/>
          <w:sz w:val="24"/>
        </w:rPr>
        <w:t>45</w:t>
      </w:r>
      <w:r>
        <w:rPr>
          <w:rFonts w:hint="eastAsia" w:ascii="黑体" w:hAnsi="黑体" w:eastAsia="黑体"/>
          <w:b/>
          <w:bCs/>
          <w:sz w:val="24"/>
        </w:rPr>
        <w:fldChar w:fldCharType="end"/>
      </w:r>
      <w:r>
        <w:rPr>
          <w:rFonts w:hint="eastAsia" w:ascii="黑体" w:hAnsi="黑体" w:eastAsia="黑体"/>
          <w:b/>
          <w:bCs/>
          <w:sz w:val="24"/>
        </w:rPr>
        <w:fldChar w:fldCharType="end"/>
      </w:r>
    </w:p>
    <w:p w14:paraId="33F82421">
      <w:pPr>
        <w:pStyle w:val="12"/>
        <w:tabs>
          <w:tab w:val="right" w:leader="dot" w:pos="9071"/>
        </w:tabs>
        <w:spacing w:line="324" w:lineRule="auto"/>
        <w:rPr>
          <w:rFonts w:hint="eastAsia" w:ascii="黑体" w:hAnsi="黑体" w:eastAsia="黑体"/>
          <w:b/>
          <w:bCs/>
          <w:sz w:val="24"/>
        </w:rPr>
      </w:pPr>
      <w:r>
        <w:fldChar w:fldCharType="begin"/>
      </w:r>
      <w:r>
        <w:instrText xml:space="preserve"> HYPERLINK \l "_Toc20356" </w:instrText>
      </w:r>
      <w:r>
        <w:fldChar w:fldCharType="separate"/>
      </w:r>
      <w:r>
        <w:rPr>
          <w:rFonts w:hint="eastAsia" w:ascii="黑体" w:hAnsi="黑体" w:eastAsia="黑体"/>
          <w:b/>
          <w:bCs/>
          <w:sz w:val="24"/>
        </w:rPr>
        <w:t>附录</w:t>
      </w:r>
      <w:r>
        <w:rPr>
          <w:rFonts w:hint="eastAsia" w:eastAsia="黑体"/>
          <w:b/>
          <w:bCs/>
          <w:sz w:val="24"/>
        </w:rPr>
        <w:t>B</w:t>
      </w:r>
      <w:r>
        <w:rPr>
          <w:rFonts w:hint="eastAsia" w:ascii="黑体" w:hAnsi="黑体" w:eastAsia="黑体"/>
          <w:b/>
          <w:bCs/>
          <w:sz w:val="24"/>
        </w:rPr>
        <w:t xml:space="preserve">  </w:t>
      </w:r>
      <w:r>
        <w:rPr>
          <w:rFonts w:hint="eastAsia" w:eastAsia="黑体"/>
          <w:b/>
          <w:bCs/>
          <w:sz w:val="24"/>
        </w:rPr>
        <w:t>XXXXXXX</w:t>
      </w:r>
      <w:r>
        <w:rPr>
          <w:rFonts w:hint="eastAsia" w:ascii="黑体" w:hAnsi="黑体" w:eastAsia="黑体"/>
          <w:b/>
          <w:bCs/>
          <w:sz w:val="24"/>
        </w:rPr>
        <w:tab/>
      </w:r>
      <w:r>
        <w:rPr>
          <w:rFonts w:hint="eastAsia" w:ascii="黑体" w:hAnsi="黑体" w:eastAsia="黑体"/>
          <w:b/>
          <w:bCs/>
          <w:sz w:val="24"/>
        </w:rPr>
        <w:fldChar w:fldCharType="begin"/>
      </w:r>
      <w:r>
        <w:rPr>
          <w:rFonts w:hint="eastAsia" w:ascii="黑体" w:hAnsi="黑体" w:eastAsia="黑体"/>
          <w:b/>
          <w:bCs/>
          <w:sz w:val="24"/>
        </w:rPr>
        <w:instrText xml:space="preserve"> PAGEREF _Toc20356 \h </w:instrText>
      </w:r>
      <w:r>
        <w:rPr>
          <w:rFonts w:hint="eastAsia" w:ascii="黑体" w:hAnsi="黑体" w:eastAsia="黑体"/>
          <w:b/>
          <w:bCs/>
          <w:sz w:val="24"/>
        </w:rPr>
        <w:fldChar w:fldCharType="separate"/>
      </w:r>
      <w:r>
        <w:rPr>
          <w:rFonts w:hint="eastAsia" w:eastAsia="黑体"/>
          <w:b/>
          <w:bCs/>
          <w:sz w:val="24"/>
        </w:rPr>
        <w:t>46</w:t>
      </w:r>
      <w:r>
        <w:rPr>
          <w:rFonts w:hint="eastAsia" w:ascii="黑体" w:hAnsi="黑体" w:eastAsia="黑体"/>
          <w:b/>
          <w:bCs/>
          <w:sz w:val="24"/>
        </w:rPr>
        <w:fldChar w:fldCharType="end"/>
      </w:r>
      <w:r>
        <w:rPr>
          <w:rFonts w:hint="eastAsia" w:ascii="黑体" w:hAnsi="黑体" w:eastAsia="黑体"/>
          <w:b/>
          <w:bCs/>
          <w:sz w:val="24"/>
        </w:rPr>
        <w:fldChar w:fldCharType="end"/>
      </w:r>
    </w:p>
    <w:p w14:paraId="518EDD0E">
      <w:pPr>
        <w:pStyle w:val="27"/>
        <w:ind w:firstLine="0" w:firstLineChars="0"/>
      </w:pPr>
      <w:r>
        <w:fldChar w:fldCharType="end"/>
      </w:r>
    </w:p>
    <w:p w14:paraId="70C33E78">
      <w:pPr>
        <w:pStyle w:val="27"/>
        <w:ind w:firstLine="0" w:firstLineChars="0"/>
      </w:pPr>
    </w:p>
    <w:p w14:paraId="0D408060">
      <w:pPr>
        <w:rPr>
          <w:rFonts w:hint="eastAsia" w:ascii="黑体" w:hAnsi="黑体" w:eastAsia="黑体" w:cs="宋体"/>
          <w:sz w:val="32"/>
          <w:szCs w:val="32"/>
        </w:rPr>
      </w:pPr>
      <w:r>
        <w:rPr>
          <w:rFonts w:hint="eastAsia" w:ascii="黑体" w:hAnsi="黑体" w:eastAsia="黑体" w:cs="宋体"/>
          <w:sz w:val="32"/>
          <w:szCs w:val="32"/>
        </w:rPr>
        <w:br w:type="page"/>
      </w:r>
    </w:p>
    <w:p w14:paraId="7E89A33C">
      <w:pPr>
        <w:spacing w:before="312" w:beforeLines="100" w:after="312" w:afterLines="100"/>
        <w:ind w:firstLine="643"/>
        <w:jc w:val="center"/>
        <w:rPr>
          <w:rFonts w:hint="eastAsia" w:ascii="黑体" w:hAnsi="黑体" w:eastAsia="黑体" w:cs="宋体"/>
          <w:sz w:val="32"/>
          <w:szCs w:val="32"/>
        </w:rPr>
      </w:pPr>
    </w:p>
    <w:p w14:paraId="01483621">
      <w:pPr>
        <w:pStyle w:val="23"/>
      </w:pPr>
      <w:bookmarkStart w:id="1" w:name="_Toc31514"/>
      <w:bookmarkStart w:id="2" w:name="_Toc227161677"/>
      <w:bookmarkStart w:id="3" w:name="_Toc21933"/>
      <w:bookmarkStart w:id="4" w:name="_Toc14319"/>
      <w:bookmarkStart w:id="5" w:name="05fa3cc0"/>
      <w:r>
        <w:rPr>
          <w:rFonts w:hint="eastAsia"/>
        </w:rPr>
        <w:t>绪论</w:t>
      </w:r>
      <w:bookmarkEnd w:id="1"/>
      <w:bookmarkEnd w:id="2"/>
      <w:bookmarkEnd w:id="3"/>
      <w:bookmarkEnd w:id="4"/>
    </w:p>
    <w:p w14:paraId="4A5130E2">
      <w:pPr>
        <w:pStyle w:val="25"/>
        <w:spacing w:before="156" w:after="156"/>
      </w:pPr>
      <w:r>
        <w:rPr>
          <w:rFonts w:hint="eastAsia"/>
        </w:rPr>
        <w:t xml:space="preserve"> </w:t>
      </w:r>
      <w:bookmarkStart w:id="6" w:name="_Toc22921"/>
      <w:bookmarkStart w:id="7" w:name="_Toc22960"/>
      <w:bookmarkStart w:id="8" w:name="_Toc1767"/>
      <w:bookmarkStart w:id="9" w:name="_Toc227161678"/>
      <w:r>
        <w:rPr>
          <w:rFonts w:hint="eastAsia"/>
        </w:rPr>
        <w:t>研究背景与意义</w:t>
      </w:r>
      <w:bookmarkEnd w:id="6"/>
      <w:bookmarkEnd w:id="7"/>
      <w:bookmarkEnd w:id="8"/>
      <w:bookmarkEnd w:id="9"/>
    </w:p>
    <w:bookmarkEnd w:id="5"/>
    <w:p w14:paraId="27CD1DFA">
      <w:pPr>
        <w:pStyle w:val="26"/>
        <w:spacing w:before="156" w:after="156"/>
        <w:outlineLvl w:val="2"/>
      </w:pPr>
      <w:bookmarkStart w:id="10" w:name="eba08a55"/>
      <w:r>
        <w:rPr>
          <w:rFonts w:hint="eastAsia"/>
        </w:rPr>
        <w:t xml:space="preserve"> </w:t>
      </w:r>
      <w:bookmarkStart w:id="11" w:name="_Toc5787"/>
      <w:bookmarkStart w:id="12" w:name="_Toc227161679"/>
      <w:bookmarkStart w:id="13" w:name="_Toc11328"/>
      <w:bookmarkStart w:id="14" w:name="_Toc2129"/>
      <w:r>
        <w:rPr>
          <w:rFonts w:hint="eastAsia"/>
        </w:rPr>
        <w:t>研究背景</w:t>
      </w:r>
      <w:bookmarkEnd w:id="11"/>
      <w:bookmarkEnd w:id="12"/>
      <w:bookmarkEnd w:id="13"/>
      <w:bookmarkEnd w:id="14"/>
    </w:p>
    <w:bookmarkEnd w:id="10"/>
    <w:p w14:paraId="0303D6E4">
      <w:pPr>
        <w:pStyle w:val="27"/>
        <w:ind w:firstLine="480"/>
      </w:pPr>
      <w:bookmarkStart w:id="15" w:name="u7e363c55"/>
      <w:r>
        <w:rPr>
          <w:rFonts w:hint="eastAsia"/>
        </w:rPr>
        <w:t xml:space="preserve">全球能源危机和环境问题日渐严重，人工智能技术发展势头迅猛，世界各国正在将开发和利用清洁能源作为重要发展战略，以应对环境改善和庞大的AI 算力需求 </w:t>
      </w:r>
      <w:r>
        <w:rPr>
          <w:rFonts w:hint="eastAsia"/>
          <w:vertAlign w:val="superscript"/>
        </w:rPr>
        <w:t>[15]</w:t>
      </w:r>
      <w:r>
        <w:rPr>
          <w:rFonts w:hint="eastAsia"/>
        </w:rPr>
        <w:t>。在一众清洁能源中，太阳能具有分布广泛、储量巨大、无污染的特点，是推动能源转型的关键力量。“十四五”规划以来，我国光伏发电装机容量高速增长，光伏电站在电力系统中的占比不断提升。</w:t>
      </w:r>
    </w:p>
    <w:p w14:paraId="45579EDA">
      <w:pPr>
        <w:pStyle w:val="27"/>
        <w:ind w:firstLine="480"/>
      </w:pPr>
      <w:r>
        <w:rPr>
          <w:rFonts w:hint="eastAsia"/>
        </w:rPr>
        <w:t>在能源紧缺与环保压力的双重夹击下，人工智能的爆发式增长正好为清洁能源的开发递上了一把“钥匙”。环顾全球，拥抱光伏已成定局。可说到底，靠天吃饭的光伏发电总有些“脾气”：阳光一遮、乌云一走，功率便随之剧烈震荡。这种间歇性带来的不只是调度的麻烦，处理不好还会引发大量“弃光”浪费，甚至让整个电网的有功平衡面临崩盘风险。实现高精度、高稳定性的短期光伏功率预测，对保障电网安全具有重要意义</w:t>
      </w:r>
      <w:r>
        <w:rPr>
          <w:rFonts w:hint="eastAsia"/>
          <w:vertAlign w:val="superscript"/>
        </w:rPr>
        <w:t>[12]</w:t>
      </w:r>
      <w:r>
        <w:rPr>
          <w:rFonts w:hint="eastAsia"/>
        </w:rPr>
        <w:t>。</w:t>
      </w:r>
    </w:p>
    <w:p w14:paraId="4D75E99D">
      <w:pPr>
        <w:pStyle w:val="27"/>
        <w:ind w:firstLine="480"/>
      </w:pPr>
      <w:r>
        <w:rPr>
          <w:rFonts w:hint="eastAsia"/>
        </w:rPr>
        <w:t>传统统计模型（如回归分析）因对光伏功率的长时序记忆能力不足，对非平稳数据序列的预测存在较大误差。深度学习中，循环神经网络及其改进模型（LSTM、GRU、BiGRU）对时序处理具有优势，但在处理强波动光伏功率时特征提取仍显不足</w:t>
      </w:r>
      <w:r>
        <w:rPr>
          <w:rFonts w:hint="eastAsia"/>
          <w:vertAlign w:val="superscript"/>
        </w:rPr>
        <w:t>[11]</w:t>
      </w:r>
      <w:r>
        <w:rPr>
          <w:rFonts w:hint="eastAsia"/>
        </w:rPr>
        <w:t>。为解决此问题，本文引入经验模态分解（EMD）结合双向门控循环单元（BiGRU），通过“分解-预测-融合”思路进行建模。</w:t>
      </w:r>
    </w:p>
    <w:bookmarkEnd w:id="15"/>
    <w:p w14:paraId="3F900367">
      <w:pPr>
        <w:pStyle w:val="26"/>
        <w:spacing w:before="156" w:after="156"/>
        <w:outlineLvl w:val="2"/>
      </w:pPr>
      <w:bookmarkStart w:id="16" w:name="kqjsJ"/>
      <w:r>
        <w:rPr>
          <w:rFonts w:hint="eastAsia"/>
        </w:rPr>
        <w:t xml:space="preserve"> </w:t>
      </w:r>
      <w:bookmarkStart w:id="17" w:name="_Toc6076"/>
      <w:bookmarkStart w:id="18" w:name="_Toc28087"/>
      <w:bookmarkStart w:id="19" w:name="_Toc227161680"/>
      <w:bookmarkStart w:id="20" w:name="_Toc31819"/>
      <w:r>
        <w:t>研究意义</w:t>
      </w:r>
      <w:bookmarkEnd w:id="17"/>
      <w:bookmarkEnd w:id="18"/>
      <w:bookmarkEnd w:id="19"/>
      <w:bookmarkEnd w:id="20"/>
    </w:p>
    <w:bookmarkEnd w:id="16"/>
    <w:p w14:paraId="12DF5851">
      <w:pPr>
        <w:pStyle w:val="28"/>
        <w:outlineLvl w:val="3"/>
      </w:pPr>
      <w:bookmarkStart w:id="21" w:name="BtPbf"/>
      <w:r>
        <w:rPr>
          <w:rFonts w:hint="eastAsia"/>
        </w:rPr>
        <w:t xml:space="preserve"> </w:t>
      </w:r>
      <w:r>
        <w:t>理论意义</w:t>
      </w:r>
    </w:p>
    <w:bookmarkEnd w:id="21"/>
    <w:p w14:paraId="1D4BE35C">
      <w:pPr>
        <w:pStyle w:val="27"/>
        <w:ind w:firstLine="480"/>
      </w:pPr>
      <w:bookmarkStart w:id="22" w:name="u55591f3e"/>
      <w:r>
        <w:t>本研究在三个方面体现了理论意义。首先，将EMD分解与BiGRU网络有机结合，构建了科学的组合模型，有效应对了光伏功率在长期下饿非平稳数据预测问题。其次，系统分析、实践了EMD分解对深度学习预测的提升效果，为EMD在深度学习的广泛应用方面提供一定的理论参考。最后，实验通过不同模型横向对比，得出了BiGRU在光伏功率预测方面具有一定优势的结论，为光伏功率预测模型的优化提供思路。</w:t>
      </w:r>
    </w:p>
    <w:bookmarkEnd w:id="22"/>
    <w:p w14:paraId="035E024A">
      <w:pPr>
        <w:pStyle w:val="28"/>
        <w:outlineLvl w:val="3"/>
      </w:pPr>
      <w:bookmarkStart w:id="23" w:name="7218a635"/>
      <w:r>
        <w:rPr>
          <w:rFonts w:hint="eastAsia"/>
        </w:rPr>
        <w:t xml:space="preserve"> </w:t>
      </w:r>
      <w:r>
        <w:t>实际意义</w:t>
      </w:r>
    </w:p>
    <w:bookmarkEnd w:id="23"/>
    <w:p w14:paraId="488A7765">
      <w:pPr>
        <w:pStyle w:val="27"/>
        <w:ind w:firstLine="480"/>
      </w:pPr>
      <w:bookmarkStart w:id="24" w:name="u79156df0"/>
      <w:r>
        <w:t>实现高精度光伏功率预测，首先可以对电网调度部门的决策提供重要参考。准确的功率预测辅助制定合理的发电计划，减少备用容量，让电网的运行更加经济稳定。其次，对于光伏电站，精准预测不仅可以优化运维策略、辅助判断故障发生，还能降低弃光率，提高运营收益。可靠的预测技术能够推动光伏发电更好地接入电网，促进清洁能源和其他能源多元融合发展。在推动行业发展的同时，还提高了地区电力运转的稳定性，助力我国“双碳”目标实现。</w:t>
      </w:r>
      <w:r>
        <w:rPr>
          <w:rFonts w:hint="eastAsia"/>
        </w:rPr>
        <w:t>实现高精度光伏功率预测，可为电网调度部门提供决策参考，减少备用容量</w:t>
      </w:r>
      <w:r>
        <w:rPr>
          <w:rFonts w:hint="eastAsia"/>
          <w:vertAlign w:val="superscript"/>
        </w:rPr>
        <w:t>[10]</w:t>
      </w:r>
      <w:r>
        <w:rPr>
          <w:rFonts w:hint="eastAsia"/>
        </w:rPr>
        <w:t>；对于光伏电站，精准预测能优化运维策略、降低弃光率，助力我国“双碳”目标实现。</w:t>
      </w:r>
    </w:p>
    <w:bookmarkEnd w:id="24"/>
    <w:p w14:paraId="03134579">
      <w:pPr>
        <w:pStyle w:val="25"/>
        <w:spacing w:before="156" w:after="156"/>
      </w:pPr>
      <w:bookmarkStart w:id="25" w:name="m8pBo"/>
      <w:r>
        <w:rPr>
          <w:rFonts w:hint="eastAsia"/>
        </w:rPr>
        <w:t xml:space="preserve"> </w:t>
      </w:r>
      <w:bookmarkStart w:id="26" w:name="_Toc30132"/>
      <w:bookmarkStart w:id="27" w:name="_Toc227161681"/>
      <w:bookmarkStart w:id="28" w:name="_Toc10092"/>
      <w:bookmarkStart w:id="29" w:name="_Toc14107"/>
      <w:r>
        <w:rPr>
          <w:rFonts w:hint="eastAsia"/>
        </w:rPr>
        <w:t>国内外研究现状</w:t>
      </w:r>
      <w:bookmarkEnd w:id="26"/>
      <w:bookmarkEnd w:id="27"/>
      <w:bookmarkEnd w:id="28"/>
      <w:bookmarkEnd w:id="29"/>
    </w:p>
    <w:bookmarkEnd w:id="25"/>
    <w:p w14:paraId="155CD607">
      <w:pPr>
        <w:pStyle w:val="26"/>
        <w:spacing w:before="156" w:after="156"/>
        <w:outlineLvl w:val="2"/>
      </w:pPr>
      <w:bookmarkStart w:id="30" w:name="DHhVI"/>
      <w:r>
        <w:rPr>
          <w:rFonts w:hint="eastAsia"/>
        </w:rPr>
        <w:t xml:space="preserve"> </w:t>
      </w:r>
      <w:bookmarkStart w:id="31" w:name="_Toc8596"/>
      <w:bookmarkStart w:id="32" w:name="_Toc227161682"/>
      <w:bookmarkStart w:id="33" w:name="_Toc15602"/>
      <w:bookmarkStart w:id="34" w:name="_Toc16823"/>
      <w:r>
        <w:t>国外研究现状</w:t>
      </w:r>
      <w:bookmarkEnd w:id="31"/>
      <w:bookmarkEnd w:id="32"/>
      <w:bookmarkEnd w:id="33"/>
      <w:bookmarkEnd w:id="34"/>
    </w:p>
    <w:bookmarkEnd w:id="30"/>
    <w:p w14:paraId="258B7E53">
      <w:pPr>
        <w:pStyle w:val="27"/>
        <w:ind w:firstLine="480"/>
        <w:rPr>
          <w:rFonts w:hint="eastAsia" w:ascii="宋体" w:hAnsi="宋体" w:cs="宋体"/>
        </w:rPr>
      </w:pPr>
      <w:bookmarkStart w:id="35" w:name="u48823d18"/>
      <w:r>
        <w:rPr>
          <w:rFonts w:ascii="宋体" w:hAnsi="宋体" w:cs="宋体"/>
        </w:rPr>
        <w:t>国外对光伏功率预测的研究起步较早。早期以物理方法与统计方法为主。物理方法对气象数据与地理参数要求严格；统计方法对非线性关系的拟合程度有限。近年来，</w:t>
      </w:r>
      <w:r>
        <w:rPr>
          <w:rFonts w:cs="宋体"/>
        </w:rPr>
        <w:t>LSTM</w:t>
      </w:r>
      <w:r>
        <w:rPr>
          <w:rFonts w:ascii="宋体" w:hAnsi="宋体" w:cs="宋体"/>
        </w:rPr>
        <w:t>、</w:t>
      </w:r>
      <w:r>
        <w:rPr>
          <w:rFonts w:cs="宋体"/>
        </w:rPr>
        <w:t>GRU</w:t>
      </w:r>
      <w:r>
        <w:rPr>
          <w:rFonts w:ascii="宋体" w:hAnsi="宋体" w:cs="宋体"/>
        </w:rPr>
        <w:t>等网络被广泛应用于功率预测。在将</w:t>
      </w:r>
      <w:r>
        <w:rPr>
          <w:rFonts w:cs="宋体"/>
        </w:rPr>
        <w:t>EMD</w:t>
      </w:r>
      <w:r>
        <w:rPr>
          <w:rFonts w:ascii="宋体" w:hAnsi="宋体" w:cs="宋体"/>
        </w:rPr>
        <w:t>等信号分解技术引入后，非平稳变化问题得到了一定解决。</w:t>
      </w:r>
    </w:p>
    <w:p w14:paraId="7379EDF9">
      <w:pPr>
        <w:pStyle w:val="27"/>
        <w:ind w:firstLine="480"/>
      </w:pPr>
      <w:r>
        <w:t>深度学习在近年来受到国外研究者的青睐。LSTM、GRU等循环神经网络因其能够有效处理时序依赖关系的有点，被广泛应用于功率预测。双向网络结构也随着研究被引入预测模型，进一步提升了对时序特征的提取能力。在将EMD、VMD等信号分解技术引入深度学习模型后，非平稳变化问题也得到一定的解决。通过分解降低序列复杂度，信号分解技术显著提升了预测效果。</w:t>
      </w:r>
    </w:p>
    <w:bookmarkEnd w:id="35"/>
    <w:p w14:paraId="27AB4FA9">
      <w:pPr>
        <w:pStyle w:val="26"/>
        <w:spacing w:before="156" w:after="156"/>
        <w:outlineLvl w:val="2"/>
      </w:pPr>
      <w:bookmarkStart w:id="36" w:name="9c6efab7"/>
      <w:r>
        <w:rPr>
          <w:rFonts w:hint="eastAsia"/>
        </w:rPr>
        <w:t xml:space="preserve"> </w:t>
      </w:r>
      <w:bookmarkStart w:id="37" w:name="_Toc19787"/>
      <w:bookmarkStart w:id="38" w:name="_Toc227161683"/>
      <w:bookmarkStart w:id="39" w:name="_Toc15765"/>
      <w:bookmarkStart w:id="40" w:name="_Toc13499"/>
      <w:r>
        <w:t>国内研究现状</w:t>
      </w:r>
      <w:bookmarkEnd w:id="37"/>
      <w:bookmarkEnd w:id="38"/>
      <w:bookmarkEnd w:id="39"/>
      <w:bookmarkEnd w:id="40"/>
    </w:p>
    <w:bookmarkEnd w:id="36"/>
    <w:p w14:paraId="721BD6F1">
      <w:pPr>
        <w:pStyle w:val="27"/>
        <w:ind w:firstLine="480"/>
        <w:rPr>
          <w:rFonts w:hint="eastAsia" w:ascii="宋体" w:hAnsi="宋体" w:cs="宋体"/>
        </w:rPr>
      </w:pPr>
      <w:bookmarkStart w:id="41" w:name="u0b4dc413"/>
      <w:r>
        <w:rPr>
          <w:rFonts w:ascii="宋体" w:hAnsi="宋体" w:cs="宋体"/>
        </w:rPr>
        <w:t>国内光伏功率预测研究发展迅速。许多学者采用</w:t>
      </w:r>
      <w:r>
        <w:rPr>
          <w:rFonts w:cs="宋体"/>
        </w:rPr>
        <w:t>LSTM</w:t>
      </w:r>
      <w:r>
        <w:rPr>
          <w:rFonts w:ascii="宋体" w:hAnsi="宋体" w:cs="宋体"/>
        </w:rPr>
        <w:t>、</w:t>
      </w:r>
      <w:r>
        <w:rPr>
          <w:rFonts w:cs="宋体"/>
        </w:rPr>
        <w:t>GRU</w:t>
      </w:r>
      <w:r>
        <w:rPr>
          <w:rFonts w:ascii="宋体" w:hAnsi="宋体" w:cs="宋体"/>
        </w:rPr>
        <w:t>等模型，并通过参数优化提升性能。随着研究深入，“分解+预测”组合模式成为热点。研究表明，双向循环神经网络在数值预测方面表现优于单向模型</w:t>
      </w:r>
      <w:r>
        <w:rPr>
          <w:rFonts w:cs="宋体"/>
          <w:vertAlign w:val="superscript"/>
        </w:rPr>
        <w:t>[11]</w:t>
      </w:r>
      <w:r>
        <w:rPr>
          <w:rFonts w:ascii="宋体" w:hAnsi="宋体" w:cs="宋体"/>
        </w:rPr>
        <w:t>。但在模型泛化、复杂天气适应性及模态混叠问题上仍有提升空间</w:t>
      </w:r>
      <w:r>
        <w:rPr>
          <w:rFonts w:cs="宋体"/>
          <w:vertAlign w:val="superscript"/>
        </w:rPr>
        <w:t>[14]</w:t>
      </w:r>
      <w:r>
        <w:rPr>
          <w:rFonts w:ascii="宋体" w:hAnsi="宋体" w:cs="宋体"/>
        </w:rPr>
        <w:t>。</w:t>
      </w:r>
    </w:p>
    <w:p w14:paraId="3111BF82">
      <w:pPr>
        <w:pStyle w:val="27"/>
        <w:ind w:firstLine="480"/>
      </w:pPr>
      <w:r>
        <w:t>相关研究表明，分解算法能够有效应对光伏功率的非平稳性，使得模型可以通过多个维度对数据规律进行学习。双向循环神经网络能够更全面地捕捉时序特征，在数值预测方面表现优于单向模型。但是国内研究在部分模型泛化方面、复杂天气下地稳定性以及EMD分解地模态混叠问题仍然有待提升。在模型参数配置方面，现有研究也期待系统性的优化。</w:t>
      </w:r>
      <w:r>
        <w:rPr>
          <w:rFonts w:hint="eastAsia"/>
        </w:rPr>
        <w:t>将EMD分解与BiGRU网络有机结合，构建了科学的组合模型，有效应对了非平稳数据预测问题；系统分析了EMD分解对深度学习预测的提升效果，为EMD 在时序预测中的广泛应用提供理论参考。</w:t>
      </w:r>
    </w:p>
    <w:bookmarkEnd w:id="41"/>
    <w:p w14:paraId="10EC9DB2">
      <w:pPr>
        <w:pStyle w:val="26"/>
        <w:spacing w:before="156" w:after="156"/>
        <w:outlineLvl w:val="2"/>
      </w:pPr>
      <w:bookmarkStart w:id="42" w:name="18bc4b80"/>
      <w:r>
        <w:rPr>
          <w:rFonts w:hint="eastAsia"/>
        </w:rPr>
        <w:t xml:space="preserve"> </w:t>
      </w:r>
      <w:bookmarkStart w:id="43" w:name="_Toc9787"/>
      <w:bookmarkStart w:id="44" w:name="_Toc227161684"/>
      <w:bookmarkStart w:id="45" w:name="_Toc31251"/>
      <w:bookmarkStart w:id="46" w:name="_Toc3478"/>
      <w:r>
        <w:t>研究现状总结</w:t>
      </w:r>
      <w:bookmarkEnd w:id="43"/>
      <w:bookmarkEnd w:id="44"/>
      <w:bookmarkEnd w:id="45"/>
      <w:bookmarkEnd w:id="46"/>
    </w:p>
    <w:bookmarkEnd w:id="42"/>
    <w:p w14:paraId="606A635E">
      <w:pPr>
        <w:pStyle w:val="27"/>
        <w:ind w:firstLine="480"/>
      </w:pPr>
      <w:bookmarkStart w:id="47" w:name="u14f5aa36"/>
      <w:r>
        <w:t>综合国内外研究来看，基于深度学习的光伏功率预测已经成为主流。尽管信号分解可以有效提升深度学习的预测精度，但仍有以下不足：</w:t>
      </w:r>
    </w:p>
    <w:bookmarkEnd w:id="47"/>
    <w:p w14:paraId="6C7305B5">
      <w:pPr>
        <w:pStyle w:val="27"/>
        <w:ind w:firstLine="480"/>
        <w:rPr>
          <w:rFonts w:hint="eastAsia" w:ascii="宋体" w:hAnsi="宋体" w:cs="宋体"/>
        </w:rPr>
      </w:pPr>
      <w:bookmarkStart w:id="48" w:name="u7531220f"/>
      <w:r>
        <w:rPr>
          <w:rFonts w:ascii="宋体" w:hAnsi="宋体" w:cs="宋体"/>
        </w:rPr>
        <w:t>单一模型难以处理强非平稳序列；</w:t>
      </w:r>
      <w:r>
        <w:rPr>
          <w:rFonts w:cs="宋体"/>
        </w:rPr>
        <w:t>EMD</w:t>
      </w:r>
      <w:r>
        <w:rPr>
          <w:rFonts w:ascii="宋体" w:hAnsi="宋体" w:cs="宋体"/>
        </w:rPr>
        <w:t>分解存在模态混叠；</w:t>
      </w:r>
      <w:r>
        <w:rPr>
          <w:rFonts w:cs="宋体"/>
        </w:rPr>
        <w:t>BiGRU</w:t>
      </w:r>
      <w:r>
        <w:rPr>
          <w:rFonts w:ascii="宋体" w:hAnsi="宋体" w:cs="宋体"/>
        </w:rPr>
        <w:t>网络参数缺乏系统优化；复杂天气下稳定性不足</w:t>
      </w:r>
      <w:r>
        <w:rPr>
          <w:vertAlign w:val="superscript"/>
        </w:rPr>
        <w:t>[13]</w:t>
      </w:r>
      <w:r>
        <w:rPr>
          <w:rFonts w:ascii="宋体" w:hAnsi="宋体" w:cs="宋体"/>
        </w:rPr>
        <w:t>。针对此，本文提出</w:t>
      </w:r>
      <w:r>
        <w:rPr>
          <w:rFonts w:cs="宋体"/>
        </w:rPr>
        <w:t>EMD</w:t>
      </w:r>
      <w:r>
        <w:rPr>
          <w:rFonts w:ascii="宋体" w:hAnsi="宋体" w:cs="宋体"/>
        </w:rPr>
        <w:t>-</w:t>
      </w:r>
      <w:r>
        <w:rPr>
          <w:rFonts w:cs="宋体"/>
        </w:rPr>
        <w:t>BiGRU</w:t>
      </w:r>
      <w:r>
        <w:rPr>
          <w:rFonts w:ascii="宋体" w:hAnsi="宋体" w:cs="宋体"/>
        </w:rPr>
        <w:t>组合预测模型，旨在进一步提高预测精度。</w:t>
      </w:r>
    </w:p>
    <w:p w14:paraId="13AED490">
      <w:pPr>
        <w:pStyle w:val="27"/>
        <w:ind w:firstLine="480"/>
      </w:pPr>
      <w:r>
        <w:t>为了解决上述不足，本文提出EMD-BiGRU组合预测模型。这个组合既利用了EMD分解降低功率变化的复杂度和非平稳性，又通过双向神经网络提升提取特征变化的能力。经过多模型测试对比，这个组合模型更精确有效预测了光伏功率。</w:t>
      </w:r>
    </w:p>
    <w:bookmarkEnd w:id="48"/>
    <w:p w14:paraId="351D49B1">
      <w:pPr>
        <w:pStyle w:val="25"/>
        <w:spacing w:before="156" w:after="156"/>
      </w:pPr>
      <w:bookmarkStart w:id="49" w:name="f000e63b"/>
      <w:r>
        <w:rPr>
          <w:rFonts w:hint="eastAsia"/>
        </w:rPr>
        <w:t xml:space="preserve"> </w:t>
      </w:r>
      <w:bookmarkStart w:id="50" w:name="_Toc28157"/>
      <w:bookmarkStart w:id="51" w:name="_Toc27175"/>
      <w:bookmarkStart w:id="52" w:name="_Toc25100"/>
      <w:bookmarkStart w:id="53" w:name="_Toc227161685"/>
      <w:r>
        <w:rPr>
          <w:rFonts w:hint="eastAsia"/>
        </w:rPr>
        <w:t>研究内容与技术路线</w:t>
      </w:r>
      <w:bookmarkEnd w:id="50"/>
      <w:bookmarkEnd w:id="51"/>
      <w:bookmarkEnd w:id="52"/>
      <w:bookmarkEnd w:id="53"/>
    </w:p>
    <w:bookmarkEnd w:id="49"/>
    <w:p w14:paraId="3FA0D9AD">
      <w:pPr>
        <w:pStyle w:val="26"/>
        <w:spacing w:before="156" w:after="156"/>
        <w:outlineLvl w:val="2"/>
      </w:pPr>
      <w:bookmarkStart w:id="54" w:name="f774e347"/>
      <w:r>
        <w:rPr>
          <w:rFonts w:hint="eastAsia"/>
        </w:rPr>
        <w:t xml:space="preserve"> </w:t>
      </w:r>
      <w:bookmarkStart w:id="55" w:name="_Toc227161686"/>
      <w:bookmarkStart w:id="56" w:name="_Toc27901"/>
      <w:bookmarkStart w:id="57" w:name="_Toc18899"/>
      <w:bookmarkStart w:id="58" w:name="_Toc25620"/>
      <w:r>
        <w:t>研究内容</w:t>
      </w:r>
      <w:bookmarkEnd w:id="55"/>
      <w:bookmarkEnd w:id="56"/>
      <w:bookmarkEnd w:id="57"/>
      <w:bookmarkEnd w:id="58"/>
    </w:p>
    <w:bookmarkEnd w:id="54"/>
    <w:p w14:paraId="18CB9B8A">
      <w:pPr>
        <w:pStyle w:val="27"/>
        <w:ind w:firstLine="480"/>
      </w:pPr>
      <w:bookmarkStart w:id="59" w:name="ufa0f91d2"/>
      <w:r>
        <w:t xml:space="preserve"> 本文研究内容主要包括以下四个方面：</w:t>
      </w:r>
    </w:p>
    <w:bookmarkEnd w:id="59"/>
    <w:p w14:paraId="561AC0DE">
      <w:pPr>
        <w:pStyle w:val="27"/>
        <w:ind w:firstLine="480"/>
        <w:outlineLvl w:val="3"/>
      </w:pPr>
      <w:bookmarkStart w:id="60" w:name="u73a9eb31"/>
      <w:r>
        <w:t>（1）参考分析光伏功率预测相关论文，总结影响光伏功率的主要因素</w:t>
      </w:r>
    </w:p>
    <w:bookmarkEnd w:id="60"/>
    <w:p w14:paraId="5B65E647">
      <w:pPr>
        <w:pStyle w:val="27"/>
        <w:ind w:firstLine="480"/>
      </w:pPr>
      <w:bookmarkStart w:id="61" w:name="u7ee5de69"/>
      <w:r>
        <w:t>（2）解释EMD算法和BiGRU网络模型相关原理，并构建组合模型，基于实测光伏数据开展实验，分析对比其他常用模型（RNN、LSTM、GRU）效果，对组合模型进行评价总结。</w:t>
      </w:r>
    </w:p>
    <w:bookmarkEnd w:id="61"/>
    <w:p w14:paraId="6F4025A1">
      <w:pPr>
        <w:pStyle w:val="27"/>
        <w:ind w:firstLine="480"/>
      </w:pPr>
      <w:bookmarkStart w:id="62" w:name="u0ddc5afa"/>
      <w:r>
        <w:t>（3）分析不同天气情况下组合模型的表现，探讨模型的不足，并研究模型优化方向。</w:t>
      </w:r>
    </w:p>
    <w:bookmarkEnd w:id="62"/>
    <w:p w14:paraId="0AF08AA7">
      <w:pPr>
        <w:pStyle w:val="26"/>
        <w:spacing w:before="156" w:after="156"/>
        <w:outlineLvl w:val="2"/>
      </w:pPr>
      <w:bookmarkStart w:id="63" w:name="64a6b25b"/>
      <w:r>
        <w:rPr>
          <w:rFonts w:hint="eastAsia"/>
        </w:rPr>
        <w:t xml:space="preserve"> </w:t>
      </w:r>
      <w:bookmarkStart w:id="64" w:name="_Toc227161687"/>
      <w:bookmarkStart w:id="65" w:name="_Toc20350"/>
      <w:bookmarkStart w:id="66" w:name="_Toc29168"/>
      <w:bookmarkStart w:id="67" w:name="_Toc17758"/>
      <w:r>
        <w:t>技术路线</w:t>
      </w:r>
      <w:bookmarkEnd w:id="64"/>
      <w:bookmarkEnd w:id="65"/>
      <w:bookmarkEnd w:id="66"/>
      <w:bookmarkEnd w:id="67"/>
    </w:p>
    <w:bookmarkEnd w:id="63"/>
    <w:p w14:paraId="4903D134">
      <w:pPr>
        <w:pStyle w:val="27"/>
        <w:ind w:firstLine="480"/>
      </w:pPr>
      <w:bookmarkStart w:id="68" w:name="u9bf61e4d"/>
      <w:r>
        <w:t>本文技术路线如下：</w:t>
      </w:r>
    </w:p>
    <w:bookmarkEnd w:id="68"/>
    <w:p w14:paraId="327D9BFF">
      <w:pPr>
        <w:pStyle w:val="27"/>
        <w:ind w:firstLine="480"/>
      </w:pPr>
      <w:bookmarkStart w:id="69" w:name="ua3ee32ec"/>
      <w:r>
        <w:t>（1）数据采集与预处理：读取实测光伏数据，完成缺失值处理、异常值剔除、归一化等操作。</w:t>
      </w:r>
    </w:p>
    <w:bookmarkEnd w:id="69"/>
    <w:p w14:paraId="17D652E4">
      <w:pPr>
        <w:pStyle w:val="27"/>
        <w:ind w:firstLine="480"/>
      </w:pPr>
      <w:bookmarkStart w:id="70" w:name="ue55c6ef8"/>
      <w:r>
        <w:t>（2）EMD分解：对功率序列进行经验模态分解，得到平稳IMF分量与残差。</w:t>
      </w:r>
    </w:p>
    <w:p w14:paraId="1436B2B9">
      <w:pPr>
        <w:pStyle w:val="27"/>
        <w:ind w:firstLine="480"/>
      </w:pPr>
      <w:r>
        <w:t>（3）模型构建：搭建BiGRU网络，对各分量分别训练预测。</w:t>
      </w:r>
    </w:p>
    <w:bookmarkEnd w:id="70"/>
    <w:p w14:paraId="11731809">
      <w:pPr>
        <w:pStyle w:val="27"/>
        <w:ind w:firstLine="480"/>
        <w:outlineLvl w:val="3"/>
      </w:pPr>
      <w:bookmarkStart w:id="71" w:name="u671572ed"/>
      <w:r>
        <w:t>（4）结果融合：将各分量预测结果叠加，得到最终预测功率。</w:t>
      </w:r>
    </w:p>
    <w:bookmarkEnd w:id="71"/>
    <w:p w14:paraId="076DC6EC">
      <w:pPr>
        <w:pStyle w:val="27"/>
        <w:ind w:firstLine="480"/>
      </w:pPr>
      <w:bookmarkStart w:id="72" w:name="uabd54f34"/>
      <w:r>
        <w:t>（5）实验验证：设置多组对比模型，使用RMSE、MAE、R²评价模型性能。</w:t>
      </w:r>
    </w:p>
    <w:bookmarkEnd w:id="72"/>
    <w:p w14:paraId="19750150">
      <w:pPr>
        <w:pStyle w:val="27"/>
        <w:ind w:firstLine="480"/>
      </w:pPr>
      <w:bookmarkStart w:id="73" w:name="u15bf67a7"/>
      <w:r>
        <w:t>（6）结果分析：分析预测效果，总结模型优势，提出改进方向。</w:t>
      </w:r>
    </w:p>
    <w:p w14:paraId="38C008AB">
      <w:pPr>
        <w:pStyle w:val="27"/>
        <w:ind w:firstLine="480"/>
        <w:jc w:val="center"/>
      </w:pPr>
      <w:r>
        <w:br w:type="textWrapping"/>
      </w:r>
      <w:r>
        <w:rPr>
          <w:rFonts w:hint="eastAsia"/>
        </w:rPr>
        <w:drawing>
          <wp:inline distT="0" distB="0" distL="114300" distR="114300">
            <wp:extent cx="4945380" cy="3448050"/>
            <wp:effectExtent l="0" t="0" r="7620" b="0"/>
            <wp:docPr id="11" name="图片 11" descr="论文整体矿价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论文整体矿价 (1)"/>
                    <pic:cNvPicPr>
                      <a:picLocks noChangeAspect="1"/>
                    </pic:cNvPicPr>
                  </pic:nvPicPr>
                  <pic:blipFill>
                    <a:blip r:embed="rId19"/>
                    <a:stretch>
                      <a:fillRect/>
                    </a:stretch>
                  </pic:blipFill>
                  <pic:spPr>
                    <a:xfrm>
                      <a:off x="0" y="0"/>
                      <a:ext cx="4950347" cy="3451748"/>
                    </a:xfrm>
                    <a:prstGeom prst="rect">
                      <a:avLst/>
                    </a:prstGeom>
                  </pic:spPr>
                </pic:pic>
              </a:graphicData>
            </a:graphic>
          </wp:inline>
        </w:drawing>
      </w:r>
    </w:p>
    <w:p w14:paraId="3A196136">
      <w:pPr>
        <w:pStyle w:val="7"/>
        <w:jc w:val="center"/>
        <w:rPr>
          <w:rFonts w:hint="eastAsia" w:ascii="宋体" w:hAnsi="宋体" w:cs="Times New Roman" w:eastAsiaTheme="minorEastAsia"/>
          <w:sz w:val="21"/>
          <w:szCs w:val="24"/>
        </w:rPr>
      </w:pPr>
      <w:bookmarkStart w:id="74" w:name="_Ref227194923"/>
      <w:r>
        <w:rPr>
          <w:rFonts w:hint="eastAsia" w:ascii="宋体" w:hAnsi="宋体" w:cs="Times New Roman" w:eastAsiaTheme="minorEastAsia"/>
          <w:sz w:val="21"/>
          <w:szCs w:val="24"/>
        </w:rPr>
        <w:t>图</w:t>
      </w:r>
      <w:r>
        <w:rPr>
          <w:rFonts w:hint="eastAsia" w:ascii="Times New Roman" w:hAnsi="Times New Roman" w:cs="Times New Roman" w:eastAsiaTheme="minorEastAsia"/>
          <w:sz w:val="21"/>
          <w:szCs w:val="24"/>
        </w:rPr>
        <w:t>1.</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图1.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Times New Roman" w:hAnsi="Times New Roman" w:cs="Times New Roman" w:eastAsiaTheme="minorEastAsia"/>
          <w:sz w:val="21"/>
          <w:szCs w:val="24"/>
        </w:rPr>
        <w:t>1</w:t>
      </w:r>
      <w:r>
        <w:rPr>
          <w:rFonts w:ascii="宋体" w:hAnsi="宋体" w:cs="Times New Roman" w:eastAsiaTheme="minorEastAsia"/>
          <w:sz w:val="21"/>
          <w:szCs w:val="24"/>
        </w:rPr>
        <w:fldChar w:fldCharType="end"/>
      </w:r>
      <w:bookmarkEnd w:id="74"/>
      <w:r>
        <w:rPr>
          <w:rFonts w:hint="eastAsia" w:ascii="宋体" w:hAnsi="宋体" w:cs="Times New Roman" w:eastAsiaTheme="minorEastAsia"/>
          <w:sz w:val="21"/>
          <w:szCs w:val="24"/>
        </w:rPr>
        <w:t xml:space="preserve"> </w:t>
      </w:r>
      <w:r>
        <w:rPr>
          <w:rFonts w:hint="eastAsia" w:ascii="Times New Roman" w:hAnsi="Times New Roman" w:cs="Times New Roman" w:eastAsiaTheme="minorEastAsia"/>
          <w:sz w:val="21"/>
          <w:szCs w:val="24"/>
        </w:rPr>
        <w:t>EMD</w:t>
      </w:r>
      <w:r>
        <w:rPr>
          <w:rFonts w:hint="eastAsia" w:ascii="宋体" w:hAnsi="宋体" w:cs="Times New Roman" w:eastAsiaTheme="minorEastAsia"/>
          <w:sz w:val="21"/>
          <w:szCs w:val="24"/>
        </w:rPr>
        <w:t>-</w:t>
      </w:r>
      <w:r>
        <w:rPr>
          <w:rFonts w:hint="eastAsia" w:ascii="Times New Roman" w:hAnsi="Times New Roman" w:cs="Times New Roman" w:eastAsiaTheme="minorEastAsia"/>
          <w:sz w:val="21"/>
          <w:szCs w:val="24"/>
        </w:rPr>
        <w:t>BiGRU</w:t>
      </w:r>
      <w:r>
        <w:rPr>
          <w:rFonts w:hint="eastAsia" w:ascii="宋体" w:hAnsi="宋体" w:cs="Times New Roman" w:eastAsiaTheme="minorEastAsia"/>
          <w:sz w:val="21"/>
          <w:szCs w:val="24"/>
        </w:rPr>
        <w:t xml:space="preserve"> 模型的整体架构</w:t>
      </w:r>
    </w:p>
    <w:bookmarkEnd w:id="73"/>
    <w:p w14:paraId="7AB32D54">
      <w:pPr>
        <w:pStyle w:val="25"/>
        <w:spacing w:before="156" w:after="156"/>
      </w:pPr>
      <w:bookmarkStart w:id="75" w:name="_Toc21254"/>
      <w:bookmarkStart w:id="76" w:name="_Toc227161688"/>
      <w:bookmarkStart w:id="77" w:name="_Toc3829"/>
      <w:bookmarkStart w:id="78" w:name="_Toc6813"/>
      <w:bookmarkStart w:id="79" w:name="5fe860b4"/>
      <w:r>
        <w:t>论文结构</w:t>
      </w:r>
      <w:bookmarkEnd w:id="75"/>
      <w:bookmarkEnd w:id="76"/>
      <w:bookmarkEnd w:id="77"/>
      <w:bookmarkEnd w:id="78"/>
    </w:p>
    <w:bookmarkEnd w:id="79"/>
    <w:p w14:paraId="46DEF21E">
      <w:pPr>
        <w:pStyle w:val="27"/>
        <w:ind w:firstLine="480"/>
      </w:pPr>
      <w:bookmarkStart w:id="80" w:name="u37363088"/>
      <w:r>
        <w:t>本文共分为6章，具体结构如下：</w:t>
      </w:r>
    </w:p>
    <w:bookmarkEnd w:id="80"/>
    <w:p w14:paraId="71FB3373">
      <w:pPr>
        <w:pStyle w:val="27"/>
        <w:ind w:firstLine="480"/>
      </w:pPr>
      <w:bookmarkStart w:id="81" w:name="u4058056d"/>
      <w:r>
        <w:t>第1章——绪论，介绍研究背景、意义、国内外现状、研究内容与技术路线。</w:t>
      </w:r>
    </w:p>
    <w:bookmarkEnd w:id="81"/>
    <w:p w14:paraId="4CF1B8B7">
      <w:pPr>
        <w:pStyle w:val="27"/>
        <w:ind w:firstLine="480"/>
      </w:pPr>
      <w:bookmarkStart w:id="82" w:name="u09ea1255"/>
      <w:r>
        <w:t>第2章——相关理论与技术基础，介绍光伏预测、评价指标、EMD、RNN、LSTM、GRU、BiGRU 及数据预处理方法。</w:t>
      </w:r>
    </w:p>
    <w:bookmarkEnd w:id="82"/>
    <w:p w14:paraId="70481AB8">
      <w:pPr>
        <w:pStyle w:val="27"/>
        <w:ind w:firstLine="480"/>
      </w:pPr>
      <w:bookmarkStart w:id="83" w:name="u79977bf7"/>
      <w:r>
        <w:t>第3章—— EMD-BiGRU 预测模型设计，详细说明模型框架、数据流程、EMD 实现、网络结构与训练过程。</w:t>
      </w:r>
    </w:p>
    <w:bookmarkEnd w:id="83"/>
    <w:p w14:paraId="193607AC">
      <w:pPr>
        <w:pStyle w:val="27"/>
        <w:ind w:firstLine="480"/>
      </w:pPr>
      <w:bookmarkStart w:id="84" w:name="ufac21280"/>
      <w:r>
        <w:t>第4章——数据集与实验环境，介绍实测数据、实验环境、参数设置与对比模型。</w:t>
      </w:r>
    </w:p>
    <w:bookmarkEnd w:id="84"/>
    <w:p w14:paraId="48D10AA8">
      <w:pPr>
        <w:pStyle w:val="27"/>
        <w:ind w:firstLine="480"/>
      </w:pPr>
      <w:bookmarkStart w:id="85" w:name="u1c6d5f55"/>
      <w:r>
        <w:t>第5章——实验结果与分析，展示指标对比、预测曲线、损失曲线分析。</w:t>
      </w:r>
    </w:p>
    <w:bookmarkEnd w:id="85"/>
    <w:p w14:paraId="16929937">
      <w:pPr>
        <w:pStyle w:val="27"/>
        <w:ind w:firstLine="480"/>
      </w:pPr>
      <w:bookmarkStart w:id="86" w:name="uf3a27054"/>
      <w:r>
        <w:t>第6章——总结与展望，总结全文工作，指出创新点、不足与未来研究方向。</w:t>
      </w:r>
    </w:p>
    <w:p w14:paraId="525F6F77">
      <w:pPr>
        <w:widowControl/>
        <w:jc w:val="left"/>
        <w:rPr>
          <w:sz w:val="24"/>
        </w:rPr>
      </w:pPr>
      <w:r>
        <w:br w:type="page"/>
      </w:r>
    </w:p>
    <w:p w14:paraId="26F7DE68">
      <w:pPr>
        <w:pStyle w:val="27"/>
        <w:ind w:firstLine="480"/>
        <w:rPr>
          <w:rFonts w:hint="eastAsia"/>
        </w:rPr>
      </w:pPr>
    </w:p>
    <w:bookmarkEnd w:id="86"/>
    <w:p w14:paraId="110C7FB7">
      <w:pPr>
        <w:pStyle w:val="23"/>
      </w:pPr>
      <w:bookmarkStart w:id="87" w:name="pJlj7"/>
      <w:r>
        <w:rPr>
          <w:rFonts w:hint="eastAsia"/>
        </w:rPr>
        <w:t xml:space="preserve"> </w:t>
      </w:r>
      <w:bookmarkStart w:id="88" w:name="_Toc227161689"/>
      <w:bookmarkStart w:id="89" w:name="_Toc1630"/>
      <w:bookmarkStart w:id="90" w:name="_Toc7351"/>
      <w:bookmarkStart w:id="91" w:name="_Toc24799"/>
      <w:r>
        <w:rPr>
          <w:rFonts w:hint="eastAsia"/>
        </w:rPr>
        <w:t>相关理论与技术基础</w:t>
      </w:r>
      <w:bookmarkEnd w:id="88"/>
      <w:bookmarkEnd w:id="89"/>
      <w:bookmarkEnd w:id="90"/>
      <w:bookmarkEnd w:id="91"/>
    </w:p>
    <w:bookmarkEnd w:id="87"/>
    <w:p w14:paraId="278C53D1">
      <w:pPr>
        <w:pStyle w:val="25"/>
        <w:spacing w:before="156" w:after="156"/>
      </w:pPr>
      <w:bookmarkStart w:id="92" w:name="bf289dd0"/>
      <w:r>
        <w:rPr>
          <w:rFonts w:hint="eastAsia"/>
        </w:rPr>
        <w:t xml:space="preserve"> </w:t>
      </w:r>
      <w:bookmarkStart w:id="93" w:name="_Toc19372"/>
      <w:bookmarkStart w:id="94" w:name="_Toc15409"/>
      <w:bookmarkStart w:id="95" w:name="_Toc11216"/>
      <w:bookmarkStart w:id="96" w:name="_Toc227161690"/>
      <w:r>
        <w:rPr>
          <w:rFonts w:hint="eastAsia"/>
        </w:rPr>
        <w:t>光伏功率短期预测基础</w:t>
      </w:r>
      <w:bookmarkEnd w:id="93"/>
      <w:bookmarkEnd w:id="94"/>
      <w:bookmarkEnd w:id="95"/>
      <w:bookmarkEnd w:id="96"/>
    </w:p>
    <w:bookmarkEnd w:id="92"/>
    <w:p w14:paraId="4D784594">
      <w:pPr>
        <w:pStyle w:val="26"/>
        <w:spacing w:before="156" w:after="156"/>
        <w:outlineLvl w:val="2"/>
      </w:pPr>
      <w:bookmarkStart w:id="97" w:name="cbe3df91"/>
      <w:r>
        <w:rPr>
          <w:rFonts w:hint="eastAsia"/>
        </w:rPr>
        <w:t xml:space="preserve"> </w:t>
      </w:r>
      <w:bookmarkStart w:id="98" w:name="_Toc20001"/>
      <w:bookmarkStart w:id="99" w:name="_Toc25104"/>
      <w:bookmarkStart w:id="100" w:name="_Toc227161691"/>
      <w:bookmarkStart w:id="101" w:name="_Toc25275"/>
      <w:r>
        <w:t>光伏功率的特性与影响因素</w:t>
      </w:r>
      <w:bookmarkEnd w:id="98"/>
      <w:bookmarkEnd w:id="99"/>
      <w:bookmarkEnd w:id="100"/>
      <w:bookmarkEnd w:id="101"/>
    </w:p>
    <w:bookmarkEnd w:id="97"/>
    <w:p w14:paraId="1A1211A4">
      <w:pPr>
        <w:pStyle w:val="27"/>
        <w:ind w:firstLine="480"/>
      </w:pPr>
      <w:bookmarkStart w:id="102" w:name="u45b54348"/>
      <w:r>
        <w:t>光伏发电是通过光生伏效应，将太阳能直接转化为电能的一种技术。由于受到多种自然环境因素的综合影响，光伏功率呈现出显著的非线性、非平稳性、间歇性与随机性。</w:t>
      </w:r>
    </w:p>
    <w:p w14:paraId="423B7002">
      <w:pPr>
        <w:pStyle w:val="27"/>
        <w:ind w:firstLine="480"/>
      </w:pPr>
      <w:r>
        <w:t>光伏发电系统的核心是光生伏特效应，其输出功率受外部气象条件的强烈调制。从统计学角度来看，光伏功率时间序列</w:t>
      </w:r>
      <m:oMath>
        <m:r>
          <m:rPr/>
          <w:rPr>
            <w:rFonts w:ascii="Cambria Math" w:hAnsi="Cambria Math"/>
          </w:rPr>
          <m:t>P</m:t>
        </m:r>
        <m:d>
          <m:dPr>
            <m:ctrlPr>
              <w:rPr>
                <w:rFonts w:ascii="Cambria Math" w:hAnsi="Cambria Math"/>
                <w:i/>
              </w:rPr>
            </m:ctrlPr>
          </m:dPr>
          <m:e>
            <m:r>
              <m:rPr/>
              <w:rPr>
                <w:rFonts w:ascii="Cambria Math" w:hAnsi="Cambria Math"/>
              </w:rPr>
              <m:t>t</m:t>
            </m:r>
            <m:ctrlPr>
              <w:rPr>
                <w:rFonts w:ascii="Cambria Math" w:hAnsi="Cambria Math"/>
                <w:i/>
              </w:rPr>
            </m:ctrlPr>
          </m:e>
        </m:d>
      </m:oMath>
      <w:r>
        <w:t>表现出高度的非平稳性（Non-stationarity）和异方差性（Heteroscedasticity）。在理想晴天条件下，</w:t>
      </w:r>
      <m:oMath>
        <m:r>
          <m:rPr/>
          <w:rPr>
            <w:rFonts w:ascii="Cambria Math" w:hAnsi="Cambria Math"/>
          </w:rPr>
          <m:t>P</m:t>
        </m:r>
        <m:d>
          <m:dPr>
            <m:ctrlPr>
              <w:rPr>
                <w:rFonts w:ascii="Cambria Math" w:hAnsi="Cambria Math"/>
                <w:i/>
              </w:rPr>
            </m:ctrlPr>
          </m:dPr>
          <m:e>
            <m:r>
              <m:rPr/>
              <w:rPr>
                <w:rFonts w:ascii="Cambria Math" w:hAnsi="Cambria Math"/>
              </w:rPr>
              <m:t>t</m:t>
            </m:r>
            <m:ctrlPr>
              <w:rPr>
                <w:rFonts w:ascii="Cambria Math" w:hAnsi="Cambria Math"/>
                <w:i/>
              </w:rPr>
            </m:ctrlPr>
          </m:e>
        </m:d>
      </m:oMath>
      <w:r>
        <w:t>通常呈现类正弦的日周期波动；然而，在云层快速移动、降雨或气溶胶浓度剧变等复杂气象条件下，序列会叠加大量的高频非线性噪声。这种强随机性和波动性使得传统的自回归移动平均模型（ARIMA）等线性时序模型难以有效拟合。</w:t>
      </w:r>
    </w:p>
    <w:bookmarkEnd w:id="102"/>
    <w:p w14:paraId="7D44D5BD">
      <w:pPr>
        <w:pStyle w:val="27"/>
        <w:ind w:firstLine="480"/>
      </w:pPr>
      <w:bookmarkStart w:id="103" w:name="uca73fcb3"/>
      <w:r>
        <w:t>太阳辐射强度、环境温度、相对湿度、云层遮挡情况、风速、季节变化以及昼夜交替等都是影响光伏功率的主要因素。其中，太阳辐射是光伏功率的最大因素。辐射强度越高，光伏功率通常越大。温度的升高会降低广电转换的效率，从而导致功率下降。此外，湿度和云层变化会直接削弱太阳辐射，进而使光伏功率出现快速波动。以上因素均有明显的周期性与不确定性，使得光伏功率序列难以使用传统线性模型进行高精度预测。</w:t>
      </w:r>
    </w:p>
    <w:bookmarkEnd w:id="103"/>
    <w:p w14:paraId="54C8ABC5">
      <w:pPr>
        <w:pStyle w:val="26"/>
        <w:spacing w:before="156" w:after="156"/>
        <w:outlineLvl w:val="2"/>
      </w:pPr>
      <w:bookmarkStart w:id="104" w:name="7b949947"/>
      <w:r>
        <w:rPr>
          <w:rFonts w:hint="eastAsia"/>
        </w:rPr>
        <w:t xml:space="preserve"> </w:t>
      </w:r>
      <w:bookmarkStart w:id="105" w:name="_Toc25097"/>
      <w:bookmarkStart w:id="106" w:name="_Toc22322"/>
      <w:bookmarkStart w:id="107" w:name="_Toc227161692"/>
      <w:bookmarkStart w:id="108" w:name="_Toc29008"/>
      <w:r>
        <w:t>短期光伏预测的定义与分类</w:t>
      </w:r>
      <w:bookmarkEnd w:id="105"/>
      <w:bookmarkEnd w:id="106"/>
      <w:bookmarkEnd w:id="107"/>
      <w:bookmarkEnd w:id="108"/>
    </w:p>
    <w:bookmarkEnd w:id="104"/>
    <w:p w14:paraId="31728500">
      <w:pPr>
        <w:pStyle w:val="27"/>
        <w:ind w:firstLine="480"/>
      </w:pPr>
      <w:bookmarkStart w:id="109" w:name="u9d197409"/>
      <w:r>
        <w:t>光伏功率预测按照时间尺度可以分为超短期、短期、中期与长期预测。本文研究8小时长度的功率预测，属于短期预测。这种预测通常在实际中用于电网调度计划制定、机组组合优化、储能系统控制以及光伏电站运维安排。这些用途队预测的时间精度和数值精度有一定要求。</w:t>
      </w:r>
    </w:p>
    <w:bookmarkEnd w:id="109"/>
    <w:p w14:paraId="11652213">
      <w:pPr>
        <w:pStyle w:val="27"/>
        <w:ind w:firstLine="480"/>
      </w:pPr>
      <w:bookmarkStart w:id="110" w:name="u577d8fb0"/>
      <w:r>
        <w:t>模型的输入特征为15分钟一个时间间隔的数据元，其中包括气象与光伏功率数据。数据均来自于传感器的实地采集，基于此构建模型并完成光伏功率预测，属于典型的时间序列预测任务。</w:t>
      </w:r>
    </w:p>
    <w:bookmarkEnd w:id="110"/>
    <w:p w14:paraId="6FD8FAE8">
      <w:pPr>
        <w:pStyle w:val="26"/>
        <w:spacing w:before="156" w:after="156"/>
        <w:outlineLvl w:val="2"/>
      </w:pPr>
      <w:bookmarkStart w:id="111" w:name="a8af2f2b"/>
      <w:r>
        <w:rPr>
          <w:rFonts w:hint="eastAsia"/>
        </w:rPr>
        <w:t xml:space="preserve"> </w:t>
      </w:r>
      <w:bookmarkStart w:id="112" w:name="_Toc22460"/>
      <w:bookmarkStart w:id="113" w:name="_Toc23897"/>
      <w:bookmarkStart w:id="114" w:name="_Toc19671"/>
      <w:bookmarkStart w:id="115" w:name="_Toc227161693"/>
      <w:r>
        <w:t>预测结果评价指标</w:t>
      </w:r>
      <w:bookmarkEnd w:id="112"/>
      <w:bookmarkEnd w:id="113"/>
      <w:bookmarkEnd w:id="114"/>
      <w:bookmarkEnd w:id="115"/>
    </w:p>
    <w:bookmarkEnd w:id="111"/>
    <w:p w14:paraId="721E8579">
      <w:pPr>
        <w:pStyle w:val="27"/>
        <w:ind w:firstLine="480"/>
      </w:pPr>
      <w:bookmarkStart w:id="116" w:name="u8f89386e"/>
      <w:r>
        <w:rPr>
          <w:rFonts w:ascii="宋体" w:hAnsi="宋体" w:cs="宋体"/>
        </w:rPr>
        <w:t>光伏发电受太阳辐射、温度、湿度等因素影响，具有显著的非线性与间歇性</w:t>
      </w:r>
      <w:r>
        <w:rPr>
          <w:rFonts w:cs="宋体"/>
          <w:vertAlign w:val="superscript"/>
        </w:rPr>
        <w:t>[10]</w:t>
      </w:r>
      <w:r>
        <w:rPr>
          <w:rFonts w:ascii="宋体" w:hAnsi="宋体" w:cs="宋体"/>
        </w:rPr>
        <w:t>。本文研究的短期功率预测，采用</w:t>
      </w:r>
      <w:r>
        <w:rPr>
          <w:rFonts w:cs="宋体"/>
        </w:rPr>
        <w:t>15</w:t>
      </w:r>
      <w:r>
        <w:rPr>
          <w:rFonts w:ascii="宋体" w:hAnsi="宋体" w:cs="宋体"/>
        </w:rPr>
        <w:t>分钟间隔的时序数据进行建模。</w:t>
      </w:r>
      <w:r>
        <w:t>为了科学、定量地衡量不同模型的预测精度，本文选取了</w:t>
      </w:r>
      <w:r>
        <w:rPr>
          <w:rFonts w:hint="eastAsia"/>
        </w:rPr>
        <w:t>3</w:t>
      </w:r>
      <w:r>
        <w:t>类常用的评价指标：均方根误差（RMSE）、</w:t>
      </w:r>
      <w:r>
        <w:rPr>
          <w:rFonts w:ascii="宋体" w:hAnsi="宋体" w:cs="宋体"/>
        </w:rPr>
        <w:t>平均绝对误差</w:t>
      </w:r>
      <w:r>
        <w:t>（MAE）以及决定系数（R²）。</w:t>
      </w:r>
    </w:p>
    <w:bookmarkEnd w:id="116"/>
    <w:p w14:paraId="17F36214">
      <w:pPr>
        <w:pStyle w:val="27"/>
        <w:numPr>
          <w:ilvl w:val="0"/>
          <w:numId w:val="3"/>
        </w:numPr>
        <w:ind w:left="0" w:firstLine="480"/>
      </w:pPr>
      <w:bookmarkStart w:id="117" w:name="u758f578e"/>
      <w:r>
        <w:t>均方根误差（RMSE）RMSE对较大误差更为敏感，能够突出极端偏差，是时序预测中最常用的核心指标。公式：</w:t>
      </w:r>
    </w:p>
    <w:p w14:paraId="6F065B20">
      <w:pPr>
        <w:pStyle w:val="27"/>
        <w:ind w:firstLine="0" w:firstLineChars="0"/>
      </w:pPr>
      <m:oMathPara>
        <m:oMath>
          <m:r>
            <m:rPr>
              <m:sty m:val="p"/>
            </m:rPr>
            <w:rPr>
              <w:rFonts w:ascii="Cambria Math" w:hAnsi="Cambria Math"/>
            </w:rPr>
            <m:t>RMSE</m:t>
          </m:r>
          <m:r>
            <m:rPr/>
            <w:rPr>
              <w:rFonts w:ascii="Cambria Math" w:hAnsi="Cambria Math"/>
            </w:rPr>
            <m:t> = </m:t>
          </m:r>
          <m:rad>
            <m:radPr>
              <m:degHide m:val="1"/>
              <m:ctrlPr>
                <w:rPr>
                  <w:rFonts w:ascii="Cambria Math" w:hAnsi="Cambria Math"/>
                </w:rPr>
              </m:ctrlPr>
            </m:radPr>
            <m:deg>
              <m:ctrlPr>
                <w:rPr>
                  <w:rFonts w:ascii="Cambria Math" w:hAnsi="Cambria Math"/>
                  <w:i/>
                </w:rPr>
              </m:ctrlPr>
            </m:deg>
            <m:e>
              <m:f>
                <m:fPr>
                  <m:ctrlPr>
                    <w:rPr>
                      <w:rFonts w:ascii="Cambria Math" w:hAnsi="Cambria Math"/>
                    </w:rPr>
                  </m:ctrlPr>
                </m:fPr>
                <m:num>
                  <m:r>
                    <m:rPr/>
                    <w:rPr>
                      <w:rFonts w:ascii="Cambria Math" w:hAnsi="Cambria Math"/>
                    </w:rPr>
                    <m:t>1</m:t>
                  </m:r>
                  <m:ctrlPr>
                    <w:rPr>
                      <w:rFonts w:ascii="Cambria Math" w:hAnsi="Cambria Math"/>
                      <w:i/>
                    </w:rPr>
                  </m:ctrlPr>
                </m:num>
                <m:den>
                  <m:r>
                    <m:rPr>
                      <m:sty m:val="p"/>
                    </m:rPr>
                    <w:rPr>
                      <w:rFonts w:ascii="Cambria Math" w:hAnsi="Cambria Math"/>
                    </w:rPr>
                    <m:t>n</m:t>
                  </m:r>
                  <m:ctrlPr>
                    <w:rPr>
                      <w:rFonts w:ascii="Cambria Math" w:hAnsi="Cambria Math"/>
                      <w:i/>
                    </w:rPr>
                  </m:ctrlPr>
                </m:den>
              </m:f>
              <m:nary>
                <m:naryPr>
                  <m:chr m:val="∑"/>
                  <m:ctrlPr>
                    <w:rPr>
                      <w:rFonts w:ascii="Cambria Math" w:hAnsi="Cambria Math"/>
                    </w:rPr>
                  </m:ctrlPr>
                </m:naryPr>
                <m:sub>
                  <m:r>
                    <m:rPr>
                      <m:sty m:val="p"/>
                    </m:rPr>
                    <w:rPr>
                      <w:rFonts w:ascii="Cambria Math" w:hAnsi="Cambria Math"/>
                    </w:rPr>
                    <m:t>i</m:t>
                  </m:r>
                  <m:r>
                    <m:rPr/>
                    <w:rPr>
                      <w:rFonts w:ascii="Cambria Math" w:hAnsi="Cambria Math"/>
                    </w:rPr>
                    <m:t>=1</m:t>
                  </m:r>
                  <m:ctrlPr>
                    <w:rPr>
                      <w:rFonts w:ascii="Cambria Math" w:hAnsi="Cambria Math"/>
                      <w:i/>
                    </w:rPr>
                  </m:ctrlPr>
                </m:sub>
                <m:sup>
                  <m:r>
                    <m:rPr>
                      <m:sty m:val="p"/>
                    </m:rP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acc>
                            <m:accPr>
                              <m:ctrlPr>
                                <w:rPr>
                                  <w:rFonts w:ascii="Cambria Math" w:hAnsi="Cambria Math"/>
                                </w:rPr>
                              </m:ctrlPr>
                            </m:accPr>
                            <m:e>
                              <m:sSub>
                                <m:sSubPr>
                                  <m:ctrlPr>
                                    <w:rPr>
                                      <w:rFonts w:ascii="Cambria Math" w:hAnsi="Cambria Math"/>
                                      <w:i/>
                                    </w:rPr>
                                  </m:ctrlPr>
                                </m:sSubPr>
                                <m:e>
                                  <m:r>
                                    <m:rPr>
                                      <m:sty m:val="p"/>
                                    </m:rPr>
                                    <w:rPr>
                                      <w:rFonts w:ascii="Cambria Math" w:hAnsi="Cambria Math"/>
                                    </w:rPr>
                                    <m:t>y</m:t>
                                  </m:r>
                                  <m:ctrlPr>
                                    <w:rPr>
                                      <w:rFonts w:ascii="Cambria Math" w:hAnsi="Cambria Math"/>
                                    </w:rPr>
                                  </m:ctrlPr>
                                </m:e>
                                <m:sub>
                                  <m:r>
                                    <m:rPr>
                                      <m:sty m:val="p"/>
                                    </m:rPr>
                                    <w:rPr>
                                      <w:rFonts w:ascii="Cambria Math" w:hAnsi="Cambria Math"/>
                                    </w:rPr>
                                    <m:t>i</m:t>
                                  </m:r>
                                  <m:ctrlPr>
                                    <w:rPr>
                                      <w:rFonts w:ascii="Cambria Math" w:hAnsi="Cambria Math"/>
                                      <w:i/>
                                    </w:rPr>
                                  </m:ctrlPr>
                                </m:sub>
                              </m:sSub>
                              <m:ctrlPr>
                                <w:rPr>
                                  <w:rFonts w:ascii="Cambria Math" w:hAnsi="Cambria Math"/>
                                </w:rPr>
                              </m:ctrlPr>
                            </m:e>
                          </m:acc>
                          <m:r>
                            <m:rPr/>
                            <w:rPr>
                              <w:rFonts w:ascii="Cambria Math" w:hAnsi="Cambria Math"/>
                            </w:rPr>
                            <m:t> − </m:t>
                          </m:r>
                          <m:sSub>
                            <m:sSubPr>
                              <m:ctrlPr>
                                <w:rPr>
                                  <w:rFonts w:ascii="Cambria Math" w:hAnsi="Cambria Math"/>
                                  <w:i/>
                                </w:rPr>
                              </m:ctrlPr>
                            </m:sSubPr>
                            <m:e>
                              <m:r>
                                <m:rPr>
                                  <m:sty m:val="p"/>
                                </m:rPr>
                                <w:rPr>
                                  <w:rFonts w:ascii="Cambria Math" w:hAnsi="Cambria Math"/>
                                </w:rPr>
                                <m:t>y</m:t>
                              </m:r>
                              <m:ctrlPr>
                                <w:rPr>
                                  <w:rFonts w:ascii="Cambria Math" w:hAnsi="Cambria Math"/>
                                  <w:i/>
                                </w:rPr>
                              </m:ctrlPr>
                            </m:e>
                            <m:sub>
                              <m:r>
                                <m:rPr>
                                  <m:sty m:val="p"/>
                                </m:rPr>
                                <w:rPr>
                                  <w:rFonts w:ascii="Cambria Math" w:hAnsi="Cambria Math"/>
                                </w:rPr>
                                <m:t>i</m:t>
                              </m:r>
                              <m:ctrlPr>
                                <w:rPr>
                                  <w:rFonts w:ascii="Cambria Math" w:hAnsi="Cambria Math"/>
                                  <w:i/>
                                </w:rPr>
                              </m:ctrlPr>
                            </m:sub>
                          </m:sSub>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ctrlPr>
                <w:rPr>
                  <w:rFonts w:ascii="Cambria Math" w:hAnsi="Cambria Math"/>
                </w:rPr>
              </m:ctrlPr>
            </m:e>
          </m:rad>
        </m:oMath>
      </m:oMathPara>
    </w:p>
    <w:p w14:paraId="61E2CDDD">
      <w:pPr>
        <w:pStyle w:val="27"/>
        <w:ind w:firstLine="0" w:firstLineChars="0"/>
      </w:pPr>
    </w:p>
    <w:p w14:paraId="55007F36">
      <w:pPr>
        <w:pStyle w:val="27"/>
        <w:numPr>
          <w:ilvl w:val="0"/>
          <w:numId w:val="3"/>
        </w:numPr>
        <w:ind w:left="0" w:firstLine="480"/>
      </w:pPr>
      <w:r>
        <w:t>平均绝对误差（MAE，单位与原数据一致，如MW或kW）MAE直观地反映了预测值与真实值之间误差的绝对平均水平，能够真实衡量模型预测结果的实际偏差大小。公式为：</w:t>
      </w:r>
    </w:p>
    <w:bookmarkEnd w:id="117"/>
    <w:p w14:paraId="0F1D11FD">
      <w:pPr>
        <w:widowControl/>
        <w:spacing w:line="14" w:lineRule="atLeast"/>
        <w:jc w:val="left"/>
        <w:rPr>
          <w:rFonts w:hint="eastAsia" w:ascii="sans-serif" w:hAnsi="sans-serif" w:cs="sans-serif" w:eastAsiaTheme="minorEastAsia"/>
          <w:i/>
        </w:rPr>
      </w:pPr>
      <w:bookmarkStart w:id="118" w:name="u45f6db46"/>
      <m:oMathPara>
        <m:oMath>
          <m:r>
            <m:rPr/>
            <w:rPr>
              <w:rFonts w:ascii="Cambria Math" w:hAnsi="Cambria Math" w:eastAsia="sans-serif" w:cs="sans-serif"/>
              <w:kern w:val="0"/>
              <w:sz w:val="24"/>
              <w:lang w:bidi="ar"/>
            </w:rPr>
            <m:t>MAE=</m:t>
          </m:r>
          <m:f>
            <m:fPr>
              <m:ctrlPr>
                <w:rPr>
                  <w:rFonts w:ascii="Cambria Math" w:hAnsi="Cambria Math" w:eastAsia="sans-serif" w:cs="sans-serif"/>
                  <w:kern w:val="0"/>
                  <w:sz w:val="24"/>
                  <w:lang w:bidi="ar"/>
                </w:rPr>
              </m:ctrlPr>
            </m:fPr>
            <m:num>
              <m:r>
                <m:rPr/>
                <w:rPr>
                  <w:rFonts w:ascii="Cambria Math" w:hAnsi="Cambria Math" w:eastAsia="sans-serif" w:cs="sans-serif"/>
                  <w:kern w:val="0"/>
                  <w:sz w:val="24"/>
                  <w:lang w:bidi="ar"/>
                </w:rPr>
                <m:t>1</m:t>
              </m:r>
              <m:ctrlPr>
                <w:rPr>
                  <w:rFonts w:ascii="Cambria Math" w:hAnsi="Cambria Math" w:eastAsia="sans-serif" w:cs="sans-serif"/>
                  <w:i/>
                  <w:kern w:val="0"/>
                  <w:sz w:val="24"/>
                  <w:lang w:bidi="ar"/>
                </w:rPr>
              </m:ctrlPr>
            </m:num>
            <m:den>
              <m:r>
                <m:rPr/>
                <w:rPr>
                  <w:rFonts w:ascii="Cambria Math" w:hAnsi="Cambria Math" w:eastAsia="sans-serif" w:cs="sans-serif"/>
                  <w:kern w:val="0"/>
                  <w:sz w:val="24"/>
                  <w:lang w:bidi="ar"/>
                </w:rPr>
                <m:t>n</m:t>
              </m:r>
              <m:ctrlPr>
                <w:rPr>
                  <w:rFonts w:ascii="Cambria Math" w:hAnsi="Cambria Math" w:eastAsia="sans-serif" w:cs="sans-serif"/>
                  <w:i/>
                  <w:kern w:val="0"/>
                  <w:sz w:val="24"/>
                  <w:lang w:bidi="ar"/>
                </w:rPr>
              </m:ctrlPr>
            </m:den>
          </m:f>
          <m:nary>
            <m:naryPr>
              <m:chr m:val="∑"/>
              <m:ctrlPr>
                <w:rPr>
                  <w:rFonts w:ascii="Cambria Math" w:hAnsi="Cambria Math" w:eastAsia="sans-serif" w:cs="sans-serif"/>
                  <w:kern w:val="0"/>
                  <w:sz w:val="24"/>
                  <w:lang w:bidi="ar"/>
                </w:rPr>
              </m:ctrlPr>
            </m:naryPr>
            <m:sub>
              <m:r>
                <m:rPr/>
                <w:rPr>
                  <w:rFonts w:ascii="Cambria Math" w:hAnsi="Cambria Math" w:eastAsia="sans-serif" w:cs="sans-serif"/>
                  <w:kern w:val="0"/>
                  <w:sz w:val="24"/>
                  <w:lang w:bidi="ar"/>
                </w:rPr>
                <m:t>i=1</m:t>
              </m:r>
              <m:ctrlPr>
                <w:rPr>
                  <w:rFonts w:ascii="Cambria Math" w:hAnsi="Cambria Math" w:eastAsia="sans-serif" w:cs="sans-serif"/>
                  <w:i/>
                  <w:kern w:val="0"/>
                  <w:sz w:val="24"/>
                  <w:lang w:bidi="ar"/>
                </w:rPr>
              </m:ctrlPr>
            </m:sub>
            <m:sup>
              <m:r>
                <m:rPr/>
                <w:rPr>
                  <w:rFonts w:ascii="Cambria Math" w:hAnsi="Cambria Math" w:eastAsia="sans-serif" w:cs="sans-serif"/>
                  <w:kern w:val="0"/>
                  <w:sz w:val="24"/>
                  <w:lang w:bidi="ar"/>
                </w:rPr>
                <m:t>n</m:t>
              </m:r>
              <m:ctrlPr>
                <w:rPr>
                  <w:rFonts w:ascii="Cambria Math" w:hAnsi="Cambria Math" w:eastAsia="sans-serif" w:cs="sans-serif"/>
                  <w:i/>
                  <w:kern w:val="0"/>
                  <w:sz w:val="24"/>
                  <w:lang w:bidi="ar"/>
                </w:rPr>
              </m:ctrlPr>
            </m:sup>
            <m:e>
              <m:d>
                <m:dPr>
                  <m:begChr m:val="|"/>
                  <m:endChr m:val="|"/>
                  <m:ctrlPr>
                    <w:rPr>
                      <w:rFonts w:ascii="Cambria Math" w:hAnsi="Cambria Math" w:eastAsia="sans-serif" w:cs="sans-serif"/>
                      <w:i/>
                      <w:kern w:val="0"/>
                      <w:sz w:val="24"/>
                      <w:lang w:bidi="ar"/>
                    </w:rPr>
                  </m:ctrlPr>
                </m:dPr>
                <m:e>
                  <m:sSub>
                    <m:sSubPr>
                      <m:ctrlPr>
                        <w:rPr>
                          <w:rFonts w:ascii="Cambria Math" w:hAnsi="Cambria Math" w:eastAsia="sans-serif" w:cs="sans-serif"/>
                          <w:i/>
                          <w:kern w:val="0"/>
                          <w:sz w:val="24"/>
                          <w:lang w:bidi="ar"/>
                        </w:rPr>
                      </m:ctrlPr>
                    </m:sSubPr>
                    <m:e>
                      <m:r>
                        <m:rPr/>
                        <w:rPr>
                          <w:rFonts w:ascii="Cambria Math" w:hAnsi="Cambria Math" w:eastAsia="sans-serif" w:cs="sans-serif"/>
                          <w:kern w:val="0"/>
                          <w:sz w:val="24"/>
                          <w:lang w:bidi="ar"/>
                        </w:rPr>
                        <m:t>y</m:t>
                      </m:r>
                      <m:ctrlPr>
                        <w:rPr>
                          <w:rFonts w:ascii="Cambria Math" w:hAnsi="Cambria Math" w:eastAsia="sans-serif" w:cs="sans-serif"/>
                          <w:i/>
                          <w:kern w:val="0"/>
                          <w:sz w:val="24"/>
                          <w:lang w:bidi="ar"/>
                        </w:rPr>
                      </m:ctrlPr>
                    </m:e>
                    <m:sub>
                      <m:r>
                        <m:rPr/>
                        <w:rPr>
                          <w:rFonts w:ascii="Cambria Math" w:hAnsi="Cambria Math" w:eastAsia="sans-serif" w:cs="sans-serif"/>
                          <w:kern w:val="0"/>
                          <w:sz w:val="24"/>
                          <w:lang w:bidi="ar"/>
                        </w:rPr>
                        <m:t>i</m:t>
                      </m:r>
                      <m:ctrlPr>
                        <w:rPr>
                          <w:rFonts w:ascii="Cambria Math" w:hAnsi="Cambria Math" w:eastAsia="sans-serif" w:cs="sans-serif"/>
                          <w:i/>
                          <w:kern w:val="0"/>
                          <w:sz w:val="24"/>
                          <w:lang w:bidi="ar"/>
                        </w:rPr>
                      </m:ctrlPr>
                    </m:sub>
                  </m:sSub>
                  <m:r>
                    <m:rPr/>
                    <w:rPr>
                      <w:rFonts w:ascii="Cambria Math" w:hAnsi="Cambria Math" w:eastAsia="sans-serif" w:cs="sans-serif"/>
                      <w:kern w:val="0"/>
                      <w:sz w:val="24"/>
                      <w:lang w:bidi="ar"/>
                    </w:rPr>
                    <m:t>−</m:t>
                  </m:r>
                  <m:acc>
                    <m:accPr>
                      <m:ctrlPr>
                        <w:rPr>
                          <w:rFonts w:ascii="Cambria Math" w:hAnsi="Cambria Math" w:eastAsia="sans-serif" w:cs="sans-serif"/>
                          <w:kern w:val="0"/>
                          <w:sz w:val="24"/>
                          <w:lang w:bidi="ar"/>
                        </w:rPr>
                      </m:ctrlPr>
                    </m:accPr>
                    <m:e>
                      <m:sSub>
                        <m:sSubPr>
                          <m:ctrlPr>
                            <w:rPr>
                              <w:rFonts w:ascii="Cambria Math" w:hAnsi="Cambria Math" w:eastAsia="sans-serif" w:cs="sans-serif"/>
                              <w:i/>
                              <w:kern w:val="0"/>
                              <w:sz w:val="24"/>
                              <w:lang w:bidi="ar"/>
                            </w:rPr>
                          </m:ctrlPr>
                        </m:sSubPr>
                        <m:e>
                          <m:r>
                            <m:rPr/>
                            <w:rPr>
                              <w:rFonts w:ascii="Cambria Math" w:hAnsi="Cambria Math" w:eastAsia="sans-serif" w:cs="sans-serif"/>
                              <w:kern w:val="0"/>
                              <w:sz w:val="24"/>
                              <w:lang w:bidi="ar"/>
                            </w:rPr>
                            <m:t>y</m:t>
                          </m:r>
                          <m:ctrlPr>
                            <w:rPr>
                              <w:rFonts w:ascii="Cambria Math" w:hAnsi="Cambria Math" w:eastAsia="sans-serif" w:cs="sans-serif"/>
                              <w:kern w:val="0"/>
                              <w:sz w:val="24"/>
                              <w:lang w:bidi="ar"/>
                            </w:rPr>
                          </m:ctrlPr>
                        </m:e>
                        <m:sub>
                          <m:r>
                            <m:rPr/>
                            <w:rPr>
                              <w:rFonts w:ascii="Cambria Math" w:hAnsi="Cambria Math" w:eastAsia="sans-serif" w:cs="sans-serif"/>
                              <w:kern w:val="0"/>
                              <w:sz w:val="24"/>
                              <w:lang w:bidi="ar"/>
                            </w:rPr>
                            <m:t>i</m:t>
                          </m:r>
                          <m:ctrlPr>
                            <w:rPr>
                              <w:rFonts w:ascii="Cambria Math" w:hAnsi="Cambria Math" w:eastAsia="sans-serif" w:cs="sans-serif"/>
                              <w:i/>
                              <w:kern w:val="0"/>
                              <w:sz w:val="24"/>
                              <w:lang w:bidi="ar"/>
                            </w:rPr>
                          </m:ctrlPr>
                        </m:sub>
                      </m:sSub>
                      <m:ctrlPr>
                        <w:rPr>
                          <w:rFonts w:ascii="Cambria Math" w:hAnsi="Cambria Math" w:eastAsia="sans-serif" w:cs="sans-serif"/>
                          <w:kern w:val="0"/>
                          <w:sz w:val="24"/>
                          <w:lang w:bidi="ar"/>
                        </w:rPr>
                      </m:ctrlPr>
                    </m:e>
                  </m:acc>
                  <m:ctrlPr>
                    <w:rPr>
                      <w:rFonts w:ascii="Cambria Math" w:hAnsi="Cambria Math" w:eastAsia="sans-serif" w:cs="sans-serif"/>
                      <w:i/>
                      <w:kern w:val="0"/>
                      <w:sz w:val="24"/>
                      <w:lang w:bidi="ar"/>
                    </w:rPr>
                  </m:ctrlPr>
                </m:e>
              </m:d>
              <m:ctrlPr>
                <w:rPr>
                  <w:rFonts w:ascii="Cambria Math" w:hAnsi="Cambria Math" w:eastAsia="sans-serif" w:cs="sans-serif"/>
                  <w:i/>
                  <w:kern w:val="0"/>
                  <w:sz w:val="24"/>
                  <w:lang w:bidi="ar"/>
                </w:rPr>
              </m:ctrlPr>
            </m:e>
          </m:nary>
        </m:oMath>
      </m:oMathPara>
    </w:p>
    <w:bookmarkEnd w:id="118"/>
    <w:p w14:paraId="6947C271">
      <w:pPr>
        <w:pStyle w:val="27"/>
        <w:numPr>
          <w:ilvl w:val="0"/>
          <w:numId w:val="3"/>
        </w:numPr>
        <w:ind w:left="0" w:firstLine="480"/>
      </w:pPr>
      <w:bookmarkStart w:id="119" w:name="u603838de"/>
      <w:r>
        <w:t>决定系数（R²）反映预测曲线对真实曲线的拟合程度，取值越接近1，说明拟合效果越好。公式：</w:t>
      </w:r>
    </w:p>
    <w:p w14:paraId="00FB5759">
      <w:pPr>
        <w:pStyle w:val="27"/>
        <w:ind w:firstLineChars="0"/>
      </w:pPr>
      <m:oMathPara>
        <m:oMath>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2</m:t>
              </m:r>
              <m:ctrlPr>
                <w:rPr>
                  <w:rFonts w:ascii="Cambria Math" w:hAnsi="Cambria Math"/>
                  <w:i/>
                </w:rPr>
              </m:ctrlPr>
            </m:sup>
          </m:sSup>
          <m:r>
            <m:rPr/>
            <w:rPr>
              <w:rFonts w:ascii="Cambria Math" w:hAnsi="Cambria Math"/>
            </w:rPr>
            <m:t>=1−</m:t>
          </m:r>
          <m:f>
            <m:fPr>
              <m:ctrlPr>
                <w:rPr>
                  <w:rFonts w:ascii="Cambria Math" w:hAnsi="Cambria Math"/>
                </w:rPr>
              </m:ctrlPr>
            </m:fPr>
            <m:num>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acc>
                            <m:accPr>
                              <m:ctrlPr>
                                <w:rPr>
                                  <w:rFonts w:ascii="Cambria Math" w:hAnsi="Cambria Math"/>
                                </w:rPr>
                              </m:ctrlPr>
                            </m:accPr>
                            <m:e>
                              <m:sSub>
                                <m:sSubPr>
                                  <m:ctrlPr>
                                    <w:rPr>
                                      <w:rFonts w:ascii="Cambria Math" w:hAnsi="Cambria Math"/>
                                      <w:i/>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i/>
                                    </w:rPr>
                                  </m:ctrlPr>
                                </m:sub>
                              </m:sSub>
                              <m:ctrlPr>
                                <w:rPr>
                                  <w:rFonts w:ascii="Cambria Math" w:hAnsi="Cambria Math"/>
                                </w:rPr>
                              </m:ctrlPr>
                            </m:e>
                          </m:acc>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ctrlPr>
                <w:rPr>
                  <w:rFonts w:ascii="Cambria Math" w:hAnsi="Cambria Math"/>
                  <w:i/>
                </w:rPr>
              </m:ctrlPr>
            </m:num>
            <m:den>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acc>
                            <m:accPr>
                              <m:chr m:val="̅"/>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ctrlPr>
                <w:rPr>
                  <w:rFonts w:ascii="Cambria Math" w:hAnsi="Cambria Math"/>
                  <w:i/>
                </w:rPr>
              </m:ctrlPr>
            </m:den>
          </m:f>
        </m:oMath>
      </m:oMathPara>
    </w:p>
    <w:bookmarkEnd w:id="119"/>
    <w:p w14:paraId="4552B332">
      <w:pPr>
        <w:pStyle w:val="27"/>
        <w:ind w:firstLine="480"/>
      </w:pPr>
      <w:bookmarkStart w:id="120" w:name="u74d0b3ec"/>
      <w:r>
        <w:t>在上述指标中：RMSE、MAE越小，R²</w:t>
      </w:r>
      <w:r>
        <w:rPr>
          <w:rFonts w:hint="eastAsia"/>
        </w:rPr>
        <w:t xml:space="preserve"> </w:t>
      </w:r>
      <w:r>
        <w:t>越接近</w:t>
      </w:r>
      <w:r>
        <w:rPr>
          <w:rFonts w:hint="eastAsia"/>
        </w:rPr>
        <w:t>1，</w:t>
      </w:r>
      <w:r>
        <w:t>则表示模型预测性能效果越好。</w:t>
      </w:r>
    </w:p>
    <w:bookmarkEnd w:id="120"/>
    <w:p w14:paraId="10B1520B">
      <w:pPr>
        <w:pStyle w:val="25"/>
        <w:spacing w:before="156" w:after="156"/>
        <w:rPr>
          <w:rFonts w:ascii="sans-serif" w:hAnsi="sans-serif" w:eastAsia="sans-serif" w:cs="sans-serif"/>
        </w:rPr>
      </w:pPr>
      <w:bookmarkStart w:id="121" w:name="u6304303a"/>
      <w:r>
        <w:rPr>
          <w:rFonts w:hint="eastAsia"/>
        </w:rPr>
        <w:t xml:space="preserve"> </w:t>
      </w:r>
      <w:bookmarkStart w:id="122" w:name="_Toc227161694"/>
      <w:bookmarkStart w:id="123" w:name="_Toc1444"/>
      <w:bookmarkStart w:id="124" w:name="_Toc18875"/>
      <w:bookmarkStart w:id="125" w:name="_Toc22206"/>
      <w:r>
        <w:t>经验模态分解（EMD）算法</w:t>
      </w:r>
      <w:r>
        <w:rPr>
          <w:rFonts w:hint="eastAsia"/>
        </w:rPr>
        <w:t>理论</w:t>
      </w:r>
      <w:bookmarkEnd w:id="121"/>
      <w:bookmarkEnd w:id="122"/>
      <w:bookmarkEnd w:id="123"/>
      <w:bookmarkEnd w:id="124"/>
      <w:bookmarkEnd w:id="125"/>
      <w:bookmarkStart w:id="126" w:name="ud9c55179"/>
    </w:p>
    <w:p w14:paraId="7DA53CDE">
      <w:pPr>
        <w:pStyle w:val="27"/>
        <w:ind w:firstLine="480"/>
      </w:pPr>
      <w:r>
        <w:t>在现实工程应用中，诸如光伏发电功率这类受复杂气象因素（云层遮挡、风速突变等）影响的时间序列数据，往往表现出极强的非线性与非平稳特征。传统的信号处理方法（如傅里叶变换或小波变换）在处理此类信号时，通常需要预先设定固定的基函数，这极大限制了算法的自适应能力，且容易在信号突变处产生虚假的谐波分量。</w:t>
      </w:r>
    </w:p>
    <w:p w14:paraId="471D1ECA">
      <w:pPr>
        <w:pStyle w:val="27"/>
        <w:ind w:firstLine="480"/>
      </w:pPr>
      <w:r>
        <w:rPr>
          <w:rFonts w:hint="eastAsia"/>
        </w:rPr>
        <w:t>既然传统方法在应对信号突变时容易产生“虚假谐波”，那何不让数据自己开口说话？Norden E. Huang 提出的EMD分解正是出于这种考量。它最迷人的地方在于彻底甩掉了预设基函数的包袱，直接深入数据内部，根据局部的时间尺度特征进行“自适应”剥离。这种纯粹由数据驱动的解耦方式，能把一团乱麻的复杂信号理顺，拆解成一个个物理意义鲜明的本征模函数（IMF）。</w:t>
      </w:r>
      <w:r>
        <w:t>为若干个具有明确物理意义的本征模函数（Intrinsic Mode Function, IMF）以及一个残余的趋势分量。</w:t>
      </w:r>
    </w:p>
    <w:p w14:paraId="4332F4E3">
      <w:pPr>
        <w:pStyle w:val="27"/>
        <w:ind w:firstLine="480"/>
      </w:pPr>
    </w:p>
    <w:p w14:paraId="14E98993">
      <w:pPr>
        <w:pStyle w:val="26"/>
        <w:spacing w:before="156" w:after="156"/>
        <w:outlineLvl w:val="2"/>
      </w:pPr>
      <w:r>
        <w:rPr>
          <w:rFonts w:hint="eastAsia"/>
        </w:rPr>
        <w:t xml:space="preserve"> </w:t>
      </w:r>
      <w:bookmarkStart w:id="127" w:name="_Toc3251"/>
      <w:bookmarkStart w:id="128" w:name="_Toc16211"/>
      <w:bookmarkStart w:id="129" w:name="_Toc227161695"/>
      <w:bookmarkStart w:id="130" w:name="_Toc8018"/>
      <w:r>
        <w:t>IMF的数学条件与筛选原理</w:t>
      </w:r>
      <w:bookmarkEnd w:id="127"/>
      <w:bookmarkEnd w:id="128"/>
      <w:bookmarkEnd w:id="129"/>
      <w:bookmarkEnd w:id="130"/>
    </w:p>
    <w:p w14:paraId="5E4F8F76">
      <w:pPr>
        <w:pStyle w:val="27"/>
        <w:ind w:firstLine="480"/>
      </w:pPr>
      <w:r>
        <w:rPr>
          <w:rFonts w:ascii="宋体" w:hAnsi="宋体" w:cs="宋体"/>
          <w:kern w:val="0"/>
        </w:rPr>
        <w:t xml:space="preserve"> </w:t>
      </w:r>
      <w:r>
        <w:t>EMD分解的核心目标是从原始复杂信号中剥离出具有不同震荡频率的平稳序列，即本征模函数（IMF）。为了保证分解出的信号在瞬时频率计算上具有明确的物理意义且不产生负频率，一个有效的IMF必须严格同时满足以下两个严苛的数学条件：</w:t>
      </w:r>
    </w:p>
    <w:p w14:paraId="2D3F9183">
      <w:pPr>
        <w:pStyle w:val="28"/>
      </w:pPr>
      <w:r>
        <w:rPr>
          <w:bCs/>
        </w:rPr>
        <w:t>极值点与过零点数目均衡</w:t>
      </w:r>
    </w:p>
    <w:p w14:paraId="7ABE1ACA">
      <w:pPr>
        <w:pStyle w:val="27"/>
        <w:ind w:firstLine="420" w:firstLineChars="0"/>
      </w:pPr>
      <w:r>
        <w:t>在整个数据段内，信号的极值点（极大值与极小值的总和）数量与过零点的数量必须完全相等，或者最多相差一个。这一条件确保了IMF表现为一个类似于传统简谐波的窄带信号，而非宽带的复杂叠加波。</w:t>
      </w:r>
    </w:p>
    <w:p w14:paraId="6A16AD2B">
      <w:pPr>
        <w:pStyle w:val="28"/>
      </w:pPr>
      <w:r>
        <w:rPr>
          <w:bCs/>
        </w:rPr>
        <w:t>局部均值为零的对称性</w:t>
      </w:r>
    </w:p>
    <w:p w14:paraId="02FE3925">
      <w:pPr>
        <w:pStyle w:val="27"/>
        <w:ind w:firstLine="420" w:firstLineChars="0"/>
      </w:pPr>
      <w:r>
        <w:t>在任意时刻</w:t>
      </w:r>
      <m:oMath>
        <m:r>
          <m:rPr/>
          <w:rPr>
            <w:rFonts w:ascii="Cambria Math" w:hAnsi="Cambria Math"/>
          </w:rPr>
          <m:t xml:space="preserve"> t</m:t>
        </m:r>
      </m:oMath>
      <w:r>
        <w:t>，由信号的局部极大值点构成的上包络线</w:t>
      </w:r>
      <w:r>
        <w:rPr>
          <w:rFonts w:hint="eastAsia"/>
        </w:rPr>
        <w:t xml:space="preserve"> </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max</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 和由局部极小值点构成的下包络线 </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min</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，它们的局部均值必须严格为零。这一条件强制要求信号的波形在局部时间轴上是对称的，从而消除了骑马波（Riding Waves）和不对称波形带来的瞬时频率波动。</w:t>
      </w:r>
    </w:p>
    <w:p w14:paraId="6DE2F0D8">
      <w:pPr>
        <w:pStyle w:val="27"/>
        <w:ind w:firstLine="480"/>
      </w:pPr>
    </w:p>
    <w:p w14:paraId="363E7559">
      <w:pPr>
        <w:pStyle w:val="26"/>
        <w:spacing w:before="156" w:after="156"/>
        <w:outlineLvl w:val="2"/>
      </w:pPr>
      <w:r>
        <w:rPr>
          <w:rFonts w:hint="eastAsia"/>
        </w:rPr>
        <w:t xml:space="preserve"> </w:t>
      </w:r>
      <w:bookmarkStart w:id="131" w:name="_Toc227161696"/>
      <w:bookmarkStart w:id="132" w:name="_Toc29512"/>
      <w:bookmarkStart w:id="133" w:name="_Toc27978"/>
      <w:bookmarkStart w:id="134" w:name="_Toc21308"/>
      <w:r>
        <w:t>EMD 的筛分算法流程（Sifting Process）</w:t>
      </w:r>
      <w:bookmarkEnd w:id="131"/>
      <w:bookmarkEnd w:id="132"/>
      <w:bookmarkEnd w:id="133"/>
      <w:bookmarkEnd w:id="134"/>
    </w:p>
    <w:bookmarkEnd w:id="126"/>
    <w:p w14:paraId="1528B0E0">
      <w:pPr>
        <w:pStyle w:val="27"/>
        <w:ind w:firstLine="480"/>
      </w:pPr>
      <w:bookmarkStart w:id="135" w:name="f57df836"/>
      <w:r>
        <w:t xml:space="preserve">针对高度非平稳的原始光伏功率序列 </w:t>
      </w:r>
      <m:oMath>
        <m:r>
          <m:rPr/>
          <w:rPr>
            <w:rFonts w:ascii="Cambria Math" w:hAnsi="Cambria Math"/>
          </w:rPr>
          <m:t>x</m:t>
        </m:r>
        <m:d>
          <m:dPr>
            <m:ctrlPr>
              <w:rPr>
                <w:rFonts w:ascii="Cambria Math" w:hAnsi="Cambria Math"/>
                <w:i/>
              </w:rPr>
            </m:ctrlPr>
          </m:dPr>
          <m:e>
            <m:r>
              <m:rPr/>
              <w:rPr>
                <w:rFonts w:ascii="Cambria Math" w:hAnsi="Cambria Math"/>
              </w:rPr>
              <m:t>t</m:t>
            </m:r>
            <m:ctrlPr>
              <w:rPr>
                <w:rFonts w:ascii="Cambria Math" w:hAnsi="Cambria Math"/>
                <w:i/>
              </w:rPr>
            </m:ctrlPr>
          </m:e>
        </m:d>
      </m:oMath>
      <w:r>
        <w:t>，EMD采用了一种被称为“筛分（Sifting）”的迭代逼近过程来提取IMF。其详细的算法执行流程如下：</w:t>
      </w:r>
    </w:p>
    <w:p w14:paraId="5516372C">
      <w:pPr>
        <w:pStyle w:val="27"/>
        <w:ind w:firstLine="480"/>
      </w:pPr>
      <w:r>
        <w:rPr>
          <w:rFonts w:hint="eastAsia"/>
        </w:rPr>
        <w:t>（1）</w:t>
      </w:r>
      <w:r>
        <w:t>极值点</w:t>
      </w:r>
      <w:r>
        <w:rPr>
          <w:rFonts w:hint="eastAsia"/>
        </w:rPr>
        <w:t>识别。</w:t>
      </w:r>
      <w:r>
        <w:t xml:space="preserve">全面扫描整个输入序列 </w:t>
      </w:r>
      <m:oMath>
        <m:r>
          <m:rPr/>
          <w:rPr>
            <w:rFonts w:ascii="Cambria Math" w:hAnsi="Cambria Math"/>
          </w:rPr>
          <m:t>x</m:t>
        </m:r>
        <m:d>
          <m:dPr>
            <m:ctrlPr>
              <w:rPr>
                <w:rFonts w:ascii="Cambria Math" w:hAnsi="Cambria Math"/>
                <w:i/>
              </w:rPr>
            </m:ctrlPr>
          </m:dPr>
          <m:e>
            <m:r>
              <m:rPr/>
              <w:rPr>
                <w:rFonts w:ascii="Cambria Math" w:hAnsi="Cambria Math"/>
              </w:rPr>
              <m:t>t</m:t>
            </m:r>
            <m:ctrlPr>
              <w:rPr>
                <w:rFonts w:ascii="Cambria Math" w:hAnsi="Cambria Math"/>
                <w:i/>
              </w:rPr>
            </m:ctrlPr>
          </m:e>
        </m:d>
      </m:oMath>
      <w:r>
        <w:t>，精准找出所有的局部极大值点和局部极小值点。</w:t>
      </w:r>
    </w:p>
    <w:p w14:paraId="504F7CDB">
      <w:pPr>
        <w:pStyle w:val="27"/>
        <w:ind w:firstLine="480"/>
      </w:pPr>
      <w:r>
        <w:rPr>
          <w:rFonts w:hint="eastAsia"/>
        </w:rPr>
        <w:t>（2）包络线拟合。</w:t>
      </w:r>
      <w:r>
        <w:t xml:space="preserve">采用三次样条插值函数（Cubic Spline Interpolation）将所有的极大值点连接起来，形成信号的上包络线 </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max</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；同理，将所有的极小值点连接形成下包络线 </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min</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。三次样条插值的引入保证了包络线在整个时间域内具有二阶连续可导的光滑特性，能完美包裹住原始信号。</w:t>
      </w:r>
    </w:p>
    <w:p w14:paraId="1475D0A7">
      <w:pPr>
        <w:pStyle w:val="27"/>
        <w:ind w:firstLine="480"/>
      </w:pPr>
      <w:r>
        <w:rPr>
          <w:rFonts w:hint="eastAsia"/>
        </w:rPr>
        <w:t>（3）局部均值计算。</w:t>
      </w:r>
      <w:r>
        <w:t>计算上、下包络线在每一时刻的算术平均值，得到局部均值序列</w:t>
      </w:r>
      <m:oMath>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rPr>
          <w:rFonts w:hint="eastAsia"/>
        </w:rPr>
        <w:t>：</w:t>
      </w:r>
      <w:r>
        <w:t xml:space="preserve"> </w:t>
      </w:r>
    </w:p>
    <w:p w14:paraId="06D24A26">
      <w:pPr>
        <w:pStyle w:val="27"/>
        <w:ind w:firstLine="480"/>
      </w:pPr>
      <m:oMathPara>
        <m:oMath>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f>
            <m:fPr>
              <m:ctrlPr>
                <w:rPr>
                  <w:rFonts w:ascii="Cambria Math" w:hAnsi="Cambria Math"/>
                </w:rPr>
              </m:ctrlPr>
            </m:fPr>
            <m:num>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max</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min</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ctrlPr>
                <w:rPr>
                  <w:rFonts w:ascii="Cambria Math" w:hAnsi="Cambria Math"/>
                  <w:i/>
                </w:rPr>
              </m:ctrlPr>
            </m:num>
            <m:den>
              <m:r>
                <m:rPr/>
                <w:rPr>
                  <w:rFonts w:ascii="Cambria Math" w:hAnsi="Cambria Math"/>
                </w:rPr>
                <m:t>2</m:t>
              </m:r>
              <m:ctrlPr>
                <w:rPr>
                  <w:rFonts w:ascii="Cambria Math" w:hAnsi="Cambria Math"/>
                  <w:i/>
                </w:rPr>
              </m:ctrlPr>
            </m:den>
          </m:f>
        </m:oMath>
      </m:oMathPara>
    </w:p>
    <w:p w14:paraId="4C733F1D">
      <w:pPr>
        <w:pStyle w:val="27"/>
        <w:ind w:firstLine="480"/>
      </w:pPr>
      <w:r>
        <w:rPr>
          <w:rFonts w:hint="eastAsia"/>
        </w:rPr>
        <w:t>（4）候选IMF提取。从</w:t>
      </w:r>
      <w:r>
        <w:t xml:space="preserve">原始信号中减去局部均值序列，试图剥离出高频波动特征，得到第一个候选的IMF分量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 </w:t>
      </w:r>
    </w:p>
    <w:p w14:paraId="7C4914EC">
      <w:pPr>
        <w:pStyle w:val="27"/>
        <w:ind w:firstLine="480"/>
        <w:outlineLvl w:val="3"/>
      </w:pPr>
      <m:oMathPara>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=x</m:t>
          </m:r>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m:oMathPara>
    </w:p>
    <w:p w14:paraId="1AB49653">
      <w:pPr>
        <w:pStyle w:val="27"/>
        <w:ind w:firstLine="480"/>
      </w:pPr>
      <w:r>
        <w:rPr>
          <w:rFonts w:hint="eastAsia"/>
        </w:rPr>
        <w:t>（5）IMF条件检验与迭代逼近。由</w:t>
      </w:r>
      <w:r>
        <w:t xml:space="preserve">于包络线拟合存在边缘效应或插值误差，第一次剥离出的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 往往不能立刻满足IMF的两个严苛条件。若不满足，则将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 作为新的原始信号，重复步骤1至步骤4。经过 </w:t>
      </w:r>
      <m:oMath>
        <m:r>
          <m:rPr/>
          <w:rPr>
            <w:rFonts w:ascii="Cambria Math" w:hAnsi="Cambria Math"/>
          </w:rPr>
          <m:t>k</m:t>
        </m:r>
      </m:oMath>
      <w:r>
        <w:t xml:space="preserve"> 次连续迭代后，得到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1k</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。为了防止无限迭代导致分量失去物理意义，通常引入柯西收敛准则（Cauchy Convergence Criterion）作为停止条件 </w:t>
      </w:r>
      <m:oMath>
        <m:r>
          <m:rPr/>
          <w:rPr>
            <w:rFonts w:ascii="Cambria Math" w:hAnsi="Cambria Math"/>
          </w:rPr>
          <m:t>SD</m:t>
        </m:r>
      </m:oMath>
      <w:r>
        <w:t>：</w:t>
      </w:r>
    </w:p>
    <w:p w14:paraId="1CF7B9E8">
      <w:pPr>
        <w:pStyle w:val="27"/>
        <w:ind w:firstLine="480"/>
        <w:jc w:val="center"/>
      </w:pPr>
      <m:oMathPara>
        <m:oMath>
          <m:r>
            <m:rPr/>
            <w:rPr>
              <w:rFonts w:ascii="Cambria Math" w:hAnsi="Cambria Math"/>
            </w:rPr>
            <m:t>SD=</m:t>
          </m:r>
          <m:nary>
            <m:naryPr>
              <m:chr m:val="∑"/>
              <m:ctrlPr>
                <w:rPr>
                  <w:rFonts w:ascii="Cambria Math" w:hAnsi="Cambria Math"/>
                </w:rPr>
              </m:ctrlPr>
            </m:naryPr>
            <m:sub>
              <m:r>
                <m:rPr/>
                <w:rPr>
                  <w:rFonts w:ascii="Cambria Math" w:hAnsi="Cambria Math"/>
                </w:rPr>
                <m:t>t=0</m:t>
              </m:r>
              <m:ctrlPr>
                <w:rPr>
                  <w:rFonts w:ascii="Cambria Math" w:hAnsi="Cambria Math"/>
                  <w:i/>
                </w:rPr>
              </m:ctrlPr>
            </m:sub>
            <m:sup>
              <m:r>
                <m:rPr/>
                <w:rPr>
                  <w:rFonts w:ascii="Cambria Math" w:hAnsi="Cambria Math"/>
                </w:rPr>
                <m:t>T</m:t>
              </m:r>
              <m:ctrlPr>
                <w:rPr>
                  <w:rFonts w:ascii="Cambria Math" w:hAnsi="Cambria Math"/>
                  <w:i/>
                </w:rPr>
              </m:ctrlPr>
            </m:sup>
            <m:e>
              <m:f>
                <m:fPr>
                  <m:ctrlPr>
                    <w:rPr>
                      <w:rFonts w:ascii="Cambria Math" w:hAnsi="Cambria Math"/>
                    </w:rPr>
                  </m:ctrlPr>
                </m:fPr>
                <m:num>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1</m:t>
                              </m:r>
                              <m:d>
                                <m:dPr>
                                  <m:ctrlPr>
                                    <w:rPr>
                                      <w:rFonts w:ascii="Cambria Math" w:hAnsi="Cambria Math"/>
                                      <w:i/>
                                    </w:rPr>
                                  </m:ctrlPr>
                                </m:dPr>
                                <m:e>
                                  <m:r>
                                    <m:rPr/>
                                    <w:rPr>
                                      <w:rFonts w:ascii="Cambria Math" w:hAnsi="Cambria Math"/>
                                    </w:rPr>
                                    <m:t>k−1</m:t>
                                  </m:r>
                                  <m:ctrlPr>
                                    <w:rPr>
                                      <w:rFonts w:ascii="Cambria Math" w:hAnsi="Cambria Math"/>
                                      <w:i/>
                                    </w:rPr>
                                  </m:ctrlPr>
                                </m:e>
                              </m:d>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1k</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num>
                <m:den>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1</m:t>
                      </m:r>
                      <m:d>
                        <m:dPr>
                          <m:ctrlPr>
                            <w:rPr>
                              <w:rFonts w:ascii="Cambria Math" w:hAnsi="Cambria Math"/>
                              <w:i/>
                            </w:rPr>
                          </m:ctrlPr>
                        </m:dPr>
                        <m:e>
                          <m:r>
                            <m:rPr/>
                            <w:rPr>
                              <w:rFonts w:ascii="Cambria Math" w:hAnsi="Cambria Math"/>
                            </w:rPr>
                            <m:t>k−1</m:t>
                          </m:r>
                          <m:ctrlPr>
                            <w:rPr>
                              <w:rFonts w:ascii="Cambria Math" w:hAnsi="Cambria Math"/>
                              <w:i/>
                            </w:rPr>
                          </m:ctrlPr>
                        </m:e>
                      </m:d>
                      <m:ctrlPr>
                        <w:rPr>
                          <w:rFonts w:ascii="Cambria Math" w:hAnsi="Cambria Math"/>
                          <w:i/>
                        </w:rPr>
                      </m:ctrlPr>
                    </m:sub>
                    <m:sup>
                      <m:r>
                        <m:rPr/>
                        <w:rPr>
                          <w:rFonts w:ascii="Cambria Math" w:hAnsi="Cambria Math"/>
                        </w:rPr>
                        <m:t>2</m:t>
                      </m:r>
                      <m:ctrlPr>
                        <w:rPr>
                          <w:rFonts w:ascii="Cambria Math" w:hAnsi="Cambria Math"/>
                          <w:i/>
                        </w:rPr>
                      </m:ctrlPr>
                    </m:sup>
                  </m:sSubSup>
                  <m:d>
                    <m:dPr>
                      <m:ctrlPr>
                        <w:rPr>
                          <w:rFonts w:ascii="Cambria Math" w:hAnsi="Cambria Math"/>
                          <w:i/>
                        </w:rPr>
                      </m:ctrlPr>
                    </m:dPr>
                    <m:e>
                      <m:r>
                        <m:rPr/>
                        <w:rPr>
                          <w:rFonts w:ascii="Cambria Math" w:hAnsi="Cambria Math"/>
                        </w:rPr>
                        <m:t>t</m:t>
                      </m:r>
                      <m:ctrlPr>
                        <w:rPr>
                          <w:rFonts w:ascii="Cambria Math" w:hAnsi="Cambria Math"/>
                          <w:i/>
                        </w:rPr>
                      </m:ctrlPr>
                    </m:e>
                  </m:d>
                  <m:ctrlPr>
                    <w:rPr>
                      <w:rFonts w:ascii="Cambria Math" w:hAnsi="Cambria Math"/>
                      <w:i/>
                    </w:rPr>
                  </m:ctrlPr>
                </m:den>
              </m:f>
              <m:ctrlPr>
                <w:rPr>
                  <w:rFonts w:ascii="Cambria Math" w:hAnsi="Cambria Math"/>
                  <w:i/>
                </w:rPr>
              </m:ctrlPr>
            </m:e>
          </m:nary>
        </m:oMath>
      </m:oMathPara>
    </w:p>
    <w:p w14:paraId="66A3C542">
      <w:pPr>
        <w:pStyle w:val="27"/>
        <w:ind w:firstLine="480"/>
      </w:pPr>
      <w:r>
        <w:t xml:space="preserve">当 </w:t>
      </w:r>
      <m:oMath>
        <m:r>
          <m:rPr/>
          <w:rPr>
            <w:rFonts w:ascii="Cambria Math" w:hAnsi="Cambria Math"/>
          </w:rPr>
          <m:t>SD</m:t>
        </m:r>
      </m:oMath>
      <w:r>
        <w:t xml:space="preserve"> 小于预设的阈值 </w:t>
      </w:r>
      <m:oMath>
        <m:r>
          <m:rPr>
            <m:sty m:val="p"/>
          </m:rPr>
          <w:rPr>
            <w:rFonts w:ascii="Cambria Math" w:hAnsi="Cambria Math"/>
          </w:rPr>
          <m:t>ϵ</m:t>
        </m:r>
      </m:oMath>
      <w:r>
        <w:t xml:space="preserve">（通常取0.2 ~ 0.3）时，迭代终止。此时，第一个真正满足条件的本征模函数提取成功，记为 </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1k</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。该分量通常代表了原信号中频率最高、变化最剧烈的部分。</w:t>
      </w:r>
    </w:p>
    <w:p w14:paraId="33D355DC">
      <w:pPr>
        <w:pStyle w:val="27"/>
        <w:ind w:firstLine="480"/>
      </w:pPr>
      <w:r>
        <w:rPr>
          <w:rFonts w:hint="eastAsia"/>
        </w:rPr>
        <w:t>（6）</w:t>
      </w:r>
      <w:r>
        <w:t>残差分离与递归重构</w:t>
      </w:r>
      <w:r>
        <w:rPr>
          <w:rFonts w:hint="eastAsia"/>
        </w:rPr>
        <w:t>。</w:t>
      </w:r>
      <w:r>
        <w:t xml:space="preserve">从原信号中剔除已提取出的高频分量 </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，得到剩余的低频残余分量 </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 </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=x</m:t>
        </m:r>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 随后，将 </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1</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 作为新的待分解信号，重复上述全过程（步骤1至6），依次分离出第二、第三个更低频的 IMF 分量 </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 </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3</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，直至最终的残余分量 </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n</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w:r>
        <w:t xml:space="preserve"> 变成一个单调函数，或者其极值点数量少于 2 个（无法再次拟合包络线）时，整个EMD分解过程正式结束。</w:t>
      </w:r>
    </w:p>
    <w:p w14:paraId="4D91AD71">
      <w:pPr>
        <w:pStyle w:val="27"/>
        <w:ind w:firstLine="480"/>
      </w:pPr>
      <w:r>
        <w:t xml:space="preserve">最终，原始的高度非平稳信号 </w:t>
      </w:r>
      <m:oMath>
        <m:r>
          <m:rPr/>
          <w:rPr>
            <w:rFonts w:ascii="Cambria Math" w:hAnsi="Cambria Math"/>
          </w:rPr>
          <m:t>x</m:t>
        </m:r>
        <m:d>
          <m:dPr>
            <m:ctrlPr>
              <w:rPr>
                <w:rFonts w:ascii="Cambria Math" w:hAnsi="Cambria Math"/>
                <w:i/>
              </w:rPr>
            </m:ctrlPr>
          </m:dPr>
          <m:e>
            <m:r>
              <m:rPr/>
              <w:rPr>
                <w:rFonts w:ascii="Cambria Math" w:hAnsi="Cambria Math"/>
              </w:rPr>
              <m:t>t</m:t>
            </m:r>
            <m:ctrlPr>
              <w:rPr>
                <w:rFonts w:ascii="Cambria Math" w:hAnsi="Cambria Math"/>
                <w:i/>
              </w:rPr>
            </m:ctrlPr>
          </m:e>
        </m:d>
      </m:oMath>
      <w:r>
        <w:t xml:space="preserve"> 被完美重构为 </w:t>
      </w:r>
      <m:oMath>
        <m:r>
          <m:rPr/>
          <w:rPr>
            <w:rFonts w:ascii="Cambria Math" w:hAnsi="Cambria Math"/>
          </w:rPr>
          <m:t>n</m:t>
        </m:r>
      </m:oMath>
      <w:r>
        <w:t xml:space="preserve"> 个具有明确频带划分的平稳本征模函数与1个反映信号长期演变趋势的残差分量之和： </w:t>
      </w:r>
    </w:p>
    <w:p w14:paraId="68B79DB1">
      <w:pPr>
        <w:pStyle w:val="27"/>
        <w:ind w:firstLine="480"/>
      </w:pPr>
      <m:oMathPara>
        <m:oMath>
          <m:r>
            <m:rPr/>
            <w:rPr>
              <w:rFonts w:ascii="Cambria Math" w:hAnsi="Cambria Math"/>
            </w:rPr>
            <m:t>x</m:t>
          </m:r>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ctrlPr>
                <w:rPr>
                  <w:rFonts w:ascii="Cambria Math" w:hAnsi="Cambria Math"/>
                  <w:i/>
                </w:rPr>
              </m:ctrlPr>
            </m:e>
          </m:nary>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n</m:t>
              </m:r>
              <m:ctrlPr>
                <w:rPr>
                  <w:rFonts w:ascii="Cambria Math" w:hAnsi="Cambria Math"/>
                  <w:i/>
                </w:rPr>
              </m:ctrlPr>
            </m:sub>
          </m:sSub>
          <m:d>
            <m:dPr>
              <m:ctrlPr>
                <w:rPr>
                  <w:rFonts w:ascii="Cambria Math" w:hAnsi="Cambria Math"/>
                  <w:i/>
                </w:rPr>
              </m:ctrlPr>
            </m:dPr>
            <m:e>
              <m:r>
                <m:rPr/>
                <w:rPr>
                  <w:rFonts w:ascii="Cambria Math" w:hAnsi="Cambria Math"/>
                </w:rPr>
                <m:t>t</m:t>
              </m:r>
              <m:ctrlPr>
                <w:rPr>
                  <w:rFonts w:ascii="Cambria Math" w:hAnsi="Cambria Math"/>
                  <w:i/>
                </w:rPr>
              </m:ctrlPr>
            </m:e>
          </m:d>
        </m:oMath>
      </m:oMathPara>
    </w:p>
    <w:p w14:paraId="672980BD">
      <w:pPr>
        <w:pStyle w:val="27"/>
        <w:ind w:firstLine="199" w:firstLineChars="83"/>
        <w:rPr>
          <w:rFonts w:hint="eastAsia" w:ascii="sans-serif" w:hAnsi="sans-serif" w:cs="sans-serif" w:eastAsiaTheme="minorEastAsia"/>
        </w:rPr>
      </w:pPr>
      <w:r>
        <w:rPr>
          <w:rFonts w:ascii="宋体" w:hAnsi="宋体" w:cs="宋体"/>
        </w:rPr>
        <w:t>通过这种逐层“筛分”的降维打击，</w:t>
      </w:r>
      <w:r>
        <w:rPr>
          <w:rFonts w:cs="宋体"/>
        </w:rPr>
        <w:t>EMD</w:t>
      </w:r>
      <w:r>
        <w:rPr>
          <w:rFonts w:ascii="宋体" w:hAnsi="宋体" w:cs="宋体"/>
        </w:rPr>
        <w:t>及相关模态分解技术极大地削弱了光伏功率序列的非线性和非平稳性，为后续深度神经网络（如</w:t>
      </w:r>
      <w:r>
        <w:rPr>
          <w:rFonts w:cs="宋体"/>
        </w:rPr>
        <w:t>BiGRU</w:t>
      </w:r>
      <w:r>
        <w:rPr>
          <w:rFonts w:ascii="宋体" w:hAnsi="宋体" w:cs="宋体"/>
        </w:rPr>
        <w:t>、</w:t>
      </w:r>
      <w:r>
        <w:rPr>
          <w:rFonts w:cs="宋体"/>
        </w:rPr>
        <w:t>TCN</w:t>
      </w:r>
      <w:r>
        <w:rPr>
          <w:rFonts w:ascii="宋体" w:hAnsi="宋体" w:cs="宋体"/>
        </w:rPr>
        <w:t>等）的特征学习铺平了理论道路</w:t>
      </w:r>
      <w:r>
        <w:rPr>
          <w:rFonts w:cs="宋体"/>
          <w:vertAlign w:val="superscript"/>
        </w:rPr>
        <w:t>[2</w:t>
      </w:r>
      <w:r>
        <w:rPr>
          <w:rFonts w:hint="eastAsia" w:cs="宋体"/>
          <w:vertAlign w:val="superscript"/>
        </w:rPr>
        <w:t>][</w:t>
      </w:r>
      <w:r>
        <w:rPr>
          <w:rFonts w:cs="宋体"/>
          <w:vertAlign w:val="superscript"/>
        </w:rPr>
        <w:t>6]</w:t>
      </w:r>
      <w:r>
        <w:rPr>
          <w:rFonts w:ascii="宋体" w:hAnsi="宋体" w:cs="宋体"/>
        </w:rPr>
        <w:t>。</w:t>
      </w:r>
    </w:p>
    <w:p w14:paraId="3E3CD303">
      <w:pPr>
        <w:pStyle w:val="26"/>
        <w:spacing w:before="156" w:after="156"/>
        <w:outlineLvl w:val="2"/>
      </w:pPr>
      <w:r>
        <w:rPr>
          <w:rFonts w:hint="eastAsia"/>
        </w:rPr>
        <w:t xml:space="preserve"> </w:t>
      </w:r>
      <w:bookmarkStart w:id="136" w:name="_Toc23523"/>
      <w:bookmarkStart w:id="137" w:name="_Toc31317"/>
      <w:bookmarkStart w:id="138" w:name="_Toc29459"/>
      <w:bookmarkStart w:id="139" w:name="_Toc227161697"/>
      <w:r>
        <w:t>模态混叠问题</w:t>
      </w:r>
      <w:bookmarkEnd w:id="136"/>
      <w:bookmarkEnd w:id="137"/>
      <w:bookmarkEnd w:id="138"/>
      <w:bookmarkEnd w:id="139"/>
    </w:p>
    <w:bookmarkEnd w:id="135"/>
    <w:p w14:paraId="3E77F9B3">
      <w:pPr>
        <w:pStyle w:val="27"/>
        <w:ind w:firstLine="480"/>
      </w:pPr>
      <w:bookmarkStart w:id="140" w:name="u592a0e70"/>
      <w:r>
        <w:t>模态混叠是EMD的典型问题，指不同时间尺度的特征出现在同一个IMF分量中，导致分量物理意义模糊。其主要成因包括信号突变、间断点与噪声干扰。在实际应用中，可通过合理筛选有效分量、数据预处理等方式减轻其影响，本文即采用保留前序有效IMF、剔除高频噪声分量的策略提升分解质量。</w:t>
      </w:r>
    </w:p>
    <w:bookmarkEnd w:id="140"/>
    <w:p w14:paraId="1BB3192D">
      <w:pPr>
        <w:pStyle w:val="25"/>
        <w:spacing w:before="156" w:after="156"/>
      </w:pPr>
      <w:bookmarkStart w:id="141" w:name="1812ace2"/>
      <w:r>
        <w:t xml:space="preserve"> </w:t>
      </w:r>
      <w:bookmarkStart w:id="142" w:name="_Toc25995"/>
      <w:bookmarkStart w:id="143" w:name="_Toc1228"/>
      <w:bookmarkStart w:id="144" w:name="_Toc227161698"/>
      <w:bookmarkStart w:id="145" w:name="_Toc27631"/>
      <w:r>
        <w:t>循环神经网络相关模型</w:t>
      </w:r>
      <w:bookmarkEnd w:id="142"/>
      <w:bookmarkEnd w:id="143"/>
      <w:bookmarkEnd w:id="144"/>
      <w:bookmarkEnd w:id="145"/>
    </w:p>
    <w:bookmarkEnd w:id="141"/>
    <w:p w14:paraId="40D9A253">
      <w:pPr>
        <w:pStyle w:val="26"/>
        <w:spacing w:before="156" w:after="156"/>
        <w:outlineLvl w:val="2"/>
      </w:pPr>
      <w:bookmarkStart w:id="146" w:name="b218cf18"/>
      <w:r>
        <w:t xml:space="preserve"> </w:t>
      </w:r>
      <w:bookmarkStart w:id="147" w:name="_Toc10783"/>
      <w:bookmarkStart w:id="148" w:name="_Toc227161699"/>
      <w:bookmarkStart w:id="149" w:name="_Toc19793"/>
      <w:bookmarkStart w:id="150" w:name="_Toc16736"/>
      <w:r>
        <w:t>循环神经网络（RNN）</w:t>
      </w:r>
      <w:bookmarkEnd w:id="147"/>
      <w:bookmarkEnd w:id="148"/>
      <w:bookmarkEnd w:id="149"/>
      <w:bookmarkEnd w:id="150"/>
    </w:p>
    <w:bookmarkEnd w:id="146"/>
    <w:p w14:paraId="78350EDC">
      <w:pPr>
        <w:pStyle w:val="27"/>
        <w:ind w:firstLine="480"/>
      </w:pPr>
      <w:bookmarkStart w:id="151" w:name="3a17b5b7"/>
      <w:r>
        <w:t>传统的前馈神经网络（Feedforward Neural Network）在处理数据时，假设所有的输入样本之间是相互独立的，这种结构在处理具有前后依赖关系的时间序列数据时往往显得力不从心。循环神经网络（Recurrent Neural Network, RNN）则是一类专门为处理序列数据而设计的神经网络架构。其核心创新在于网络内部引入了“记忆”机制（即隐藏状态的自连接），使得网络不仅能够接收当前时刻的输入，还能结合上一时刻的内部状态，从而让历史信息能够持续影响后续的输出。</w:t>
      </w:r>
    </w:p>
    <w:p w14:paraId="2687FD6B">
      <w:pPr>
        <w:pStyle w:val="27"/>
        <w:ind w:firstLine="480"/>
      </w:pPr>
      <w:r>
        <w:t xml:space="preserve">从数学模型来看，RNN在展开的时间步上共享同一套权重参数。假设对于给定的时间序列，在任意时刻 </w:t>
      </w:r>
      <m:oMath>
        <m:r>
          <m:rPr>
            <m:sty m:val="p"/>
          </m:rPr>
          <w:rPr>
            <w:rFonts w:ascii="Cambria Math" w:hAnsi="Cambria Math"/>
          </w:rPr>
          <m:t>t</m:t>
        </m:r>
      </m:oMath>
      <w:r>
        <w:t xml:space="preserve">，网络的输入向量为 </w:t>
      </w:r>
      <m:oMath>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t</m:t>
            </m:r>
            <m:ctrlPr>
              <w:rPr>
                <w:rFonts w:ascii="Cambria Math" w:hAnsi="Cambria Math"/>
              </w:rPr>
            </m:ctrlPr>
          </m:sub>
        </m:sSub>
      </m:oMath>
      <w:r>
        <w:t xml:space="preserve">，上一时刻的隐藏层状态为 </w:t>
      </w:r>
      <m:oMath>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t−1</m:t>
            </m:r>
            <m:ctrlPr>
              <w:rPr>
                <w:rFonts w:ascii="Cambria Math" w:hAnsi="Cambria Math"/>
              </w:rPr>
            </m:ctrlPr>
          </m:sub>
        </m:sSub>
      </m:oMath>
      <w:r>
        <w:t xml:space="preserve">，则当前时刻 </w:t>
      </w:r>
      <m:oMath>
        <m:r>
          <m:rPr>
            <m:sty m:val="p"/>
          </m:rPr>
          <w:rPr>
            <w:rFonts w:ascii="Cambria Math" w:hAnsi="Cambria Math"/>
          </w:rPr>
          <m:t>t</m:t>
        </m:r>
      </m:oMath>
      <w:r>
        <w:t xml:space="preserve"> 的隐藏层状态 </w:t>
      </w:r>
      <m:oMath>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t</m:t>
            </m:r>
            <m:ctrlPr>
              <w:rPr>
                <w:rFonts w:ascii="Cambria Math" w:hAnsi="Cambria Math"/>
              </w:rPr>
            </m:ctrlPr>
          </m:sub>
        </m:sSub>
      </m:oMath>
      <w:r>
        <w:t xml:space="preserve"> 和网络输出 </w:t>
      </w:r>
      <m:oMath>
        <m:sSub>
          <m:sSubPr>
            <m:ctrlPr>
              <w:rPr>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t</m:t>
            </m:r>
            <m:ctrlPr>
              <w:rPr>
                <w:rFonts w:ascii="Cambria Math" w:hAnsi="Cambria Math"/>
              </w:rPr>
            </m:ctrlPr>
          </m:sub>
        </m:sSub>
      </m:oMath>
      <w:r>
        <w:t xml:space="preserve"> 的计算过程可以通过以下公式表示：</w:t>
      </w:r>
    </w:p>
    <w:p w14:paraId="4A11B023">
      <w:pPr>
        <w:pStyle w:val="27"/>
        <w:ind w:firstLine="480"/>
      </w:pPr>
      <m:oMathPara>
        <m:oMath>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=f</m:t>
          </m:r>
          <m:d>
            <m:dPr>
              <m:ctrlPr>
                <w:rPr>
                  <w:rFonts w:ascii="Cambria Math" w:hAnsi="Cambria Math"/>
                </w:rPr>
              </m:ctrlPr>
            </m:dPr>
            <m:e>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hx</m:t>
                  </m:r>
                  <m:ctrlPr>
                    <w:rPr>
                      <w:rFonts w:ascii="Cambria Math" w:hAnsi="Cambria Math"/>
                    </w:rPr>
                  </m:ctrlPr>
                </m:sub>
              </m:sSub>
              <m:sSub>
                <m:sSubPr>
                  <m:ctrlPr>
                    <w:rPr>
                      <w:rFonts w:ascii="Cambria Math" w:hAnsi="Cambria Math"/>
                    </w:rPr>
                  </m:ctrlPr>
                </m:sSubPr>
                <m:e>
                  <m:r>
                    <m:rPr>
                      <m:sty m:val="p"/>
                    </m:rPr>
                    <w:rPr>
                      <w:rFonts w:ascii="Cambria Math" w:hAnsi="Cambria Math"/>
                    </w:rPr>
                    <m:t>x</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hh</m:t>
                  </m:r>
                  <m:ctrlPr>
                    <w:rPr>
                      <w:rFonts w:ascii="Cambria Math" w:hAnsi="Cambria Math"/>
                    </w:rPr>
                  </m:ctrlPr>
                </m:sub>
              </m:sSub>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t−1</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h</m:t>
                  </m:r>
                  <m:ctrlPr>
                    <w:rPr>
                      <w:rFonts w:ascii="Cambria Math" w:hAnsi="Cambria Math"/>
                    </w:rPr>
                  </m:ctrlPr>
                </m:sub>
              </m:sSub>
              <m:ctrlPr>
                <w:rPr>
                  <w:rFonts w:ascii="Cambria Math" w:hAnsi="Cambria Math"/>
                </w:rPr>
              </m:ctrlPr>
            </m:e>
          </m:d>
        </m:oMath>
      </m:oMathPara>
    </w:p>
    <w:p w14:paraId="239F0662">
      <w:pPr>
        <w:pStyle w:val="27"/>
        <w:ind w:firstLine="480"/>
      </w:pPr>
      <m:oMathPara>
        <m:oMath>
          <m:sSub>
            <m:sSubPr>
              <m:ctrlPr>
                <w:rPr>
                  <w:rFonts w:ascii="Cambria Math" w:hAnsi="Cambria Math"/>
                </w:rPr>
              </m:ctrlPr>
            </m:sSubPr>
            <m:e>
              <m:r>
                <m:rPr>
                  <m:sty m:val="p"/>
                </m:rPr>
                <w:rPr>
                  <w:rFonts w:ascii="Cambria Math" w:hAnsi="Cambria Math"/>
                </w:rPr>
                <m:t>y</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=g</m:t>
          </m:r>
          <m:d>
            <m:dPr>
              <m:ctrlPr>
                <w:rPr>
                  <w:rFonts w:ascii="Cambria Math" w:hAnsi="Cambria Math"/>
                </w:rPr>
              </m:ctrlPr>
            </m:dPr>
            <m:e>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yh</m:t>
                  </m:r>
                  <m:ctrlPr>
                    <w:rPr>
                      <w:rFonts w:ascii="Cambria Math" w:hAnsi="Cambria Math"/>
                    </w:rPr>
                  </m:ctrlPr>
                </m:sub>
              </m:sSub>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t</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y</m:t>
                  </m:r>
                  <m:ctrlPr>
                    <w:rPr>
                      <w:rFonts w:ascii="Cambria Math" w:hAnsi="Cambria Math"/>
                    </w:rPr>
                  </m:ctrlPr>
                </m:sub>
              </m:sSub>
              <m:ctrlPr>
                <w:rPr>
                  <w:rFonts w:ascii="Cambria Math" w:hAnsi="Cambria Math"/>
                </w:rPr>
              </m:ctrlPr>
            </m:e>
          </m:d>
        </m:oMath>
      </m:oMathPara>
    </w:p>
    <w:p w14:paraId="26C4A503">
      <w:pPr>
        <w:pStyle w:val="27"/>
        <w:ind w:firstLine="480"/>
      </w:pPr>
      <w:r>
        <w:rPr>
          <w:rFonts w:hint="eastAsia"/>
        </w:rPr>
        <w:t>在上述公式中：</w:t>
      </w:r>
    </w:p>
    <w:p w14:paraId="60FB1B89">
      <w:pPr>
        <w:pStyle w:val="27"/>
        <w:ind w:firstLine="480"/>
      </w:pPr>
      <m:oMath>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hx</m:t>
            </m:r>
            <m:ctrlPr>
              <w:rPr>
                <w:rFonts w:ascii="Cambria Math" w:hAnsi="Cambria Math"/>
              </w:rPr>
            </m:ctrlPr>
          </m:sub>
        </m:sSub>
      </m:oMath>
      <w:r>
        <w:t xml:space="preserve"> </w:t>
      </w:r>
      <w:r>
        <w:rPr>
          <w:rFonts w:hint="eastAsia"/>
        </w:rPr>
        <w:t>表示输入层到隐藏层的权重矩阵；</w:t>
      </w:r>
    </w:p>
    <w:p w14:paraId="1C5C407F">
      <w:pPr>
        <w:pStyle w:val="27"/>
        <w:ind w:firstLine="480"/>
      </w:pPr>
      <m:oMath>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hh</m:t>
            </m:r>
            <m:ctrlPr>
              <w:rPr>
                <w:rFonts w:ascii="Cambria Math" w:hAnsi="Cambria Math"/>
              </w:rPr>
            </m:ctrlPr>
          </m:sub>
        </m:sSub>
      </m:oMath>
      <w:r>
        <w:t xml:space="preserve"> </w:t>
      </w:r>
      <w:r>
        <w:rPr>
          <w:rFonts w:hint="eastAsia"/>
        </w:rPr>
        <w:t>表示上一时刻隐藏状态到当前时刻隐藏状态的权重矩阵（即循环反馈的权重）</w:t>
      </w:r>
    </w:p>
    <w:p w14:paraId="1A2306EE">
      <w:pPr>
        <w:pStyle w:val="27"/>
        <w:ind w:firstLine="480"/>
      </w:pPr>
      <m:oMath>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yh</m:t>
            </m:r>
            <m:ctrlPr>
              <w:rPr>
                <w:rFonts w:ascii="Cambria Math" w:hAnsi="Cambria Math"/>
              </w:rPr>
            </m:ctrlPr>
          </m:sub>
        </m:sSub>
      </m:oMath>
      <w:r>
        <w:t xml:space="preserve"> </w:t>
      </w:r>
      <w:r>
        <w:rPr>
          <w:rFonts w:hint="eastAsia"/>
        </w:rPr>
        <w:t>表示隐藏层到输出层的权重矩阵；</w:t>
      </w:r>
    </w:p>
    <w:p w14:paraId="4CCD942E">
      <w:pPr>
        <w:pStyle w:val="27"/>
        <w:ind w:firstLine="480"/>
      </w:pPr>
      <m:oMath>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h</m:t>
            </m:r>
            <m:ctrlPr>
              <w:rPr>
                <w:rFonts w:ascii="Cambria Math" w:hAnsi="Cambria Math"/>
              </w:rPr>
            </m:ctrlPr>
          </m:sub>
        </m:sSub>
      </m:oMath>
      <w:r>
        <w:t xml:space="preserve"> </w:t>
      </w:r>
      <w:r>
        <w:rPr>
          <w:rFonts w:hint="eastAsia"/>
        </w:rPr>
        <w:t>和</w:t>
      </w:r>
      <w:r>
        <w:t xml:space="preserve"> </w:t>
      </w:r>
      <m:oMath>
        <m:sSub>
          <m:sSubPr>
            <m:ctrlPr>
              <w:rPr>
                <w:rFonts w:ascii="Cambria Math" w:hAnsi="Cambria Math"/>
              </w:rPr>
            </m:ctrlPr>
          </m:sSubPr>
          <m:e>
            <m:r>
              <m:rPr>
                <m:sty m:val="p"/>
              </m:rPr>
              <w:rPr>
                <w:rFonts w:ascii="Cambria Math" w:hAnsi="Cambria Math"/>
              </w:rPr>
              <m:t>b</m:t>
            </m:r>
            <m:ctrlPr>
              <w:rPr>
                <w:rFonts w:ascii="Cambria Math" w:hAnsi="Cambria Math"/>
              </w:rPr>
            </m:ctrlPr>
          </m:e>
          <m:sub>
            <m:r>
              <m:rPr>
                <m:sty m:val="p"/>
              </m:rPr>
              <w:rPr>
                <w:rFonts w:ascii="Cambria Math" w:hAnsi="Cambria Math"/>
              </w:rPr>
              <m:t>y</m:t>
            </m:r>
            <m:ctrlPr>
              <w:rPr>
                <w:rFonts w:ascii="Cambria Math" w:hAnsi="Cambria Math"/>
              </w:rPr>
            </m:ctrlPr>
          </m:sub>
        </m:sSub>
      </m:oMath>
      <w:r>
        <w:t xml:space="preserve"> </w:t>
      </w:r>
      <w:r>
        <w:rPr>
          <w:rFonts w:hint="eastAsia"/>
        </w:rPr>
        <w:t>分别为隐藏层和输出层的偏置项；</w:t>
      </w:r>
    </w:p>
    <w:p w14:paraId="05BA79A3">
      <w:pPr>
        <w:pStyle w:val="27"/>
        <w:ind w:firstLine="480"/>
      </w:pPr>
      <m:oMath>
        <m:r>
          <m:rPr>
            <m:sty m:val="p"/>
          </m:rPr>
          <w:rPr>
            <w:rFonts w:ascii="Cambria Math" w:hAnsi="Cambria Math"/>
          </w:rPr>
          <m:t>f</m:t>
        </m:r>
        <m:d>
          <m:dPr>
            <m:ctrlPr>
              <w:rPr>
                <w:rFonts w:ascii="Cambria Math" w:hAnsi="Cambria Math"/>
              </w:rPr>
            </m:ctrlPr>
          </m:dPr>
          <m:e>
            <m:r>
              <m:rPr>
                <m:sty m:val="p"/>
              </m:rPr>
              <w:rPr>
                <w:rFonts w:ascii="Cambria Math" w:hAnsi="Cambria Math"/>
              </w:rPr>
              <m:t>⋅</m:t>
            </m:r>
            <m:ctrlPr>
              <w:rPr>
                <w:rFonts w:ascii="Cambria Math" w:hAnsi="Cambria Math"/>
              </w:rPr>
            </m:ctrlPr>
          </m:e>
        </m:d>
      </m:oMath>
      <w:r>
        <w:t xml:space="preserve"> </w:t>
      </w:r>
      <w:r>
        <w:rPr>
          <w:rFonts w:hint="eastAsia"/>
        </w:rPr>
        <w:t>通常为非线性激活函数，如</w:t>
      </w:r>
      <w:r>
        <w:t xml:space="preserve"> </w:t>
      </w:r>
      <m:oMath>
        <m:r>
          <m:rPr>
            <m:sty m:val="p"/>
          </m:rPr>
          <w:rPr>
            <w:rFonts w:ascii="Cambria Math" w:hAnsi="Cambria Math"/>
          </w:rPr>
          <m:t xml:space="preserve"> tanh</m:t>
        </m:r>
      </m:oMath>
      <w:r>
        <w:t xml:space="preserve"> </w:t>
      </w:r>
      <w:r>
        <w:rPr>
          <w:rFonts w:hint="eastAsia"/>
        </w:rPr>
        <w:t>或</w:t>
      </w:r>
      <w:r>
        <w:t xml:space="preserve"> </w:t>
      </w:r>
      <m:oMath>
        <m:r>
          <m:rPr>
            <m:nor/>
            <m:sty m:val="p"/>
          </m:rPr>
          <m:t>ReLU</m:t>
        </m:r>
      </m:oMath>
      <w:r>
        <w:rPr>
          <w:rFonts w:hint="eastAsia"/>
        </w:rPr>
        <w:t>，用于增加网络的非线性拟合能力；</w:t>
      </w:r>
    </w:p>
    <w:p w14:paraId="5DD91C48">
      <w:pPr>
        <w:pStyle w:val="27"/>
        <w:ind w:firstLine="480"/>
      </w:pPr>
      <m:oMath>
        <m:r>
          <m:rPr>
            <m:sty m:val="p"/>
          </m:rPr>
          <w:rPr>
            <w:rFonts w:ascii="Cambria Math" w:hAnsi="Cambria Math"/>
          </w:rPr>
          <m:t>g</m:t>
        </m:r>
        <m:d>
          <m:dPr>
            <m:ctrlPr>
              <w:rPr>
                <w:rFonts w:ascii="Cambria Math" w:hAnsi="Cambria Math"/>
              </w:rPr>
            </m:ctrlPr>
          </m:dPr>
          <m:e>
            <m:r>
              <m:rPr>
                <m:sty m:val="p"/>
              </m:rPr>
              <w:rPr>
                <w:rFonts w:ascii="Cambria Math" w:hAnsi="Cambria Math"/>
              </w:rPr>
              <m:t>⋅</m:t>
            </m:r>
            <m:ctrlPr>
              <w:rPr>
                <w:rFonts w:ascii="Cambria Math" w:hAnsi="Cambria Math"/>
              </w:rPr>
            </m:ctrlPr>
          </m:e>
        </m:d>
      </m:oMath>
      <w:r>
        <w:t xml:space="preserve"> </w:t>
      </w:r>
      <w:r>
        <w:rPr>
          <w:rFonts w:hint="eastAsia"/>
        </w:rPr>
        <w:t>为输出层的激活函数，根据具体的预测任务（如回归或分类）进行选择。</w:t>
      </w:r>
    </w:p>
    <w:p w14:paraId="6D1EED97">
      <w:pPr>
        <w:pStyle w:val="27"/>
        <w:ind w:firstLine="480"/>
      </w:pPr>
      <w:r>
        <w:rPr>
          <w:rFonts w:hint="eastAsia"/>
        </w:rPr>
        <w:t>在</w:t>
      </w:r>
      <w:r>
        <w:t>模型的训练阶段，RNN通常采用随时间反向传播算法（Backpropagation Through Time, BPTT）来更新网络权重。然而，随着序列长度的增加，BPTT 算法暴露出了传统 RNN 最致命的缺陷——梯度消失（Vanishing Gradient）或梯度爆炸（Exploding Gradient）问题。</w:t>
      </w:r>
    </w:p>
    <w:p w14:paraId="568DA839">
      <w:pPr>
        <w:pStyle w:val="27"/>
        <w:ind w:firstLine="480"/>
      </w:pPr>
      <w:r>
        <w:t xml:space="preserve">由于RNN在每个时间步都共享参数 </w:t>
      </w:r>
      <m:oMath>
        <m:sSub>
          <m:sSubPr>
            <m:ctrlPr>
              <w:rPr>
                <w:rFonts w:ascii="Cambria Math" w:hAnsi="Cambria Math"/>
              </w:rPr>
            </m:ctrlPr>
          </m:sSubPr>
          <m:e>
            <m:r>
              <m:rPr>
                <m:sty m:val="p"/>
              </m:rPr>
              <w:rPr>
                <w:rFonts w:ascii="Cambria Math" w:hAnsi="Cambria Math"/>
              </w:rPr>
              <m:t>W</m:t>
            </m:r>
            <m:ctrlPr>
              <w:rPr>
                <w:rFonts w:ascii="Cambria Math" w:hAnsi="Cambria Math"/>
              </w:rPr>
            </m:ctrlPr>
          </m:e>
          <m:sub>
            <m:r>
              <m:rPr>
                <m:sty m:val="p"/>
              </m:rPr>
              <w:rPr>
                <w:rFonts w:ascii="Cambria Math" w:hAnsi="Cambria Math"/>
              </w:rPr>
              <m:t>hh</m:t>
            </m:r>
            <m:ctrlPr>
              <w:rPr>
                <w:rFonts w:ascii="Cambria Math" w:hAnsi="Cambria Math"/>
              </w:rPr>
            </m:ctrlPr>
          </m:sub>
        </m:sSub>
      </m:oMath>
      <w:r>
        <w:t xml:space="preserve">，在计算损失函数对历史时刻状态的偏导数时，根据链式法则，会包含连乘项 </w:t>
      </w:r>
      <m:oMath>
        <m:nary>
          <m:naryPr>
            <m:chr m:val="∏"/>
            <m:subHide m:val="1"/>
            <m:supHide m:val="1"/>
            <m:ctrlPr>
              <w:rPr>
                <w:rFonts w:ascii="Cambria Math" w:hAnsi="Cambria Math"/>
              </w:rPr>
            </m:ctrlPr>
          </m:naryPr>
          <m:sub>
            <m:ctrlPr>
              <w:rPr>
                <w:rFonts w:ascii="Cambria Math" w:hAnsi="Cambria Math"/>
              </w:rPr>
            </m:ctrlPr>
          </m:sub>
          <m:sup>
            <m:ctrlPr>
              <w:rPr>
                <w:rFonts w:ascii="Cambria Math" w:hAnsi="Cambria Math"/>
              </w:rPr>
            </m:ctrlPr>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k</m:t>
                    </m:r>
                    <m:ctrlPr>
                      <w:rPr>
                        <w:rFonts w:ascii="Cambria Math" w:hAnsi="Cambria Math"/>
                      </w:rPr>
                    </m:ctrlPr>
                  </m:sub>
                </m:sSub>
                <m:ctrlPr>
                  <w:rPr>
                    <w:rFonts w:ascii="Cambria Math" w:hAnsi="Cambria Math"/>
                  </w:rPr>
                </m:ctrlPr>
              </m:num>
              <m:den>
                <m:r>
                  <m:rPr>
                    <m:sty m:val="p"/>
                  </m:rPr>
                  <w:rPr>
                    <w:rFonts w:ascii="Cambria Math" w:hAnsi="Cambria Math"/>
                  </w:rPr>
                  <m:t>∂</m:t>
                </m:r>
                <m:sSub>
                  <m:sSubPr>
                    <m:ctrlPr>
                      <w:rPr>
                        <w:rFonts w:ascii="Cambria Math" w:hAnsi="Cambria Math"/>
                      </w:rPr>
                    </m:ctrlPr>
                  </m:sSubPr>
                  <m:e>
                    <m:r>
                      <m:rPr>
                        <m:sty m:val="p"/>
                      </m:rPr>
                      <w:rPr>
                        <w:rFonts w:ascii="Cambria Math" w:hAnsi="Cambria Math"/>
                      </w:rPr>
                      <m:t>h</m:t>
                    </m:r>
                    <m:ctrlPr>
                      <w:rPr>
                        <w:rFonts w:ascii="Cambria Math" w:hAnsi="Cambria Math"/>
                      </w:rPr>
                    </m:ctrlPr>
                  </m:e>
                  <m:sub>
                    <m:r>
                      <m:rPr>
                        <m:sty m:val="p"/>
                      </m:rPr>
                      <w:rPr>
                        <w:rFonts w:ascii="Cambria Math" w:hAnsi="Cambria Math"/>
                      </w:rPr>
                      <m:t>k−1</m:t>
                    </m:r>
                    <m:ctrlPr>
                      <w:rPr>
                        <w:rFonts w:ascii="Cambria Math" w:hAnsi="Cambria Math"/>
                      </w:rPr>
                    </m:ctrlPr>
                  </m:sub>
                </m:sSub>
                <m:ctrlPr>
                  <w:rPr>
                    <w:rFonts w:ascii="Cambria Math" w:hAnsi="Cambria Math"/>
                  </w:rPr>
                </m:ctrlPr>
              </m:den>
            </m:f>
            <m:ctrlPr>
              <w:rPr>
                <w:rFonts w:ascii="Cambria Math" w:hAnsi="Cambria Math"/>
              </w:rPr>
            </m:ctrlPr>
          </m:e>
        </m:nary>
      </m:oMath>
      <w:r>
        <w:t>。当权重矩阵的特征值或者激活函数的导数小于 1 时，这种长序列的连续矩阵乘法会导致梯度呈指数级衰减趋近于 0（梯度消失），使得网络无法将远距离的误差反向传播回初始时刻；反之，若大于 1，则会导致梯度指数级放大趋向于无穷（梯度爆炸），使得模型训练崩溃。</w:t>
      </w:r>
    </w:p>
    <w:p w14:paraId="137B81FB">
      <w:pPr>
        <w:pStyle w:val="27"/>
        <w:ind w:firstLine="480"/>
        <w:rPr>
          <w:rFonts w:hint="eastAsia" w:ascii="宋体" w:hAnsi="宋体" w:cs="宋体"/>
        </w:rPr>
      </w:pPr>
      <w:r>
        <w:t>这一理论缺陷在光伏功率预测任务中表现得尤为明显。光伏功率具有极强的日周期性、季节性以及受气象突变（如云层遮挡）影响的强波动性。这要求预测模型不仅需要捕捉短期的突变特征，还必须具备记忆跨度长达数天甚至数周的长期依赖关系的能力。传统 RNN 由于梯度消失的限制，其有效记忆长度通常仅局限于十几个时间步，极易遗忘早期的关键气象信息，</w:t>
      </w:r>
      <w:r>
        <w:rPr>
          <w:rFonts w:ascii="宋体" w:hAnsi="宋体" w:cs="宋体"/>
        </w:rPr>
        <w:t xml:space="preserve">因此在光伏功率这类长时序、强波动的预测场景中拟合效果受限，往往需要引入 </w:t>
      </w:r>
      <w:r>
        <w:rPr>
          <w:rFonts w:cs="宋体"/>
        </w:rPr>
        <w:t>LSTM</w:t>
      </w:r>
      <w:r>
        <w:rPr>
          <w:rFonts w:ascii="宋体" w:hAnsi="宋体" w:cs="宋体"/>
        </w:rPr>
        <w:t xml:space="preserve"> 或 </w:t>
      </w:r>
      <w:r>
        <w:rPr>
          <w:rFonts w:cs="宋体"/>
        </w:rPr>
        <w:t>GRU</w:t>
      </w:r>
      <w:r>
        <w:rPr>
          <w:rFonts w:ascii="宋体" w:hAnsi="宋体" w:cs="宋体"/>
        </w:rPr>
        <w:t xml:space="preserve"> 等改进型变体网络以及前沿的深度学习优化算法来克服这一瓶颈</w:t>
      </w:r>
      <w:r>
        <w:rPr>
          <w:rFonts w:cs="宋体"/>
          <w:vertAlign w:val="superscript"/>
        </w:rPr>
        <w:t>[1</w:t>
      </w:r>
      <w:r>
        <w:rPr>
          <w:rFonts w:hint="eastAsia" w:cs="宋体"/>
          <w:vertAlign w:val="superscript"/>
        </w:rPr>
        <w:t>][</w:t>
      </w:r>
      <w:r>
        <w:rPr>
          <w:rFonts w:cs="宋体"/>
          <w:vertAlign w:val="superscript"/>
        </w:rPr>
        <w:t>3]</w:t>
      </w:r>
      <w:r>
        <w:rPr>
          <w:rFonts w:ascii="宋体" w:hAnsi="宋体" w:cs="宋体"/>
        </w:rPr>
        <w:t>。</w:t>
      </w:r>
    </w:p>
    <w:p w14:paraId="0436238C">
      <w:pPr>
        <w:pStyle w:val="27"/>
        <w:ind w:firstLine="480"/>
        <w:rPr>
          <w:rFonts w:hint="eastAsia" w:ascii="宋体" w:hAnsi="宋体" w:cs="宋体"/>
        </w:rPr>
      </w:pPr>
      <w:r>
        <w:rPr>
          <w:rFonts w:hint="eastAsia" w:ascii="宋体" w:hAnsi="宋体" w:cs="宋体"/>
        </w:rPr>
        <w:t>模型原理图如</w:t>
      </w:r>
      <w:r>
        <w:rPr>
          <w:rFonts w:hint="eastAsia" w:ascii="宋体" w:hAnsi="宋体" w:cs="宋体"/>
        </w:rPr>
        <w:fldChar w:fldCharType="begin"/>
      </w:r>
      <w:r>
        <w:rPr>
          <w:rFonts w:hint="eastAsia" w:ascii="宋体" w:hAnsi="宋体" w:cs="宋体"/>
        </w:rPr>
        <w:instrText xml:space="preserve"> REF _Ref227195079 \h  \* MERGEFORMAT </w:instrText>
      </w:r>
      <w:r>
        <w:rPr>
          <w:rFonts w:hint="eastAsia" w:ascii="宋体" w:hAnsi="宋体" w:cs="宋体"/>
        </w:rPr>
        <w:fldChar w:fldCharType="separate"/>
      </w:r>
      <w:r>
        <w:rPr>
          <w:rFonts w:hint="eastAsia" w:ascii="宋体" w:hAnsi="宋体" w:cs="宋体"/>
        </w:rPr>
        <w:t>图</w:t>
      </w:r>
      <w:r>
        <w:rPr>
          <w:rFonts w:hint="eastAsia" w:cs="宋体"/>
        </w:rPr>
        <w:t>2</w:t>
      </w:r>
      <w:r>
        <w:t>.</w:t>
      </w:r>
      <w:r>
        <w:rPr>
          <w:rFonts w:cs="宋体"/>
        </w:rPr>
        <w:t>1</w:t>
      </w:r>
      <w:r>
        <w:rPr>
          <w:rFonts w:hint="eastAsia" w:ascii="宋体" w:hAnsi="宋体" w:cs="宋体"/>
        </w:rPr>
        <w:fldChar w:fldCharType="end"/>
      </w:r>
      <w:r>
        <w:rPr>
          <w:rFonts w:hint="eastAsia" w:ascii="宋体" w:hAnsi="宋体" w:cs="宋体"/>
        </w:rPr>
        <w:t>所示</w:t>
      </w:r>
    </w:p>
    <w:p w14:paraId="2BFE6F87">
      <w:pPr>
        <w:pStyle w:val="14"/>
        <w:keepNext/>
        <w:widowControl/>
        <w:spacing w:beforeAutospacing="0" w:line="14" w:lineRule="atLeast"/>
        <w:jc w:val="center"/>
      </w:pPr>
      <w:r>
        <w:drawing>
          <wp:inline distT="0" distB="0" distL="0" distR="0">
            <wp:extent cx="3505200" cy="2745105"/>
            <wp:effectExtent l="0" t="0" r="0" b="0"/>
            <wp:docPr id="40785902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59026" name="图片 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3537431" cy="2770747"/>
                    </a:xfrm>
                    <a:prstGeom prst="rect">
                      <a:avLst/>
                    </a:prstGeom>
                    <a:noFill/>
                    <a:ln>
                      <a:noFill/>
                    </a:ln>
                  </pic:spPr>
                </pic:pic>
              </a:graphicData>
            </a:graphic>
          </wp:inline>
        </w:drawing>
      </w:r>
    </w:p>
    <w:p w14:paraId="5B095453">
      <w:pPr>
        <w:pStyle w:val="7"/>
        <w:jc w:val="center"/>
        <w:rPr>
          <w:rFonts w:hint="eastAsia" w:ascii="sans-serif" w:hAnsi="sans-serif" w:cs="sans-serif" w:eastAsiaTheme="minorEastAsia"/>
        </w:rPr>
      </w:pPr>
      <w:bookmarkStart w:id="152" w:name="_Ref227195079"/>
      <w:r>
        <w:rPr>
          <w:rFonts w:hint="eastAsia" w:ascii="宋体" w:hAnsi="宋体" w:cs="Times New Roman" w:eastAsiaTheme="minorEastAsia"/>
          <w:sz w:val="21"/>
          <w:szCs w:val="24"/>
        </w:rPr>
        <w:t>图</w:t>
      </w:r>
      <w:r>
        <w:rPr>
          <w:rFonts w:hint="eastAsia" w:ascii="Times New Roman" w:hAnsi="Times New Roman" w:cs="Times New Roman" w:eastAsiaTheme="minorEastAsia"/>
          <w:sz w:val="21"/>
          <w:szCs w:val="24"/>
        </w:rPr>
        <w:t>2.</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图2.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hint="eastAsia" w:ascii="Times New Roman" w:hAnsi="Times New Roman" w:cs="Times New Roman" w:eastAsiaTheme="minorEastAsia"/>
          <w:sz w:val="21"/>
          <w:szCs w:val="24"/>
        </w:rPr>
        <w:t>1</w:t>
      </w:r>
      <w:r>
        <w:rPr>
          <w:rFonts w:ascii="宋体" w:hAnsi="宋体" w:cs="Times New Roman" w:eastAsiaTheme="minorEastAsia"/>
          <w:sz w:val="21"/>
          <w:szCs w:val="24"/>
        </w:rPr>
        <w:fldChar w:fldCharType="end"/>
      </w:r>
      <w:bookmarkEnd w:id="152"/>
      <w:r>
        <w:rPr>
          <w:rFonts w:hint="eastAsia" w:ascii="宋体" w:hAnsi="宋体" w:cs="Times New Roman" w:eastAsiaTheme="minorEastAsia"/>
          <w:sz w:val="21"/>
          <w:szCs w:val="24"/>
        </w:rPr>
        <w:t xml:space="preserve"> </w:t>
      </w:r>
      <w:r>
        <w:rPr>
          <w:rFonts w:hint="eastAsia" w:ascii="Times New Roman" w:hAnsi="Times New Roman" w:cs="Times New Roman" w:eastAsiaTheme="minorEastAsia"/>
          <w:sz w:val="21"/>
          <w:szCs w:val="24"/>
        </w:rPr>
        <w:t>RNN</w:t>
      </w:r>
      <w:r>
        <w:rPr>
          <w:rFonts w:hint="eastAsia" w:ascii="宋体" w:hAnsi="宋体" w:cs="Times New Roman" w:eastAsiaTheme="minorEastAsia"/>
          <w:sz w:val="21"/>
          <w:szCs w:val="24"/>
        </w:rPr>
        <w:t xml:space="preserve"> 的结构图</w:t>
      </w:r>
    </w:p>
    <w:p w14:paraId="0FF4DC88">
      <w:pPr>
        <w:pStyle w:val="26"/>
        <w:spacing w:before="156" w:after="156"/>
        <w:outlineLvl w:val="2"/>
      </w:pPr>
      <w:r>
        <w:t xml:space="preserve"> </w:t>
      </w:r>
      <w:bookmarkStart w:id="153" w:name="_Toc227161700"/>
      <w:bookmarkStart w:id="154" w:name="_Toc1526"/>
      <w:bookmarkStart w:id="155" w:name="_Toc18115"/>
      <w:bookmarkStart w:id="156" w:name="_Toc4765"/>
      <w:r>
        <w:t>长短期记忆网络（LSTM）</w:t>
      </w:r>
      <w:bookmarkEnd w:id="153"/>
      <w:bookmarkEnd w:id="154"/>
      <w:bookmarkEnd w:id="155"/>
      <w:bookmarkEnd w:id="156"/>
    </w:p>
    <w:bookmarkEnd w:id="151"/>
    <w:p w14:paraId="3FBD01DB">
      <w:pPr>
        <w:pStyle w:val="27"/>
        <w:ind w:firstLine="480"/>
      </w:pPr>
      <w:bookmarkStart w:id="157" w:name="ua73a2c9a"/>
      <w:r>
        <w:t>为了从根本上克服传统循环神经网络（RNN）在长序列训练中面临的梯度消失与梯度爆炸问题，Hochreiter 与 Schmidhuber 提出了一种更为精密的网络架构——长短期记忆网络（Long Short-Term Memory, LSTM）。LSTM 能够在极长的时间跨度内有效地建立并维持历史状态的依赖关系，其核心创新在于引入了“细胞状态（Cell State）”这一贯穿整个时间序列的线性信息传输带，并设计了三个精密协作的“门控（Gate）”结构来主动控制信息的流入、保留与遗忘。</w:t>
      </w:r>
    </w:p>
    <w:p w14:paraId="50FD0E17">
      <w:pPr>
        <w:pStyle w:val="27"/>
        <w:ind w:firstLine="480"/>
      </w:pPr>
      <w:r>
        <w:t>长短期记忆网络（LSTM）是 RNN 的改进模型，通过引入门控机制解决梯度消失问题。LSTM 包含三个门结构：</w:t>
      </w:r>
    </w:p>
    <w:p w14:paraId="171278E7">
      <w:pPr>
        <w:pStyle w:val="27"/>
        <w:ind w:left="420" w:leftChars="200" w:firstLine="0" w:firstLineChars="0"/>
      </w:pPr>
      <w:r>
        <w:rPr>
          <w:rFonts w:hint="eastAsia"/>
        </w:rPr>
        <w:t>（1）</w:t>
      </w:r>
      <w:r>
        <w:t xml:space="preserve">遗忘门（Forget Gate），控制历史信息的丢弃： 遗忘门负责审查上一时刻的隐藏状态 </w:t>
      </w:r>
      <m:oMath>
        <m:sSub>
          <m:sSubPr>
            <m:ctrlPr>
              <w:rPr>
                <w:rFonts w:ascii="Cambria Math" w:hAnsi="Cambria Math"/>
              </w:rPr>
            </m:ctrlPr>
          </m:sSubPr>
          <m:e>
            <m:r>
              <m:rPr/>
              <w:rPr>
                <w:rFonts w:ascii="Cambria Math" w:hAnsi="Cambria Math"/>
              </w:rPr>
              <m:t>ℎ</m:t>
            </m:r>
            <m:ctrlPr>
              <w:rPr>
                <w:rFonts w:ascii="Cambria Math" w:hAnsi="Cambria Math"/>
              </w:rPr>
            </m:ctrlPr>
          </m:e>
          <m:sub>
            <m:r>
              <m:rPr/>
              <w:rPr>
                <w:rFonts w:ascii="Cambria Math" w:hAnsi="Cambria Math"/>
              </w:rPr>
              <m:t>t</m:t>
            </m:r>
            <m:r>
              <m:rPr>
                <m:sty m:val="p"/>
              </m:rPr>
              <w:rPr>
                <w:rFonts w:ascii="Cambria Math" w:hAnsi="Cambria Math"/>
              </w:rPr>
              <m:t>−1</m:t>
            </m:r>
            <m:ctrlPr>
              <w:rPr>
                <w:rFonts w:ascii="Cambria Math" w:hAnsi="Cambria Math"/>
              </w:rPr>
            </m:ctrlPr>
          </m:sub>
        </m:sSub>
      </m:oMath>
      <w:r>
        <w:t xml:space="preserve"> 和当前时刻的输入 </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oMath>
      <w:r>
        <w:t xml:space="preserve">，并通过一个 Sigmoid 激活函数输出一个介于 0 到 1 之间的权重矩阵。该权重决定了对上一时刻细胞状态 </w:t>
      </w:r>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t</m:t>
            </m:r>
            <m:r>
              <m:rPr>
                <m:sty m:val="p"/>
              </m:rPr>
              <w:rPr>
                <w:rFonts w:ascii="Cambria Math" w:hAnsi="Cambria Math"/>
              </w:rPr>
              <m:t>−1</m:t>
            </m:r>
            <m:ctrlPr>
              <w:rPr>
                <w:rFonts w:ascii="Cambria Math" w:hAnsi="Cambria Math"/>
              </w:rPr>
            </m:ctrlPr>
          </m:sub>
        </m:sSub>
      </m:oMath>
      <w:r>
        <w:t xml:space="preserve"> 中各类信息的保留程度（0 代表彻底丢弃，1 代表完全保留）。在光伏预测中，遗忘门可以自适应地“忘记”昨天与今天毫无关联的局部气象干扰（如昨日短暂的阵雨）。</w:t>
      </w:r>
    </w:p>
    <w:p w14:paraId="3AB4E2A7">
      <w:pPr>
        <w:pStyle w:val="27"/>
        <w:ind w:firstLine="84" w:firstLineChars="35"/>
      </w:pPr>
      <w:r>
        <w:t>遗忘门</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t</m:t>
            </m:r>
            <m:ctrlPr>
              <w:rPr>
                <w:rFonts w:ascii="Cambria Math" w:hAnsi="Cambria Math"/>
              </w:rPr>
            </m:ctrlPr>
          </m:sub>
        </m:sSub>
      </m:oMath>
      <w:r>
        <w:rPr>
          <w:rFonts w:hint="eastAsia"/>
        </w:rPr>
        <w:t>，</w:t>
      </w:r>
      <w:r>
        <w:t xml:space="preserve">控制上一时刻信息的保留程度： </w:t>
      </w:r>
    </w:p>
    <w:p w14:paraId="4867E501">
      <w:pPr>
        <w:pStyle w:val="27"/>
        <w:ind w:left="1202" w:firstLine="0" w:firstLineChars="0"/>
      </w:pPr>
      <m:oMathPara>
        <m:oMath>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f</m:t>
                  </m:r>
                  <m:ctrlPr>
                    <w:rPr>
                      <w:rFonts w:ascii="Cambria Math" w:hAnsi="Cambria Math"/>
                      <w:i/>
                    </w:rPr>
                  </m:ctrlP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f</m:t>
                  </m:r>
                  <m:ctrlPr>
                    <w:rPr>
                      <w:rFonts w:ascii="Cambria Math" w:hAnsi="Cambria Math"/>
                      <w:i/>
                    </w:rPr>
                  </m:ctrlPr>
                </m:sub>
              </m:sSub>
              <m:ctrlPr>
                <w:rPr>
                  <w:rFonts w:ascii="Cambria Math" w:hAnsi="Cambria Math"/>
                  <w:i/>
                </w:rPr>
              </m:ctrlPr>
            </m:e>
          </m:d>
        </m:oMath>
      </m:oMathPara>
    </w:p>
    <w:p w14:paraId="54C92404">
      <w:pPr>
        <w:pStyle w:val="27"/>
        <w:ind w:firstLine="480"/>
      </w:pPr>
      <w:r>
        <w:t xml:space="preserve">（2）输入门与候选状态（Input Gate and Candidate State），控制当前时刻信息的写入： 输入阶段由两部分协同完成。首先，输入门 </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t</m:t>
            </m:r>
            <m:ctrlPr>
              <w:rPr>
                <w:rFonts w:ascii="Cambria Math" w:hAnsi="Cambria Math"/>
                <w:i/>
              </w:rPr>
            </m:ctrlPr>
          </m:sub>
        </m:sSub>
      </m:oMath>
      <w:r>
        <w:t xml:space="preserve"> 使用 Sigmoid 函数决定哪些维度的信息需要被更新；其次，一个 Tanh 层基于当前输入构建出一个包含全新信息的候选细胞状态 </w:t>
      </w:r>
      <m:oMath>
        <m:acc>
          <m:accPr>
            <m:chr m:val="̃"/>
            <m:ctrlPr>
              <w:rPr>
                <w:rFonts w:ascii="Cambria Math" w:hAnsi="Cambria Math"/>
              </w:rPr>
            </m:ctrlPr>
          </m:accPr>
          <m:e>
            <m:sSub>
              <m:sSubPr>
                <m:ctrlPr>
                  <w:rPr>
                    <w:rFonts w:ascii="Cambria Math" w:hAnsi="Cambria Math"/>
                    <w:i/>
                  </w:rPr>
                </m:ctrlPr>
              </m:sSubPr>
              <m:e>
                <m:r>
                  <m:rPr/>
                  <w:rPr>
                    <w:rFonts w:ascii="Cambria Math" w:hAnsi="Cambria Math"/>
                  </w:rPr>
                  <m:t>C</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oMath>
      <w:r>
        <w:t>。当光伏电站上空突然出现云团遮挡导致辐射骤降时，该阶段能够迅速捕捉这一气象突变，并将其提取为高维特征。</w:t>
      </w:r>
      <w:bookmarkEnd w:id="157"/>
      <w:bookmarkStart w:id="158" w:name="u9677dfe7"/>
    </w:p>
    <w:bookmarkEnd w:id="158"/>
    <w:p w14:paraId="43778053">
      <w:pPr>
        <w:pStyle w:val="27"/>
        <w:ind w:firstLine="480"/>
      </w:pPr>
      <w:bookmarkStart w:id="159" w:name="u278d341f"/>
      <w:r>
        <w:t>输入门</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t</m:t>
            </m:r>
            <m:ctrlPr>
              <w:rPr>
                <w:rFonts w:ascii="Cambria Math" w:hAnsi="Cambria Math"/>
                <w:i/>
              </w:rPr>
            </m:ctrlPr>
          </m:sub>
        </m:sSub>
      </m:oMath>
      <w:r>
        <w:t>与候选状态</w:t>
      </w:r>
      <m:oMath>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C</m:t>
                </m:r>
                <m:ctrlPr>
                  <w:rPr>
                    <w:rFonts w:ascii="Cambria Math" w:hAnsi="Cambria Math"/>
                  </w:rPr>
                </m:ctrlPr>
              </m:e>
              <m:sub>
                <m:r>
                  <m:rPr>
                    <m:sty m:val="p"/>
                  </m:rPr>
                  <w:rPr>
                    <w:rFonts w:ascii="Cambria Math" w:hAnsi="Cambria Math"/>
                  </w:rPr>
                  <m:t>t</m:t>
                </m:r>
                <m:ctrlPr>
                  <w:rPr>
                    <w:rFonts w:ascii="Cambria Math" w:hAnsi="Cambria Math"/>
                  </w:rPr>
                </m:ctrlPr>
              </m:sub>
            </m:sSub>
            <m:ctrlPr>
              <w:rPr>
                <w:rFonts w:ascii="Cambria Math" w:hAnsi="Cambria Math"/>
              </w:rPr>
            </m:ctrlPr>
          </m:e>
        </m:acc>
      </m:oMath>
      <w:r>
        <w:rPr>
          <w:rFonts w:hint="eastAsia"/>
        </w:rPr>
        <w:t>，</w:t>
      </w:r>
      <w:r>
        <w:t>控制当前时刻信息的写入</w:t>
      </w:r>
      <w:r>
        <w:rPr>
          <w:rFonts w:hint="eastAsia"/>
        </w:rPr>
        <w:t>：</w:t>
      </w:r>
      <w:r>
        <w:t xml:space="preserve"> </w:t>
      </w:r>
    </w:p>
    <w:p w14:paraId="5A82C5F2">
      <w:pPr>
        <w:pStyle w:val="27"/>
        <w:ind w:firstLine="480"/>
      </w:pPr>
      <m:oMathPara>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m:t>
                  </m:r>
                  <m:ctrlPr>
                    <w:rPr>
                      <w:rFonts w:ascii="Cambria Math" w:hAnsi="Cambria Math"/>
                      <w:i/>
                    </w:rPr>
                  </m:ctrlP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oMath>
      </m:oMathPara>
    </w:p>
    <w:p w14:paraId="65F0ADED">
      <w:pPr>
        <w:pStyle w:val="27"/>
        <w:ind w:firstLine="480"/>
      </w:pPr>
      <m:oMathPara>
        <m:oMath>
          <m:acc>
            <m:accPr>
              <m:chr m:val="̃"/>
              <m:ctrlPr>
                <w:rPr>
                  <w:rFonts w:ascii="Cambria Math" w:hAnsi="Cambria Math"/>
                </w:rPr>
              </m:ctrlPr>
            </m:accPr>
            <m:e>
              <m:sSub>
                <m:sSubPr>
                  <m:ctrlPr>
                    <w:rPr>
                      <w:rFonts w:ascii="Cambria Math" w:hAnsi="Cambria Math"/>
                      <w:i/>
                    </w:rPr>
                  </m:ctrlPr>
                </m:sSubPr>
                <m:e>
                  <m:r>
                    <m:rPr/>
                    <w:rPr>
                      <w:rFonts w:ascii="Cambria Math" w:hAnsi="Cambria Math"/>
                    </w:rPr>
                    <m:t>C</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r>
            <m:rPr/>
            <w:rPr>
              <w:rFonts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c</m:t>
                      </m:r>
                      <m:ctrlPr>
                        <w:rPr>
                          <w:rFonts w:ascii="Cambria Math" w:hAnsi="Cambria Math"/>
                          <w:i/>
                        </w:rPr>
                      </m:ctrlP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c</m:t>
                      </m:r>
                      <m:ctrlPr>
                        <w:rPr>
                          <w:rFonts w:ascii="Cambria Math" w:hAnsi="Cambria Math"/>
                          <w:i/>
                        </w:rPr>
                      </m:ctrlPr>
                    </m:sub>
                  </m:sSub>
                  <m:ctrlPr>
                    <w:rPr>
                      <w:rFonts w:ascii="Cambria Math" w:hAnsi="Cambria Math"/>
                      <w:i/>
                    </w:rPr>
                  </m:ctrlPr>
                </m:e>
              </m:d>
              <m:ctrlPr>
                <w:rPr>
                  <w:rFonts w:ascii="Cambria Math" w:hAnsi="Cambria Math"/>
                </w:rPr>
              </m:ctrlPr>
            </m:e>
          </m:func>
        </m:oMath>
      </m:oMathPara>
    </w:p>
    <w:p w14:paraId="5D4D5535">
      <w:pPr>
        <w:pStyle w:val="27"/>
        <w:ind w:firstLine="480"/>
      </w:pPr>
      <w:r>
        <w:t xml:space="preserve">（3）细胞状态更新（Cell State Update）： 在这一阶段，网络通过逐元素乘法（阿达玛乘积，以 </w:t>
      </w:r>
      <m:oMath>
        <m:r>
          <m:rPr>
            <m:sty m:val="p"/>
          </m:rPr>
          <w:rPr>
            <w:rFonts w:hint="eastAsia" w:ascii="Cambria Math" w:hAnsi="Cambria Math"/>
          </w:rPr>
          <m:t>⊙</m:t>
        </m:r>
      </m:oMath>
      <w:r>
        <w:t xml:space="preserve"> 表示）将遗忘门的决策作用于旧的细胞状态 </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t−1</m:t>
            </m:r>
            <m:ctrlPr>
              <w:rPr>
                <w:rFonts w:ascii="Cambria Math" w:hAnsi="Cambria Math"/>
                <w:i/>
              </w:rPr>
            </m:ctrlPr>
          </m:sub>
        </m:sSub>
      </m:oMath>
      <w:r>
        <w:t xml:space="preserve">，同时将输入门的决策作用于新的候选状态 </w:t>
      </w:r>
      <m:oMath>
        <m:acc>
          <m:accPr>
            <m:chr m:val="̃"/>
            <m:ctrlPr>
              <w:rPr>
                <w:rFonts w:ascii="Cambria Math" w:hAnsi="Cambria Math"/>
              </w:rPr>
            </m:ctrlPr>
          </m:accPr>
          <m:e>
            <m:sSub>
              <m:sSubPr>
                <m:ctrlPr>
                  <w:rPr>
                    <w:rFonts w:ascii="Cambria Math" w:hAnsi="Cambria Math"/>
                    <w:i/>
                  </w:rPr>
                </m:ctrlPr>
              </m:sSubPr>
              <m:e>
                <m:r>
                  <m:rPr/>
                  <w:rPr>
                    <w:rFonts w:ascii="Cambria Math" w:hAnsi="Cambria Math"/>
                  </w:rPr>
                  <m:t>C</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oMath>
      <w:r>
        <w:t xml:space="preserve">，最终将两者线性相加，得到当前时刻全新的细胞状态 </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m:t>
            </m:r>
            <m:ctrlPr>
              <w:rPr>
                <w:rFonts w:ascii="Cambria Math" w:hAnsi="Cambria Math"/>
                <w:i/>
              </w:rPr>
            </m:ctrlPr>
          </m:sub>
        </m:sSub>
      </m:oMath>
      <w:r>
        <w:t>。这种纯线性的加法交互机制极大地保障了梯度在反向传播时能够畅通无阻，有效避免了梯度衰减。</w:t>
      </w:r>
    </w:p>
    <w:p w14:paraId="7ACAB29C">
      <w:pPr>
        <w:pStyle w:val="27"/>
        <w:ind w:firstLine="480"/>
      </w:pPr>
      <w:r>
        <w:t>细胞状态</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m:t>
            </m:r>
            <m:ctrlPr>
              <w:rPr>
                <w:rFonts w:ascii="Cambria Math" w:hAnsi="Cambria Math"/>
                <w:i/>
              </w:rPr>
            </m:ctrlPr>
          </m:sub>
        </m:sSub>
      </m:oMath>
      <w:r>
        <w:t xml:space="preserve"> 更新</w:t>
      </w:r>
    </w:p>
    <w:bookmarkEnd w:id="159"/>
    <w:p w14:paraId="4D32FB24">
      <w:pPr>
        <w:pStyle w:val="27"/>
        <w:ind w:firstLine="480"/>
      </w:pPr>
      <w:bookmarkStart w:id="160" w:name="ua0a5d2e2"/>
      <m:oMathPara>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t</m:t>
              </m:r>
              <m:ctrlPr>
                <w:rPr>
                  <w:rFonts w:ascii="Cambria Math" w:hAnsi="Cambria Math"/>
                  <w:i/>
                </w:rPr>
              </m:ctrlPr>
            </m:sub>
          </m:sSub>
          <m:r>
            <m:rPr>
              <m:sty m:val="p"/>
            </m:rPr>
            <w:rPr>
              <w:rFonts w:hint="eastAsia"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t</m:t>
              </m:r>
              <m:ctrlPr>
                <w:rPr>
                  <w:rFonts w:ascii="Cambria Math" w:hAnsi="Cambria Math"/>
                  <w:i/>
                </w:rPr>
              </m:ctrlPr>
            </m:sub>
          </m:sSub>
          <m:r>
            <m:rPr>
              <m:sty m:val="p"/>
            </m:rPr>
            <w:rPr>
              <w:rFonts w:hint="eastAsia" w:ascii="Cambria Math" w:hAnsi="Cambria Math"/>
            </w:rPr>
            <m:t>⊙</m:t>
          </m:r>
          <m:acc>
            <m:accPr>
              <m:chr m:val="̃"/>
              <m:ctrlPr>
                <w:rPr>
                  <w:rFonts w:ascii="Cambria Math" w:hAnsi="Cambria Math"/>
                </w:rPr>
              </m:ctrlPr>
            </m:accPr>
            <m:e>
              <m:sSub>
                <m:sSubPr>
                  <m:ctrlPr>
                    <w:rPr>
                      <w:rFonts w:ascii="Cambria Math" w:hAnsi="Cambria Math"/>
                      <w:i/>
                    </w:rPr>
                  </m:ctrlPr>
                </m:sSubPr>
                <m:e>
                  <m:r>
                    <m:rPr/>
                    <w:rPr>
                      <w:rFonts w:ascii="Cambria Math" w:hAnsi="Cambria Math"/>
                    </w:rPr>
                    <m:t>C</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oMath>
      </m:oMathPara>
    </w:p>
    <w:p w14:paraId="37D96048">
      <w:pPr>
        <w:pStyle w:val="27"/>
        <w:ind w:firstLine="480"/>
      </w:pPr>
      <w:r>
        <w:t xml:space="preserve">（4）输出门与隐藏状态（Output Gate and Hidden State）： 细胞状态更新完毕后，网络需要决定将哪些信息作为当前时间步的输出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Sub>
      </m:oMath>
      <w:r>
        <w:t xml:space="preserve"> 传递给下一层或下一个时间步。输出门 </w:t>
      </w:r>
      <m:oMath>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t</m:t>
            </m:r>
            <m:ctrlPr>
              <w:rPr>
                <w:rFonts w:ascii="Cambria Math" w:hAnsi="Cambria Math"/>
                <w:i/>
              </w:rPr>
            </m:ctrlPr>
          </m:sub>
        </m:sSub>
      </m:oMath>
      <w:r>
        <w:t xml:space="preserve"> 首先评估当前输入，生成一个过滤权重；随后，将更新后的细胞状态 </w:t>
      </w:r>
      <m:oMath>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m:t>
            </m:r>
            <m:ctrlPr>
              <w:rPr>
                <w:rFonts w:ascii="Cambria Math" w:hAnsi="Cambria Math"/>
                <w:i/>
              </w:rPr>
            </m:ctrlPr>
          </m:sub>
        </m:sSub>
      </m:oMath>
      <w:r>
        <w:t xml:space="preserve"> 经过 Tanh 函数映射到 [-1, 1] 区间，再与 </w:t>
      </w:r>
      <m:oMath>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t</m:t>
            </m:r>
            <m:ctrlPr>
              <w:rPr>
                <w:rFonts w:ascii="Cambria Math" w:hAnsi="Cambria Math"/>
                <w:i/>
              </w:rPr>
            </m:ctrlPr>
          </m:sub>
        </m:sSub>
      </m:oMath>
      <w:r>
        <w:t xml:space="preserve"> 相乘。这样既保证了输出的非线性表达能力，又剔除了对当前步预测无用的冗余背景状态。</w:t>
      </w:r>
    </w:p>
    <w:p w14:paraId="294F7995">
      <w:pPr>
        <w:pStyle w:val="27"/>
        <w:ind w:firstLine="480"/>
      </w:pPr>
      <w:r>
        <w:t xml:space="preserve">输出门 </w:t>
      </w:r>
      <m:oMath>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t</m:t>
            </m:r>
            <m:ctrlPr>
              <w:rPr>
                <w:rFonts w:ascii="Cambria Math" w:hAnsi="Cambria Math"/>
                <w:i/>
              </w:rPr>
            </m:ctrlPr>
          </m:sub>
        </m:sSub>
      </m:oMath>
      <w:r>
        <w:t xml:space="preserve"> 与隐藏状态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Sub>
      </m:oMath>
      <w:r>
        <w:t xml:space="preserve">： </w:t>
      </w:r>
    </w:p>
    <w:p w14:paraId="68F81148">
      <w:pPr>
        <w:pStyle w:val="27"/>
        <w:ind w:firstLine="480"/>
      </w:pPr>
      <m:oMathPara>
        <m:oMath>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o</m:t>
                  </m:r>
                  <m:ctrlPr>
                    <w:rPr>
                      <w:rFonts w:ascii="Cambria Math" w:hAnsi="Cambria Math"/>
                      <w:i/>
                    </w:rPr>
                  </m:ctrlP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o</m:t>
                  </m:r>
                  <m:ctrlPr>
                    <w:rPr>
                      <w:rFonts w:ascii="Cambria Math" w:hAnsi="Cambria Math"/>
                      <w:i/>
                    </w:rPr>
                  </m:ctrlPr>
                </m:sub>
              </m:sSub>
              <m:ctrlPr>
                <w:rPr>
                  <w:rFonts w:ascii="Cambria Math" w:hAnsi="Cambria Math"/>
                  <w:i/>
                </w:rPr>
              </m:ctrlPr>
            </m:e>
          </m:d>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t</m:t>
              </m:r>
              <m:ctrlPr>
                <w:rPr>
                  <w:rFonts w:ascii="Cambria Math" w:hAnsi="Cambria Math"/>
                  <w:i/>
                </w:rPr>
              </m:ctrlPr>
            </m:sub>
          </m:sSub>
          <m:r>
            <m:rPr>
              <m:sty m:val="p"/>
            </m:rPr>
            <w:rPr>
              <w:rFonts w:hint="eastAsia"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ctrlPr>
                <w:rPr>
                  <w:rFonts w:ascii="Cambria Math" w:hAnsi="Cambria Math"/>
                </w:rPr>
              </m:ctrlPr>
            </m:e>
          </m:func>
        </m:oMath>
      </m:oMathPara>
    </w:p>
    <w:p w14:paraId="0FBBF44A">
      <w:pPr>
        <w:pStyle w:val="27"/>
        <w:ind w:firstLine="480"/>
        <w:outlineLvl w:val="3"/>
      </w:pPr>
      <m:oMathPara>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o</m:t>
              </m:r>
              <m:ctrlPr>
                <w:rPr>
                  <w:rFonts w:ascii="Cambria Math" w:hAnsi="Cambria Math"/>
                  <w:i/>
                </w:rPr>
              </m:ctrlPr>
            </m:e>
            <m:sub>
              <m:r>
                <m:rPr/>
                <w:rPr>
                  <w:rFonts w:ascii="Cambria Math" w:hAnsi="Cambria Math"/>
                </w:rPr>
                <m:t>t</m:t>
              </m:r>
              <m:ctrlPr>
                <w:rPr>
                  <w:rFonts w:ascii="Cambria Math" w:hAnsi="Cambria Math"/>
                  <w:i/>
                </w:rPr>
              </m:ctrlPr>
            </m:sub>
          </m:sSub>
          <m:r>
            <m:rPr>
              <m:sty m:val="p"/>
            </m:rPr>
            <w:rPr>
              <w:rFonts w:hint="eastAsia"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ctrlPr>
                <w:rPr>
                  <w:rFonts w:ascii="Cambria Math" w:hAnsi="Cambria Math"/>
                </w:rPr>
              </m:ctrlPr>
            </m:e>
          </m:func>
        </m:oMath>
      </m:oMathPara>
    </w:p>
    <w:p w14:paraId="38977B66">
      <w:pPr>
        <w:pStyle w:val="27"/>
        <w:ind w:firstLine="480"/>
      </w:pPr>
    </w:p>
    <w:bookmarkEnd w:id="160"/>
    <w:p w14:paraId="2665BA98">
      <w:pPr>
        <w:pStyle w:val="27"/>
        <w:ind w:firstLine="480"/>
      </w:pPr>
      <w:bookmarkStart w:id="161" w:name="u864f4bcf"/>
      <w:r>
        <w:t>通过上述遗忘门、输入门与输出门组成的三门协同结构，LSTM 在数学机理上具备了极强的历史长记忆能力与噪声过滤能力。在光伏功率预测中，这种架构不仅能够长期“记住”受地球自转影响的光伏日周期循环规律（长时依赖），还能精准定位并响应局部风、温、湿及云系变化带来的瞬态扰动（短时特征）。</w:t>
      </w:r>
      <w:r>
        <w:rPr>
          <w:rFonts w:ascii="宋体" w:hAnsi="宋体" w:cs="宋体"/>
        </w:rPr>
        <w:t>因此，</w:t>
      </w:r>
      <w:r>
        <w:rPr>
          <w:rFonts w:cs="宋体"/>
        </w:rPr>
        <w:t>LSTM</w:t>
      </w:r>
      <w:r>
        <w:rPr>
          <w:rFonts w:ascii="宋体" w:hAnsi="宋体" w:cs="宋体"/>
        </w:rPr>
        <w:t xml:space="preserve"> 极大提升了模型在非平稳气象条件下的预测精度，成为深度学习时序与新能源功率预测领域中被最广泛使用的基石模型之一</w:t>
      </w:r>
      <w:r>
        <w:rPr>
          <w:rFonts w:cs="宋体"/>
          <w:vertAlign w:val="superscript"/>
        </w:rPr>
        <w:t>[6]</w:t>
      </w:r>
      <w:r>
        <w:t>。</w:t>
      </w:r>
      <w:r>
        <w:rPr>
          <w:rFonts w:hint="eastAsia"/>
        </w:rPr>
        <w:t>模型原理如</w:t>
      </w:r>
      <w:r>
        <w:fldChar w:fldCharType="begin"/>
      </w:r>
      <w:r>
        <w:instrText xml:space="preserve"> </w:instrText>
      </w:r>
      <w:r>
        <w:rPr>
          <w:rFonts w:hint="eastAsia"/>
        </w:rPr>
        <w:instrText xml:space="preserve">REF _Ref227195178 \h</w:instrText>
      </w:r>
      <w:r>
        <w:instrText xml:space="preserve">  \* MERGEFORMAT </w:instrText>
      </w:r>
      <w:r>
        <w:fldChar w:fldCharType="separate"/>
      </w:r>
      <w:r>
        <w:rPr>
          <w:rFonts w:hint="eastAsia"/>
        </w:rPr>
        <w:t>图2.</w:t>
      </w:r>
      <w:r>
        <w:t>2</w:t>
      </w:r>
      <w:r>
        <w:fldChar w:fldCharType="end"/>
      </w:r>
      <w:r>
        <w:rPr>
          <w:rFonts w:hint="eastAsia"/>
        </w:rPr>
        <w:t>所示</w:t>
      </w:r>
    </w:p>
    <w:p w14:paraId="27B41816">
      <w:pPr>
        <w:pStyle w:val="27"/>
        <w:keepNext/>
        <w:ind w:firstLine="480"/>
        <w:jc w:val="center"/>
      </w:pPr>
      <w:r>
        <w:drawing>
          <wp:inline distT="0" distB="0" distL="114300" distR="114300">
            <wp:extent cx="3756660" cy="2730500"/>
            <wp:effectExtent l="0" t="0" r="0" b="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21"/>
                    <a:stretch>
                      <a:fillRect/>
                    </a:stretch>
                  </pic:blipFill>
                  <pic:spPr>
                    <a:xfrm>
                      <a:off x="0" y="0"/>
                      <a:ext cx="3757627" cy="2731742"/>
                    </a:xfrm>
                    <a:prstGeom prst="rect">
                      <a:avLst/>
                    </a:prstGeom>
                    <a:noFill/>
                    <a:ln>
                      <a:noFill/>
                    </a:ln>
                  </pic:spPr>
                </pic:pic>
              </a:graphicData>
            </a:graphic>
          </wp:inline>
        </w:drawing>
      </w:r>
    </w:p>
    <w:p w14:paraId="430CC6AE">
      <w:pPr>
        <w:pStyle w:val="7"/>
        <w:jc w:val="center"/>
        <w:rPr>
          <w:rFonts w:hint="eastAsia" w:ascii="宋体" w:hAnsi="宋体" w:cs="Times New Roman" w:eastAsiaTheme="minorEastAsia"/>
          <w:sz w:val="21"/>
          <w:szCs w:val="24"/>
        </w:rPr>
      </w:pPr>
      <w:bookmarkStart w:id="162" w:name="_Ref227195178"/>
      <w:r>
        <w:rPr>
          <w:rFonts w:hint="eastAsia" w:ascii="宋体" w:hAnsi="宋体" w:cs="Times New Roman" w:eastAsiaTheme="minorEastAsia"/>
          <w:sz w:val="21"/>
          <w:szCs w:val="24"/>
        </w:rPr>
        <w:t>图</w:t>
      </w:r>
      <w:r>
        <w:rPr>
          <w:rFonts w:hint="eastAsia" w:ascii="Times New Roman" w:hAnsi="Times New Roman" w:cs="Times New Roman" w:eastAsiaTheme="minorEastAsia"/>
          <w:sz w:val="21"/>
          <w:szCs w:val="24"/>
        </w:rPr>
        <w:t>2.</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图2.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hint="eastAsia" w:ascii="Times New Roman" w:hAnsi="Times New Roman" w:cs="Times New Roman" w:eastAsiaTheme="minorEastAsia"/>
          <w:sz w:val="21"/>
          <w:szCs w:val="24"/>
        </w:rPr>
        <w:t>2</w:t>
      </w:r>
      <w:r>
        <w:rPr>
          <w:rFonts w:ascii="宋体" w:hAnsi="宋体" w:cs="Times New Roman" w:eastAsiaTheme="minorEastAsia"/>
          <w:sz w:val="21"/>
          <w:szCs w:val="24"/>
        </w:rPr>
        <w:fldChar w:fldCharType="end"/>
      </w:r>
      <w:bookmarkEnd w:id="162"/>
      <w:r>
        <w:rPr>
          <w:rFonts w:hint="eastAsia" w:ascii="宋体" w:hAnsi="宋体" w:cs="Times New Roman" w:eastAsiaTheme="minorEastAsia"/>
          <w:sz w:val="21"/>
          <w:szCs w:val="24"/>
        </w:rPr>
        <w:t xml:space="preserve"> </w:t>
      </w:r>
      <w:r>
        <w:rPr>
          <w:rFonts w:hint="eastAsia" w:ascii="Times New Roman" w:hAnsi="Times New Roman" w:cs="Times New Roman" w:eastAsiaTheme="minorEastAsia"/>
          <w:sz w:val="21"/>
          <w:szCs w:val="24"/>
        </w:rPr>
        <w:t>LSTM</w:t>
      </w:r>
      <w:r>
        <w:rPr>
          <w:rFonts w:hint="eastAsia" w:ascii="宋体" w:hAnsi="宋体" w:cs="Times New Roman" w:eastAsiaTheme="minorEastAsia"/>
          <w:sz w:val="21"/>
          <w:szCs w:val="24"/>
        </w:rPr>
        <w:t xml:space="preserve"> 的结构图</w:t>
      </w:r>
    </w:p>
    <w:p w14:paraId="5C2ECE03">
      <w:pPr>
        <w:pStyle w:val="27"/>
        <w:ind w:firstLine="480"/>
      </w:pPr>
    </w:p>
    <w:bookmarkEnd w:id="161"/>
    <w:p w14:paraId="0AA229E7">
      <w:pPr>
        <w:pStyle w:val="26"/>
        <w:spacing w:before="156" w:after="156"/>
        <w:outlineLvl w:val="2"/>
      </w:pPr>
      <w:bookmarkStart w:id="163" w:name="f660a65a"/>
      <w:r>
        <w:t xml:space="preserve"> </w:t>
      </w:r>
      <w:bookmarkStart w:id="164" w:name="_Toc1949"/>
      <w:bookmarkStart w:id="165" w:name="_Toc22501"/>
      <w:bookmarkStart w:id="166" w:name="_Toc8739"/>
      <w:bookmarkStart w:id="167" w:name="_Toc227161701"/>
      <w:r>
        <w:t>门控循环单元（GRU）</w:t>
      </w:r>
      <w:bookmarkEnd w:id="164"/>
      <w:bookmarkEnd w:id="165"/>
      <w:bookmarkEnd w:id="166"/>
      <w:bookmarkEnd w:id="167"/>
    </w:p>
    <w:bookmarkEnd w:id="163"/>
    <w:p w14:paraId="0A2E2A1C">
      <w:pPr>
        <w:pStyle w:val="27"/>
        <w:ind w:firstLine="480"/>
      </w:pPr>
      <w:bookmarkStart w:id="168" w:name="u3a5993f6"/>
      <w:r>
        <w:t>虽然长短期记忆网络（LSTM）能够有效解决长时序依赖问题，但其内部包含三个门控单元和独立的细胞状态，导致模型参数量庞大，在处理高维度光伏气象数据时容易出现训练耗时长、显存占用大以及过拟合等问题。为了在保证预测精度的同时提升计算效率，Kyunghyun Cho 等人在 2014 年提出了一种更为高度精简的架构——门控循环单元（Gated Recurrent Unit, GRU）。</w:t>
      </w:r>
    </w:p>
    <w:p w14:paraId="28122793">
      <w:pPr>
        <w:pStyle w:val="27"/>
        <w:ind w:firstLine="480"/>
      </w:pPr>
      <w:r>
        <w:t xml:space="preserve">GRU 在内部逻辑上对 LSTM 进行了深度重构：它去除了单独的细胞状态，将 LSTM 中的“遗忘门”与“输入门”合并为单一的“更新门”，并保留了“重置门”。这种设计使得网络在保持长程记忆追踪能力的同时，显著减少了张量乘法运算的数量，更适合大规模光伏数据的工程部署。在任意时刻 </w:t>
      </w:r>
      <m:oMath>
        <m:r>
          <m:rPr/>
          <w:rPr>
            <w:rFonts w:ascii="Cambria Math" w:hAnsi="Cambria Math"/>
          </w:rPr>
          <m:t>t</m:t>
        </m:r>
      </m:oMath>
      <w:r>
        <w:t>，GRU 的前向传播过程由以下几个核心机制构成：</w:t>
      </w:r>
    </w:p>
    <w:p w14:paraId="5B84FD1B">
      <w:pPr>
        <w:pStyle w:val="27"/>
        <w:ind w:firstLine="480"/>
      </w:pPr>
      <w:r>
        <w:t xml:space="preserve">（1）重置门（Reset Gate），控制历史记忆的丢弃： 重置门 </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oMath>
      <w:r>
        <w:t xml:space="preserve"> 用于决定上一时刻的隐藏状态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oMath>
      <w:r>
        <w:t xml:space="preserve"> 有多少信息需要被“忽略”。它通过一个 Sigmoid 层输出 0 到 1 之间的权重。在光伏预测的实际场景中，当电站清晨刚刚启动，或者遭遇强对流天气导致局部云团瞬间遮挡时，历史平稳的晴天数据参考价值大幅下降。此时，重置门能够敏锐地输出趋近于 0 的权重，有效“隔离”这些失效的历史记忆，防止其对当前突变状态产生干扰。 </w:t>
      </w:r>
      <w:r>
        <w:rPr>
          <w:rFonts w:ascii="Cambria Math" w:hAnsi="Cambria Math"/>
          <w:i/>
        </w:rPr>
        <w:br w:type="textWrapping"/>
      </w:r>
      <m:oMathPara>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r</m:t>
                  </m:r>
                  <m:ctrlPr>
                    <w:rPr>
                      <w:rFonts w:ascii="Cambria Math" w:hAnsi="Cambria Math"/>
                      <w:i/>
                    </w:rPr>
                  </m:ctrlP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r</m:t>
                  </m:r>
                  <m:ctrlPr>
                    <w:rPr>
                      <w:rFonts w:ascii="Cambria Math" w:hAnsi="Cambria Math"/>
                      <w:i/>
                    </w:rPr>
                  </m:ctrlPr>
                </m:sub>
              </m:sSub>
              <m:ctrlPr>
                <w:rPr>
                  <w:rFonts w:ascii="Cambria Math" w:hAnsi="Cambria Math"/>
                  <w:i/>
                </w:rPr>
              </m:ctrlPr>
            </m:e>
          </m:d>
        </m:oMath>
      </m:oMathPara>
    </w:p>
    <w:p w14:paraId="17EED252">
      <w:pPr>
        <w:pStyle w:val="27"/>
        <w:ind w:firstLine="480"/>
        <w:jc w:val="left"/>
      </w:pPr>
      <w:r>
        <w:t xml:space="preserve">（2）更新门（Update Gate），平衡历史与现在的比重： 更新门 </w:t>
      </w:r>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oMath>
      <w:r>
        <w:t xml:space="preserve"> 承担了 LSTM 中遗忘门和输入门的双重职责，用于控制上一时刻状态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oMath>
      <w:r>
        <w:t xml:space="preserve"> 被带入当前状态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Sub>
      </m:oMath>
      <w:r>
        <w:t xml:space="preserve"> 的比例。当天气状况持续稳定（如连续无云的午后），更新门会输出趋近于 0 的值，使得模型倾向于保留长期的历史惯性趋势，维持光伏功率输出曲线的平滑演进。</w:t>
      </w:r>
    </w:p>
    <w:p w14:paraId="400761A4">
      <w:pPr>
        <w:pStyle w:val="27"/>
        <w:ind w:firstLine="480"/>
        <w:jc w:val="center"/>
      </w:pPr>
      <m:oMathPara>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r>
            <m:rPr>
              <m:sty m:val="p"/>
            </m:rPr>
            <w:rPr>
              <w:rFonts w:ascii="Cambria Math" w:hAnsi="Cambria Math"/>
            </w:rPr>
            <m:t>σ</m:t>
          </m:r>
          <m:d>
            <m:dPr>
              <m:ctrlPr>
                <w:rPr>
                  <w:rFonts w:ascii="Cambria Math" w:hAnsi="Cambria Math"/>
                  <w:i/>
                </w:rPr>
              </m:ctrlPr>
            </m:d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z</m:t>
                  </m:r>
                  <m:ctrlPr>
                    <w:rPr>
                      <w:rFonts w:ascii="Cambria Math" w:hAnsi="Cambria Math"/>
                      <w:i/>
                    </w:rPr>
                  </m:ctrlPr>
                </m:sub>
              </m:sSub>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z</m:t>
                  </m:r>
                  <m:ctrlPr>
                    <w:rPr>
                      <w:rFonts w:ascii="Cambria Math" w:hAnsi="Cambria Math"/>
                      <w:i/>
                    </w:rPr>
                  </m:ctrlPr>
                </m:sub>
              </m:sSub>
              <m:ctrlPr>
                <w:rPr>
                  <w:rFonts w:ascii="Cambria Math" w:hAnsi="Cambria Math"/>
                  <w:i/>
                </w:rPr>
              </m:ctrlPr>
            </m:e>
          </m:d>
        </m:oMath>
      </m:oMathPara>
    </w:p>
    <w:p w14:paraId="76399FD9">
      <w:pPr>
        <w:pStyle w:val="27"/>
        <w:ind w:firstLine="480"/>
      </w:pPr>
      <w:r>
        <w:t xml:space="preserve">（3）候选隐藏状态（Candidate Hidden State），构建当前新知： 该阶段利用重置门 </w:t>
      </w:r>
      <m:oMath>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oMath>
      <w:r>
        <w:t xml:space="preserve"> 对历史状态进行过滤，并与当前输入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oMath>
      <w:r>
        <w:t xml:space="preserve"> 拼接，通过 Tanh 激活函数生成包含当前全新气象特征的候选状态 </w:t>
      </w:r>
      <w:r>
        <w:br w:type="textWrapping"/>
      </w:r>
      <m:oMathPara>
        <m:oMath>
          <m:acc>
            <m:accPr>
              <m:chr m:val="̃"/>
              <m:ctrlPr>
                <w:rPr>
                  <w:rFonts w:ascii="Cambria Math" w:hAnsi="Cambria Math"/>
                </w:rPr>
              </m:ctrlPr>
            </m:accPr>
            <m:e>
              <m:sSub>
                <m:sSubPr>
                  <m:ctrlPr>
                    <w:rPr>
                      <w:rFonts w:ascii="Cambria Math" w:hAnsi="Cambria Math"/>
                      <w:i/>
                    </w:rPr>
                  </m:ctrlPr>
                </m:sSubPr>
                <m:e>
                  <m:r>
                    <m:rPr/>
                    <w:rPr>
                      <w:rFonts w:ascii="Cambria Math" w:hAnsi="Cambria Math"/>
                    </w:rPr>
                    <m:t>ℎ</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r>
            <m:rPr/>
            <w:rPr>
              <w:rFonts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r>
                    <m:rPr/>
                    <w:rPr>
                      <w:rFonts w:ascii="Cambria Math" w:hAnsi="Cambria Math"/>
                    </w:rPr>
                    <m:t>W</m:t>
                  </m:r>
                  <m:r>
                    <m:rPr>
                      <m:sty m:val="p"/>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+b</m:t>
                  </m:r>
                  <m:ctrlPr>
                    <w:rPr>
                      <w:rFonts w:ascii="Cambria Math" w:hAnsi="Cambria Math"/>
                      <w:i/>
                    </w:rPr>
                  </m:ctrlPr>
                </m:e>
              </m:d>
              <m:ctrlPr>
                <w:rPr>
                  <w:rFonts w:ascii="Cambria Math" w:hAnsi="Cambria Math"/>
                </w:rPr>
              </m:ctrlPr>
            </m:e>
          </m:func>
        </m:oMath>
      </m:oMathPara>
    </w:p>
    <w:p w14:paraId="1BB64EC8">
      <w:pPr>
        <w:pStyle w:val="27"/>
        <w:ind w:firstLine="480"/>
      </w:pPr>
      <w:r>
        <w:t xml:space="preserve">（4）当前隐藏状态（Current Hidden State），实现最终输出： 最终的隐藏状态 </w:t>
      </w:r>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Sub>
      </m:oMath>
      <w:r>
        <w:t xml:space="preserve"> 由更新门 </w:t>
      </w:r>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oMath>
      <w:r>
        <w:t xml:space="preserve"> 进行线性插值分配。模型通过 </w:t>
      </w:r>
      <m:oMath>
        <m:d>
          <m:dPr>
            <m:ctrlPr>
              <w:rPr>
                <w:rFonts w:ascii="Cambria Math" w:hAnsi="Cambria Math"/>
                <w:i/>
              </w:rPr>
            </m:ctrlPr>
          </m:dPr>
          <m:e>
            <m:r>
              <m:rPr/>
              <w:rPr>
                <w:rFonts w:ascii="Cambria Math" w:hAnsi="Cambria Math"/>
              </w:rPr>
              <m:t>1−</m:t>
            </m:r>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oMath>
      <w:r>
        <w:t xml:space="preserve"> 的比例保留旧知识，通过 </w:t>
      </w:r>
      <m:oMath>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oMath>
      <w:r>
        <w:t xml:space="preserve"> 的比例吸纳候选状态中的新知识。这种线性更新机制极大地缓解了梯度消失问题。</w:t>
      </w:r>
      <w:r>
        <w:br w:type="textWrapping"/>
      </w:r>
      <m:oMathPara>
        <m:oMath>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d>
            <m:dPr>
              <m:ctrlPr>
                <w:rPr>
                  <w:rFonts w:ascii="Cambria Math" w:hAnsi="Cambria Math"/>
                  <w:i/>
                </w:rPr>
              </m:ctrlPr>
            </m:dPr>
            <m:e>
              <m:r>
                <m:rPr/>
                <w:rPr>
                  <w:rFonts w:ascii="Cambria Math" w:hAnsi="Cambria Math"/>
                </w:rPr>
                <m:t>1−</m:t>
              </m:r>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acc>
            <m:accPr>
              <m:chr m:val="̃"/>
              <m:ctrlPr>
                <w:rPr>
                  <w:rFonts w:ascii="Cambria Math" w:hAnsi="Cambria Math"/>
                </w:rPr>
              </m:ctrlPr>
            </m:accPr>
            <m:e>
              <m:sSub>
                <m:sSubPr>
                  <m:ctrlPr>
                    <w:rPr>
                      <w:rFonts w:ascii="Cambria Math" w:hAnsi="Cambria Math"/>
                      <w:i/>
                    </w:rPr>
                  </m:ctrlPr>
                </m:sSubPr>
                <m:e>
                  <m:r>
                    <m:rPr/>
                    <w:rPr>
                      <w:rFonts w:ascii="Cambria Math" w:hAnsi="Cambria Math"/>
                    </w:rPr>
                    <m:t>ℎ</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oMath>
      </m:oMathPara>
    </w:p>
    <w:p w14:paraId="3BF90761">
      <w:pPr>
        <w:pStyle w:val="27"/>
        <w:ind w:firstLine="480"/>
      </w:pPr>
      <w:r>
        <w:rPr>
          <w:rFonts w:hint="eastAsia"/>
        </w:rPr>
        <w:t>模型原理</w:t>
      </w:r>
      <w:r>
        <w:t>如</w:t>
      </w:r>
      <w:r>
        <w:fldChar w:fldCharType="begin"/>
      </w:r>
      <w:r>
        <w:instrText xml:space="preserve"> </w:instrText>
      </w:r>
      <w:r>
        <w:rPr>
          <w:rFonts w:hint="eastAsia"/>
        </w:rPr>
        <w:instrText xml:space="preserve">REF _Ref227195279 \h</w:instrText>
      </w:r>
      <w:r>
        <w:instrText xml:space="preserve">  \* MERGEFORMAT </w:instrText>
      </w:r>
      <w:r>
        <w:fldChar w:fldCharType="separate"/>
      </w:r>
      <w:r>
        <w:rPr>
          <w:rFonts w:hint="eastAsia"/>
        </w:rPr>
        <w:t>图2.</w:t>
      </w:r>
      <w:r>
        <w:t>3</w:t>
      </w:r>
      <w:r>
        <w:fldChar w:fldCharType="end"/>
      </w:r>
      <w:r>
        <w:rPr>
          <w:rFonts w:hint="eastAsia"/>
        </w:rPr>
        <w:t>所示</w:t>
      </w:r>
    </w:p>
    <w:p w14:paraId="5B9CDAF8">
      <w:pPr>
        <w:pStyle w:val="27"/>
        <w:keepNext/>
        <w:ind w:firstLine="480"/>
        <w:jc w:val="center"/>
      </w:pPr>
      <w:r>
        <w:drawing>
          <wp:inline distT="0" distB="0" distL="0" distR="0">
            <wp:extent cx="5173980" cy="2189480"/>
            <wp:effectExtent l="0" t="0" r="7620" b="1270"/>
            <wp:docPr id="106117677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76775" name="图片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180313" cy="2192395"/>
                    </a:xfrm>
                    <a:prstGeom prst="rect">
                      <a:avLst/>
                    </a:prstGeom>
                    <a:noFill/>
                    <a:ln>
                      <a:noFill/>
                    </a:ln>
                  </pic:spPr>
                </pic:pic>
              </a:graphicData>
            </a:graphic>
          </wp:inline>
        </w:drawing>
      </w:r>
    </w:p>
    <w:p w14:paraId="2B8947EB">
      <w:pPr>
        <w:pStyle w:val="7"/>
        <w:jc w:val="center"/>
        <w:rPr>
          <w:rFonts w:hint="eastAsia" w:ascii="宋体" w:hAnsi="宋体" w:cs="Times New Roman" w:eastAsiaTheme="minorEastAsia"/>
          <w:sz w:val="21"/>
          <w:szCs w:val="24"/>
        </w:rPr>
      </w:pPr>
      <w:bookmarkStart w:id="169" w:name="_Ref227195279"/>
      <w:r>
        <w:rPr>
          <w:rFonts w:hint="eastAsia" w:ascii="宋体" w:hAnsi="宋体" w:cs="Times New Roman" w:eastAsiaTheme="minorEastAsia"/>
          <w:sz w:val="21"/>
          <w:szCs w:val="24"/>
        </w:rPr>
        <w:t>图</w:t>
      </w:r>
      <w:r>
        <w:rPr>
          <w:rFonts w:hint="eastAsia" w:ascii="Times New Roman" w:hAnsi="Times New Roman" w:cs="Times New Roman" w:eastAsiaTheme="minorEastAsia"/>
          <w:sz w:val="21"/>
          <w:szCs w:val="24"/>
        </w:rPr>
        <w:t>2.</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图2.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hint="eastAsia" w:ascii="Times New Roman" w:hAnsi="Times New Roman" w:cs="Times New Roman" w:eastAsiaTheme="minorEastAsia"/>
          <w:sz w:val="21"/>
          <w:szCs w:val="24"/>
        </w:rPr>
        <w:t>3</w:t>
      </w:r>
      <w:r>
        <w:rPr>
          <w:rFonts w:ascii="宋体" w:hAnsi="宋体" w:cs="Times New Roman" w:eastAsiaTheme="minorEastAsia"/>
          <w:sz w:val="21"/>
          <w:szCs w:val="24"/>
        </w:rPr>
        <w:fldChar w:fldCharType="end"/>
      </w:r>
      <w:bookmarkEnd w:id="169"/>
      <w:r>
        <w:rPr>
          <w:rFonts w:hint="eastAsia" w:ascii="宋体" w:hAnsi="宋体" w:cs="Times New Roman" w:eastAsiaTheme="minorEastAsia"/>
          <w:sz w:val="21"/>
          <w:szCs w:val="24"/>
        </w:rPr>
        <w:t xml:space="preserve"> </w:t>
      </w:r>
      <w:r>
        <w:rPr>
          <w:rFonts w:hint="eastAsia" w:ascii="Times New Roman" w:hAnsi="Times New Roman" w:cs="Times New Roman" w:eastAsiaTheme="minorEastAsia"/>
          <w:sz w:val="21"/>
          <w:szCs w:val="24"/>
        </w:rPr>
        <w:t>GRU</w:t>
      </w:r>
      <w:r>
        <w:rPr>
          <w:rFonts w:hint="eastAsia" w:ascii="宋体" w:hAnsi="宋体" w:cs="Times New Roman" w:eastAsiaTheme="minorEastAsia"/>
          <w:sz w:val="21"/>
          <w:szCs w:val="24"/>
        </w:rPr>
        <w:t xml:space="preserve"> 的结构图</w:t>
      </w:r>
    </w:p>
    <w:p w14:paraId="4C98C475">
      <w:pPr>
        <w:pStyle w:val="27"/>
        <w:ind w:firstLine="480"/>
      </w:pPr>
    </w:p>
    <w:bookmarkEnd w:id="168"/>
    <w:p w14:paraId="1BB59E4A">
      <w:pPr>
        <w:pStyle w:val="26"/>
        <w:spacing w:before="156" w:after="156"/>
        <w:outlineLvl w:val="2"/>
      </w:pPr>
      <w:bookmarkStart w:id="170" w:name="0ba71926"/>
      <w:r>
        <w:t xml:space="preserve"> </w:t>
      </w:r>
      <w:bookmarkStart w:id="171" w:name="_Toc227161702"/>
      <w:bookmarkStart w:id="172" w:name="_Toc26485"/>
      <w:bookmarkStart w:id="173" w:name="_Toc6480"/>
      <w:bookmarkStart w:id="174" w:name="_Toc5976"/>
      <w:r>
        <w:t>双向门控循环单元（BiGRU）</w:t>
      </w:r>
      <w:bookmarkEnd w:id="171"/>
      <w:bookmarkEnd w:id="172"/>
      <w:bookmarkEnd w:id="173"/>
      <w:bookmarkEnd w:id="174"/>
    </w:p>
    <w:bookmarkEnd w:id="170"/>
    <w:p w14:paraId="218631EF">
      <w:pPr>
        <w:pStyle w:val="27"/>
        <w:ind w:firstLine="480"/>
      </w:pPr>
      <w:bookmarkStart w:id="175" w:name="ua7bd0428"/>
      <w:r>
        <w:t xml:space="preserve">标准的 GRU 网络在处理时间序列时是单向传递的，即当前时刻的状态只能依赖于过去的历史信息（过去 </w:t>
      </w:r>
      <m:oMath>
        <m:r>
          <m:rPr>
            <m:sty m:val="p"/>
          </m:rPr>
          <w:rPr>
            <w:rFonts w:hint="eastAsia" w:ascii="Cambria Math" w:hAnsi="Cambria Math"/>
          </w:rPr>
          <m:t>→</m:t>
        </m:r>
      </m:oMath>
      <w:r>
        <w:t xml:space="preserve"> 现在）。然而，光伏功率的演变不仅受历史累积效应的影响（如日出后地表逐渐升温），同时也具有极强的“时间上下文边界效应”。在短时序滑动窗口预测中，未来的气象演变趋势（如即将飘来的云层或即将到来的日落）对当前时刻特征维度的定位与校准同样具有重大的指导意义。</w:t>
      </w:r>
    </w:p>
    <w:p w14:paraId="34366861">
      <w:pPr>
        <w:pStyle w:val="27"/>
        <w:ind w:firstLine="480"/>
      </w:pPr>
      <w:r>
        <w:t>为了充分挖掘光伏数据中隐含的全局时空相关性，本文引入了双向 GRU（Bidirectional GRU, BiGRU）结构。BiGRU 采用两个相互独立、方向相反的 GRU 隐藏层对输入序列进行同步扫描：</w:t>
      </w:r>
    </w:p>
    <w:p w14:paraId="264F20D0">
      <w:pPr>
        <w:pStyle w:val="27"/>
        <w:ind w:firstLine="480"/>
      </w:pPr>
      <w:r>
        <w:t xml:space="preserve">正向 GRU 层：按照时间正序 </w:t>
      </w:r>
      <m:oMath>
        <m:r>
          <m:rPr/>
          <w:rPr>
            <w:rFonts w:ascii="Cambria Math" w:hAnsi="Cambria Math"/>
          </w:rPr>
          <m:t xml:space="preserve">t=1, 2, </m:t>
        </m:r>
        <m:r>
          <m:rPr>
            <m:sty m:val="p"/>
          </m:rPr>
          <w:rPr>
            <w:rFonts w:hint="eastAsia" w:ascii="Cambria Math" w:hAnsi="Cambria Math"/>
          </w:rPr>
          <m:t>…</m:t>
        </m:r>
        <m:r>
          <m:rPr/>
          <w:rPr>
            <w:rFonts w:ascii="Cambria Math" w:hAnsi="Cambria Math"/>
          </w:rPr>
          <m:t>, T</m:t>
        </m:r>
      </m:oMath>
      <w:r>
        <w:t xml:space="preserve"> 读取气象与功率特征，捕捉历史状态对当前时刻的顺向驱动力，生成前向隐藏状态 </w:t>
      </w:r>
      <m:oMath>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f</m:t>
            </m:r>
            <m:ctrlPr>
              <w:rPr>
                <w:rFonts w:ascii="Cambria Math" w:hAnsi="Cambria Math"/>
                <w:i/>
              </w:rPr>
            </m:ctrlPr>
          </m:sup>
        </m:sSubSup>
      </m:oMath>
      <w:r>
        <w:t>。</w:t>
      </w:r>
    </w:p>
    <w:p w14:paraId="44AAA1A8">
      <w:pPr>
        <w:pStyle w:val="27"/>
        <w:ind w:firstLine="480"/>
        <w:jc w:val="center"/>
      </w:pPr>
      <m:oMathPara>
        <m:oMath>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f</m:t>
              </m:r>
              <m:ctrlPr>
                <w:rPr>
                  <w:rFonts w:ascii="Cambria Math" w:hAnsi="Cambria Math"/>
                  <w:i/>
                </w:rPr>
              </m:ctrlPr>
            </m:sup>
          </m:sSubSup>
          <m:r>
            <m:rPr/>
            <w:rPr>
              <w:rFonts w:ascii="Cambria Math" w:hAnsi="Cambria Math"/>
            </w:rPr>
            <m:t>=GRU</m:t>
          </m:r>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up>
                  <m:r>
                    <m:rPr/>
                    <w:rPr>
                      <w:rFonts w:ascii="Cambria Math" w:hAnsi="Cambria Math"/>
                    </w:rPr>
                    <m:t>f</m:t>
                  </m:r>
                  <m:ctrlPr>
                    <w:rPr>
                      <w:rFonts w:ascii="Cambria Math" w:hAnsi="Cambria Math"/>
                      <w:i/>
                    </w:rPr>
                  </m:ctrlPr>
                </m:sup>
              </m:sSubSup>
              <m:ctrlPr>
                <w:rPr>
                  <w:rFonts w:ascii="Cambria Math" w:hAnsi="Cambria Math"/>
                  <w:i/>
                </w:rPr>
              </m:ctrlPr>
            </m:e>
          </m:d>
        </m:oMath>
      </m:oMathPara>
    </w:p>
    <w:p w14:paraId="6108788E">
      <w:pPr>
        <w:pStyle w:val="27"/>
        <w:ind w:firstLine="480"/>
      </w:pPr>
      <w:r>
        <w:t xml:space="preserve">反向 GRU 层：按照时间逆序 </w:t>
      </w:r>
      <m:oMath>
        <m:r>
          <m:rPr/>
          <w:rPr>
            <w:rFonts w:ascii="Cambria Math" w:hAnsi="Cambria Math"/>
          </w:rPr>
          <m:t xml:space="preserve">t=T, T−1, </m:t>
        </m:r>
        <m:r>
          <m:rPr>
            <m:sty m:val="p"/>
          </m:rPr>
          <w:rPr>
            <w:rFonts w:hint="eastAsia" w:ascii="Cambria Math" w:hAnsi="Cambria Math"/>
          </w:rPr>
          <m:t>…</m:t>
        </m:r>
        <m:r>
          <m:rPr/>
          <w:rPr>
            <w:rFonts w:ascii="Cambria Math" w:hAnsi="Cambria Math"/>
          </w:rPr>
          <m:t>, 1</m:t>
        </m:r>
      </m:oMath>
      <w:r>
        <w:t xml:space="preserve"> 读取同一序列，提取未来状态演变对当前时刻的逆向约束力，生成后向隐藏状态 </w:t>
      </w:r>
      <m:oMath>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b</m:t>
            </m:r>
            <m:ctrlPr>
              <w:rPr>
                <w:rFonts w:ascii="Cambria Math" w:hAnsi="Cambria Math"/>
                <w:i/>
              </w:rPr>
            </m:ctrlPr>
          </m:sup>
        </m:sSubSup>
      </m:oMath>
      <w:r>
        <w:t xml:space="preserve">。 </w:t>
      </w:r>
    </w:p>
    <w:p w14:paraId="1D05C737">
      <w:pPr>
        <w:pStyle w:val="27"/>
        <w:ind w:firstLine="480"/>
      </w:pPr>
      <m:oMathPara>
        <m:oMath>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b</m:t>
              </m:r>
              <m:ctrlPr>
                <w:rPr>
                  <w:rFonts w:ascii="Cambria Math" w:hAnsi="Cambria Math"/>
                  <w:i/>
                </w:rPr>
              </m:ctrlPr>
            </m:sup>
          </m:sSubSup>
          <m:r>
            <m:rPr/>
            <w:rPr>
              <w:rFonts w:ascii="Cambria Math" w:hAnsi="Cambria Math"/>
            </w:rPr>
            <m:t>=GRU</m:t>
          </m:r>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ℎ</m:t>
                  </m:r>
                  <m:ctrlPr>
                    <w:rPr>
                      <w:rFonts w:ascii="Cambria Math" w:hAnsi="Cambria Math"/>
                      <w:i/>
                    </w:rPr>
                  </m:ctrlPr>
                </m:e>
                <m:sub>
                  <m:r>
                    <m:rPr/>
                    <w:rPr>
                      <w:rFonts w:ascii="Cambria Math" w:hAnsi="Cambria Math"/>
                    </w:rPr>
                    <m:t>t+1</m:t>
                  </m:r>
                  <m:ctrlPr>
                    <w:rPr>
                      <w:rFonts w:ascii="Cambria Math" w:hAnsi="Cambria Math"/>
                      <w:i/>
                    </w:rPr>
                  </m:ctrlPr>
                </m:sub>
                <m:sup>
                  <m:r>
                    <m:rPr/>
                    <w:rPr>
                      <w:rFonts w:ascii="Cambria Math" w:hAnsi="Cambria Math"/>
                    </w:rPr>
                    <m:t>b</m:t>
                  </m:r>
                  <m:ctrlPr>
                    <w:rPr>
                      <w:rFonts w:ascii="Cambria Math" w:hAnsi="Cambria Math"/>
                      <w:i/>
                    </w:rPr>
                  </m:ctrlPr>
                </m:sup>
              </m:sSubSup>
              <m:ctrlPr>
                <w:rPr>
                  <w:rFonts w:ascii="Cambria Math" w:hAnsi="Cambria Math"/>
                  <w:i/>
                </w:rPr>
              </m:ctrlPr>
            </m:e>
          </m:d>
        </m:oMath>
      </m:oMathPara>
    </w:p>
    <w:p w14:paraId="01B8447A">
      <w:pPr>
        <w:pStyle w:val="27"/>
        <w:ind w:firstLine="480"/>
      </w:pPr>
      <w:r>
        <w:t xml:space="preserve">特征拼接与输出：在每一个独立的时间步 </w:t>
      </w:r>
      <m:oMath>
        <m:r>
          <m:rPr/>
          <w:rPr>
            <w:rFonts w:ascii="Cambria Math" w:hAnsi="Cambria Math"/>
          </w:rPr>
          <m:t>t</m:t>
        </m:r>
      </m:oMath>
      <w:r>
        <w:t xml:space="preserve">，BiGRU 会将正反两个方向的隐藏状态沿着特征维度进行直接拼接（Concatenation），生成最终的融合输出 </w:t>
      </w:r>
      <m:oMath>
        <m:sSub>
          <m:sSubPr>
            <m:ctrlPr>
              <w:rPr>
                <w:rFonts w:ascii="Cambria Math" w:hAnsi="Cambria Math"/>
                <w:i/>
              </w:rPr>
            </m:ctrlPr>
          </m:sSubPr>
          <m:e>
            <m:r>
              <m:rPr/>
              <w:rPr>
                <w:rFonts w:ascii="Cambria Math" w:hAnsi="Cambria Math"/>
              </w:rPr>
              <m:t>H</m:t>
            </m:r>
            <m:ctrlPr>
              <w:rPr>
                <w:rFonts w:ascii="Cambria Math" w:hAnsi="Cambria Math"/>
                <w:i/>
              </w:rPr>
            </m:ctrlPr>
          </m:e>
          <m:sub>
            <m:r>
              <m:rPr/>
              <w:rPr>
                <w:rFonts w:ascii="Cambria Math" w:hAnsi="Cambria Math"/>
              </w:rPr>
              <m:t>t</m:t>
            </m:r>
            <m:ctrlPr>
              <w:rPr>
                <w:rFonts w:ascii="Cambria Math" w:hAnsi="Cambria Math"/>
                <w:i/>
              </w:rPr>
            </m:ctrlPr>
          </m:sub>
        </m:sSub>
      </m:oMath>
      <w:r>
        <w:t xml:space="preserve">。 </w:t>
      </w:r>
    </w:p>
    <w:p w14:paraId="1527B857">
      <w:pPr>
        <w:pStyle w:val="27"/>
        <w:ind w:firstLine="480"/>
      </w:pPr>
      <m:oMathPara>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m:rPr/>
                    <w:rPr>
                      <w:rFonts w:ascii="Cambria Math" w:hAnsi="Cambria Math"/>
                    </w:rPr>
                    <m:t>ℎ</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f</m:t>
                  </m:r>
                  <m:ctrlPr>
                    <w:rPr>
                      <w:rFonts w:ascii="Cambria Math" w:hAnsi="Cambria Math"/>
                    </w:rPr>
                  </m:ctrlPr>
                </m:sup>
              </m:sSubSup>
              <m:r>
                <m:rPr>
                  <m:sty m:val="p"/>
                </m:rPr>
                <w:rPr>
                  <w:rFonts w:ascii="Cambria Math" w:hAnsi="Cambria Math"/>
                </w:rPr>
                <m:t>,</m:t>
              </m:r>
              <m:sSubSup>
                <m:sSubSupPr>
                  <m:ctrlPr>
                    <w:rPr>
                      <w:rFonts w:ascii="Cambria Math" w:hAnsi="Cambria Math"/>
                    </w:rPr>
                  </m:ctrlPr>
                </m:sSubSupPr>
                <m:e>
                  <m:r>
                    <m:rPr/>
                    <w:rPr>
                      <w:rFonts w:ascii="Cambria Math" w:hAnsi="Cambria Math"/>
                    </w:rPr>
                    <m:t>ℎ</m:t>
                  </m:r>
                  <m:ctrlPr>
                    <w:rPr>
                      <w:rFonts w:ascii="Cambria Math" w:hAnsi="Cambria Math"/>
                    </w:rPr>
                  </m:ctrlPr>
                </m:e>
                <m:sub>
                  <m:r>
                    <m:rPr/>
                    <w:rPr>
                      <w:rFonts w:ascii="Cambria Math" w:hAnsi="Cambria Math"/>
                    </w:rPr>
                    <m:t>t</m:t>
                  </m:r>
                  <m:ctrlPr>
                    <w:rPr>
                      <w:rFonts w:ascii="Cambria Math" w:hAnsi="Cambria Math"/>
                    </w:rPr>
                  </m:ctrlPr>
                </m:sub>
                <m:sup>
                  <m:r>
                    <m:rPr/>
                    <w:rPr>
                      <w:rFonts w:ascii="Cambria Math" w:hAnsi="Cambria Math"/>
                    </w:rPr>
                    <m:t>b</m:t>
                  </m:r>
                  <m:ctrlPr>
                    <w:rPr>
                      <w:rFonts w:ascii="Cambria Math" w:hAnsi="Cambria Math"/>
                    </w:rPr>
                  </m:ctrlPr>
                </m:sup>
              </m:sSubSup>
              <m:ctrlPr>
                <w:rPr>
                  <w:rFonts w:ascii="Cambria Math" w:hAnsi="Cambria Math"/>
                </w:rPr>
              </m:ctrlPr>
            </m:e>
          </m:d>
        </m:oMath>
      </m:oMathPara>
    </w:p>
    <w:p w14:paraId="2FD7A80B">
      <w:pPr>
        <w:pStyle w:val="27"/>
        <w:ind w:firstLine="482"/>
      </w:pPr>
      <w:r>
        <w:rPr>
          <w:b/>
          <w:bCs/>
        </w:rPr>
        <w:t>总结</w:t>
      </w:r>
      <w:r>
        <w:t>：BiGRU 网络彻底打破了单向模型在时间视野上的局限性。凭借这种双向扫描机制，模型在预测时刻不仅拥有过去的“记忆”，更具备了未来的“视野”。</w:t>
      </w:r>
      <w:r>
        <w:rPr>
          <w:rFonts w:ascii="宋体" w:hAnsi="宋体" w:cs="宋体"/>
        </w:rPr>
        <w:t>这种深度的双向上下文融合特征，为应对光伏功率的高频随机震荡和非平稳阶跃提供了极为强大的高维表达能力，近年来在短期电力负荷与新能源功率预测中展现出了显著的优越性</w:t>
      </w:r>
      <w:r>
        <w:rPr>
          <w:rFonts w:cs="宋体"/>
          <w:vertAlign w:val="superscript"/>
        </w:rPr>
        <w:t>[4</w:t>
      </w:r>
      <w:r>
        <w:rPr>
          <w:rFonts w:hint="eastAsia" w:cs="宋体"/>
          <w:vertAlign w:val="superscript"/>
        </w:rPr>
        <w:t>][</w:t>
      </w:r>
      <w:r>
        <w:rPr>
          <w:rFonts w:cs="宋体"/>
          <w:vertAlign w:val="superscript"/>
        </w:rPr>
        <w:t>5]</w:t>
      </w:r>
      <w:r>
        <w:rPr>
          <w:rFonts w:ascii="宋体" w:hAnsi="宋体" w:cs="宋体"/>
        </w:rPr>
        <w:t>。</w:t>
      </w:r>
      <w:r>
        <w:rPr>
          <w:rFonts w:hint="eastAsia" w:ascii="宋体" w:hAnsi="宋体" w:cs="宋体"/>
        </w:rPr>
        <w:t>模型原理如</w:t>
      </w:r>
      <w:r>
        <w:rPr>
          <w:rFonts w:hint="eastAsia" w:ascii="宋体" w:hAnsi="宋体" w:cs="宋体"/>
        </w:rPr>
        <w:fldChar w:fldCharType="begin"/>
      </w:r>
      <w:r>
        <w:rPr>
          <w:rFonts w:hint="eastAsia" w:ascii="宋体" w:hAnsi="宋体" w:cs="宋体"/>
        </w:rPr>
        <w:instrText xml:space="preserve"> REF _Ref227195343 \h  \* MERGEFORMAT </w:instrText>
      </w:r>
      <w:r>
        <w:rPr>
          <w:rFonts w:hint="eastAsia" w:ascii="宋体" w:hAnsi="宋体" w:cs="宋体"/>
        </w:rPr>
        <w:fldChar w:fldCharType="separate"/>
      </w:r>
      <w:r>
        <w:rPr>
          <w:rFonts w:hint="eastAsia" w:ascii="宋体" w:hAnsi="宋体" w:eastAsiaTheme="minorEastAsia"/>
          <w:sz w:val="21"/>
        </w:rPr>
        <w:t>图</w:t>
      </w:r>
      <w:r>
        <w:rPr>
          <w:rFonts w:hint="eastAsia" w:eastAsiaTheme="minorEastAsia"/>
          <w:sz w:val="21"/>
        </w:rPr>
        <w:t>2.</w:t>
      </w:r>
      <w:r>
        <w:rPr>
          <w:rFonts w:eastAsiaTheme="minorEastAsia"/>
          <w:sz w:val="21"/>
        </w:rPr>
        <w:t>4</w:t>
      </w:r>
      <w:r>
        <w:rPr>
          <w:rFonts w:hint="eastAsia" w:ascii="宋体" w:hAnsi="宋体" w:cs="宋体"/>
        </w:rPr>
        <w:fldChar w:fldCharType="end"/>
      </w:r>
      <w:r>
        <w:rPr>
          <w:rFonts w:hint="eastAsia" w:ascii="宋体" w:hAnsi="宋体" w:cs="宋体"/>
        </w:rPr>
        <w:t>所示：</w:t>
      </w:r>
    </w:p>
    <w:p w14:paraId="7F566E95">
      <w:pPr>
        <w:pStyle w:val="27"/>
        <w:keepNext/>
        <w:ind w:firstLine="480"/>
        <w:jc w:val="center"/>
      </w:pPr>
      <w:r>
        <w:rPr>
          <w:rFonts w:hint="eastAsia"/>
        </w:rPr>
        <w:drawing>
          <wp:inline distT="0" distB="0" distL="0" distR="0">
            <wp:extent cx="3360420" cy="2520315"/>
            <wp:effectExtent l="0" t="0" r="0" b="0"/>
            <wp:docPr id="1112176646" name="图片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176646" name="图片 10"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3360420" cy="2520315"/>
                    </a:xfrm>
                    <a:prstGeom prst="rect">
                      <a:avLst/>
                    </a:prstGeom>
                    <a:noFill/>
                    <a:ln>
                      <a:noFill/>
                    </a:ln>
                  </pic:spPr>
                </pic:pic>
              </a:graphicData>
            </a:graphic>
          </wp:inline>
        </w:drawing>
      </w:r>
    </w:p>
    <w:p w14:paraId="31DD39FF">
      <w:pPr>
        <w:pStyle w:val="7"/>
        <w:jc w:val="center"/>
        <w:rPr>
          <w:rFonts w:hint="eastAsia" w:ascii="宋体" w:hAnsi="宋体" w:cs="Times New Roman" w:eastAsiaTheme="minorEastAsia"/>
          <w:sz w:val="21"/>
          <w:szCs w:val="24"/>
        </w:rPr>
      </w:pPr>
      <w:bookmarkStart w:id="176" w:name="_Ref227195343"/>
      <w:r>
        <w:rPr>
          <w:rFonts w:hint="eastAsia" w:ascii="宋体" w:hAnsi="宋体" w:cs="Times New Roman" w:eastAsiaTheme="minorEastAsia"/>
          <w:sz w:val="21"/>
          <w:szCs w:val="24"/>
        </w:rPr>
        <w:t>图</w:t>
      </w:r>
      <w:r>
        <w:rPr>
          <w:rFonts w:hint="eastAsia" w:ascii="Times New Roman" w:hAnsi="Times New Roman" w:cs="Times New Roman" w:eastAsiaTheme="minorEastAsia"/>
          <w:sz w:val="21"/>
          <w:szCs w:val="24"/>
        </w:rPr>
        <w:t>2.</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图2.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Times New Roman" w:hAnsi="Times New Roman" w:cs="Times New Roman" w:eastAsiaTheme="minorEastAsia"/>
          <w:sz w:val="21"/>
          <w:szCs w:val="24"/>
        </w:rPr>
        <w:t>4</w:t>
      </w:r>
      <w:r>
        <w:rPr>
          <w:rFonts w:ascii="宋体" w:hAnsi="宋体" w:cs="Times New Roman" w:eastAsiaTheme="minorEastAsia"/>
          <w:sz w:val="21"/>
          <w:szCs w:val="24"/>
        </w:rPr>
        <w:fldChar w:fldCharType="end"/>
      </w:r>
      <w:bookmarkEnd w:id="176"/>
      <w:r>
        <w:rPr>
          <w:rFonts w:hint="eastAsia" w:ascii="宋体" w:hAnsi="宋体" w:cs="Times New Roman" w:eastAsiaTheme="minorEastAsia"/>
          <w:sz w:val="21"/>
          <w:szCs w:val="24"/>
        </w:rPr>
        <w:t xml:space="preserve"> </w:t>
      </w:r>
      <w:r>
        <w:rPr>
          <w:rFonts w:hint="eastAsia" w:ascii="Times New Roman" w:hAnsi="Times New Roman" w:cs="Times New Roman" w:eastAsiaTheme="minorEastAsia"/>
          <w:sz w:val="21"/>
          <w:szCs w:val="24"/>
        </w:rPr>
        <w:t>BiGRU</w:t>
      </w:r>
      <w:r>
        <w:rPr>
          <w:rFonts w:hint="eastAsia" w:ascii="宋体" w:hAnsi="宋体" w:cs="Times New Roman" w:eastAsiaTheme="minorEastAsia"/>
          <w:sz w:val="21"/>
          <w:szCs w:val="24"/>
        </w:rPr>
        <w:t>的结构图</w:t>
      </w:r>
    </w:p>
    <w:bookmarkEnd w:id="175"/>
    <w:p w14:paraId="0F06CCD2">
      <w:pPr>
        <w:widowControl/>
        <w:jc w:val="center"/>
      </w:pPr>
      <w:bookmarkStart w:id="177" w:name="u94e2b9a6"/>
    </w:p>
    <w:bookmarkEnd w:id="177"/>
    <w:p w14:paraId="12EC5E52">
      <w:pPr>
        <w:pStyle w:val="25"/>
        <w:spacing w:before="156" w:after="156"/>
      </w:pPr>
      <w:bookmarkStart w:id="178" w:name="e6a7cc54"/>
      <w:r>
        <w:t xml:space="preserve"> </w:t>
      </w:r>
      <w:bookmarkStart w:id="179" w:name="_Toc227161703"/>
      <w:bookmarkStart w:id="180" w:name="_Toc1008"/>
      <w:bookmarkStart w:id="181" w:name="_Toc5100"/>
      <w:bookmarkStart w:id="182" w:name="_Toc18304"/>
      <w:r>
        <w:t>数据预处理技术</w:t>
      </w:r>
      <w:bookmarkEnd w:id="179"/>
      <w:bookmarkEnd w:id="180"/>
      <w:bookmarkEnd w:id="181"/>
      <w:bookmarkEnd w:id="182"/>
    </w:p>
    <w:bookmarkEnd w:id="178"/>
    <w:p w14:paraId="10EB34F3">
      <w:pPr>
        <w:pStyle w:val="27"/>
        <w:ind w:firstLine="480"/>
      </w:pPr>
      <w:bookmarkStart w:id="183" w:name="ud35c5d05"/>
      <w:r>
        <w:t>实地采集的光伏数据有时会出现缺失、异常、量纲不统一等问题，这些数据不能直接输入模型进行训练。因此需要经过一些预处理步骤使得模型更好地进行训练。</w:t>
      </w:r>
    </w:p>
    <w:bookmarkEnd w:id="183"/>
    <w:p w14:paraId="2A5B1ADB">
      <w:pPr>
        <w:pStyle w:val="26"/>
        <w:spacing w:before="156" w:after="156"/>
        <w:outlineLvl w:val="2"/>
      </w:pPr>
      <w:bookmarkStart w:id="184" w:name="27125031"/>
      <w:r>
        <w:t xml:space="preserve"> </w:t>
      </w:r>
      <w:bookmarkStart w:id="185" w:name="_Toc13402"/>
      <w:bookmarkStart w:id="186" w:name="_Toc29424"/>
      <w:bookmarkStart w:id="187" w:name="_Toc227161704"/>
      <w:bookmarkStart w:id="188" w:name="_Toc31212"/>
      <w:r>
        <w:t>数据清洗</w:t>
      </w:r>
      <w:bookmarkEnd w:id="185"/>
      <w:bookmarkEnd w:id="186"/>
      <w:bookmarkEnd w:id="187"/>
      <w:bookmarkEnd w:id="188"/>
    </w:p>
    <w:bookmarkEnd w:id="184"/>
    <w:p w14:paraId="04220F77">
      <w:pPr>
        <w:pStyle w:val="27"/>
        <w:ind w:firstLine="480"/>
      </w:pPr>
      <w:bookmarkStart w:id="189" w:name="ub85c22d2"/>
      <w:r>
        <w:t>实地采集的光伏数据有时会出现数据缺失和数据异常的问题。线性插值、邻近值填充可以用于应对少量缺失值的情况。而对于明显偏移正常范围的异常数值，一般采用修正或删除的方式来保证数据质量。</w:t>
      </w:r>
    </w:p>
    <w:bookmarkEnd w:id="189"/>
    <w:p w14:paraId="29B7FBC8">
      <w:pPr>
        <w:pStyle w:val="26"/>
        <w:spacing w:before="156" w:after="156"/>
        <w:outlineLvl w:val="2"/>
      </w:pPr>
      <w:bookmarkStart w:id="190" w:name="b2935f4e"/>
      <w:r>
        <w:t xml:space="preserve"> </w:t>
      </w:r>
      <w:bookmarkStart w:id="191" w:name="_Toc22435"/>
      <w:bookmarkStart w:id="192" w:name="_Toc23373"/>
      <w:bookmarkStart w:id="193" w:name="_Toc31557"/>
      <w:bookmarkStart w:id="194" w:name="_Toc227161705"/>
      <w:r>
        <w:t>数据归一化</w:t>
      </w:r>
      <w:bookmarkEnd w:id="191"/>
      <w:bookmarkEnd w:id="192"/>
      <w:bookmarkEnd w:id="193"/>
      <w:bookmarkEnd w:id="194"/>
    </w:p>
    <w:bookmarkEnd w:id="190"/>
    <w:p w14:paraId="1243004D">
      <w:pPr>
        <w:pStyle w:val="27"/>
        <w:ind w:firstLine="480"/>
      </w:pPr>
      <w:bookmarkStart w:id="195" w:name="u535f0ee4"/>
      <w:r>
        <w:rPr>
          <w:rFonts w:hint="eastAsia"/>
        </w:rPr>
        <w:t>面对光伏功率预测这种极其依赖数据质量的任务，手头的原始数据集往往像是一个各方语言不通的“微型社会”。不同来源的数据各说各话，如果直接把这堆物理意义截然不同的数字扔进模型，BiGRU这类深度循环神经网络恐怕很难跑得稳。说到底，特征工程阶段的归一化处理更像是一场必要的“调停”，而最大最小归一化（Min-Max Scaling）正是目前最得心应手的一套方案。</w:t>
      </w:r>
    </w:p>
    <w:p w14:paraId="2F6F38E1">
      <w:pPr>
        <w:pStyle w:val="27"/>
        <w:ind w:firstLine="480"/>
        <w:outlineLvl w:val="3"/>
      </w:pPr>
      <w:r>
        <w:t>（1）最大最小归一化的数学推导</w:t>
      </w:r>
    </w:p>
    <w:p w14:paraId="58E5DE56">
      <w:pPr>
        <w:pStyle w:val="27"/>
        <w:ind w:firstLine="480"/>
      </w:pPr>
      <w:r>
        <w:t xml:space="preserve">本质上，这套方法其实是给数据做了一次优雅的线性拉伸。它通过平移和缩放的手段，把原本高低不一的原始特征值，等比例地平铺到一个整齐划一的无量纲区间里，通常也就是大家熟悉的 [0, 1] 之间。要是用公式来给这种变换定个调子，对于任何给定的原始气象或功率特征序列 </w:t>
      </w:r>
      <m:oMath>
        <m:r>
          <m:rPr/>
          <w:rPr>
            <w:rFonts w:ascii="Cambria Math" w:hAnsi="Cambria Math"/>
          </w:rPr>
          <m:t>x</m:t>
        </m:r>
      </m:oMath>
      <w:r>
        <w:t xml:space="preserve"> ，其转换后的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norm</m:t>
            </m:r>
            <m:ctrlPr>
              <w:rPr>
                <w:rFonts w:ascii="Cambria Math" w:hAnsi="Cambria Math"/>
                <w:i/>
              </w:rPr>
            </m:ctrlPr>
          </m:sub>
        </m:sSub>
      </m:oMath>
      <w:r>
        <w:t xml:space="preserve"> 遵循如下逻辑：</w:t>
      </w:r>
    </w:p>
    <w:p w14:paraId="058F77D7">
      <w:pPr>
        <w:pStyle w:val="27"/>
        <w:ind w:firstLine="480"/>
      </w:pPr>
      <m:oMathPara>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norm</m:t>
              </m:r>
              <m:ctrlPr>
                <w:rPr>
                  <w:rFonts w:ascii="Cambria Math" w:hAnsi="Cambria Math"/>
                  <w:i/>
                </w:rPr>
              </m:ctrlPr>
            </m:sub>
          </m:sSub>
          <m:r>
            <m:rPr/>
            <w:rPr>
              <w:rFonts w:ascii="Cambria Math" w:hAnsi="Cambria Math"/>
            </w:rPr>
            <m:t>=</m:t>
          </m:r>
          <m:f>
            <m:fPr>
              <m:ctrlPr>
                <w:rPr>
                  <w:rFonts w:ascii="Cambria Math" w:hAnsi="Cambria Math"/>
                </w:rPr>
              </m:ctrlPr>
            </m:fPr>
            <m:num>
              <m:r>
                <m:rPr/>
                <w:rPr>
                  <w:rFonts w:ascii="Cambria Math" w:hAnsi="Cambria Math"/>
                </w:rPr>
                <m:t>x−</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min</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max</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min</m:t>
                  </m:r>
                  <m:ctrlPr>
                    <w:rPr>
                      <w:rFonts w:ascii="Cambria Math" w:hAnsi="Cambria Math"/>
                      <w:i/>
                    </w:rPr>
                  </m:ctrlPr>
                </m:sub>
              </m:sSub>
              <m:ctrlPr>
                <w:rPr>
                  <w:rFonts w:ascii="Cambria Math" w:hAnsi="Cambria Math"/>
                  <w:i/>
                </w:rPr>
              </m:ctrlPr>
            </m:den>
          </m:f>
        </m:oMath>
      </m:oMathPara>
    </w:p>
    <w:p w14:paraId="6BF52A7A">
      <w:pPr>
        <w:pStyle w:val="27"/>
        <w:ind w:firstLine="480"/>
      </w:pPr>
      <w:r>
        <w:t>式中，</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min</m:t>
            </m:r>
            <m:ctrlPr>
              <w:rPr>
                <w:rFonts w:ascii="Cambria Math" w:hAnsi="Cambria Math"/>
                <w:i/>
              </w:rPr>
            </m:ctrlPr>
          </m:sub>
        </m:sSub>
      </m:oMath>
      <w:r>
        <w:t xml:space="preserve"> 和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max</m:t>
            </m:r>
            <m:ctrlPr>
              <w:rPr>
                <w:rFonts w:ascii="Cambria Math" w:hAnsi="Cambria Math"/>
                <w:i/>
              </w:rPr>
            </m:ctrlPr>
          </m:sub>
        </m:sSub>
      </m:oMath>
      <w:r>
        <w:t xml:space="preserve"> 分并不神秘，它们分别锁定了该特征序列在训练集这个大池子里能碰到的底线和天花板。</w:t>
      </w:r>
    </w:p>
    <w:p w14:paraId="376B6D14">
      <w:pPr>
        <w:pStyle w:val="27"/>
        <w:ind w:firstLine="480"/>
        <w:outlineLvl w:val="3"/>
      </w:pPr>
      <w:r>
        <w:t>（2）多源异构特征的“量纲孤岛”消除</w:t>
      </w:r>
    </w:p>
    <w:p w14:paraId="2F445B54">
      <w:pPr>
        <w:pStyle w:val="27"/>
        <w:ind w:firstLine="480"/>
      </w:pPr>
      <w:r>
        <w:t xml:space="preserve">走进光伏微气象数据集就会发现，不同特征之间的物理鸿沟大得惊人。比如地表的短波辐射强度，在 </w:t>
      </w:r>
      <m:oMath>
        <m:r>
          <m:rPr/>
          <w:rPr>
            <w:rFonts w:ascii="Cambria Math" w:hAnsi="Cambria Math"/>
          </w:rPr>
          <m:t>0</m:t>
        </m:r>
        <m:r>
          <m:rPr>
            <m:sty m:val="p"/>
          </m:rPr>
          <w:rPr>
            <w:rFonts w:ascii="Cambria Math" w:hAnsi="Cambria Math" w:cs="Cambria Math"/>
          </w:rPr>
          <m:t>∼</m:t>
        </m:r>
        <m:r>
          <m:rPr/>
          <w:rPr>
            <w:rFonts w:ascii="Cambria Math" w:hAnsi="Cambria Math"/>
          </w:rPr>
          <m:t>1200 </m:t>
        </m:r>
        <m:sSup>
          <m:sSupPr>
            <m:ctrlPr>
              <w:rPr>
                <w:rFonts w:ascii="Cambria Math" w:hAnsi="Cambria Math"/>
                <w:i/>
              </w:rPr>
            </m:ctrlPr>
          </m:sSupPr>
          <m:e>
            <m:r>
              <m:rPr>
                <m:nor/>
                <m:sty m:val="p"/>
              </m:rPr>
              <m:t>W</m:t>
            </m:r>
            <m:r>
              <m:rPr>
                <m:nor/>
                <m:sty m:val="p"/>
              </m:rPr>
              <w:rPr>
                <w:rFonts w:ascii="Cambria Math" w:hAnsi="Cambria Math"/>
              </w:rPr>
              <m:t>/</m:t>
            </m:r>
            <m:r>
              <m:rPr>
                <m:nor/>
                <m:sty m:val="p"/>
              </m:rPr>
              <m:t>m</m:t>
            </m:r>
            <m:ctrlPr>
              <w:rPr>
                <w:rFonts w:ascii="Cambria Math" w:hAnsi="Cambria Math"/>
                <w:i/>
              </w:rPr>
            </m:ctrlPr>
          </m:e>
          <m:sup>
            <m:r>
              <m:rPr/>
              <w:rPr>
                <w:rFonts w:ascii="Cambria Math" w:hAnsi="Cambria Math"/>
              </w:rPr>
              <m:t>2</m:t>
            </m:r>
            <m:ctrlPr>
              <w:rPr>
                <w:rFonts w:ascii="Cambria Math" w:hAnsi="Cambria Math"/>
                <w:i/>
              </w:rPr>
            </m:ctrlPr>
          </m:sup>
        </m:sSup>
      </m:oMath>
      <w:r>
        <w:t xml:space="preserve"> 之间上蹿下跳是常有的事，可地表气温大抵也就在 </w:t>
      </w:r>
      <m:oMath>
        <m:r>
          <m:rPr/>
          <w:rPr>
            <w:rFonts w:ascii="Cambria Math" w:hAnsi="Cambria Math"/>
          </w:rPr>
          <m:t>−</m:t>
        </m:r>
        <m:sSup>
          <m:sSupPr>
            <m:ctrlPr>
              <w:rPr>
                <w:rFonts w:ascii="Cambria Math" w:hAnsi="Cambria Math"/>
                <w:i/>
              </w:rPr>
            </m:ctrlPr>
          </m:sSupPr>
          <m:e>
            <m:r>
              <m:rPr/>
              <w:rPr>
                <w:rFonts w:ascii="Cambria Math" w:hAnsi="Cambria Math"/>
              </w:rPr>
              <m:t>10</m:t>
            </m:r>
            <m:ctrlPr>
              <w:rPr>
                <w:rFonts w:ascii="Cambria Math" w:hAnsi="Cambria Math"/>
                <w:i/>
              </w:rPr>
            </m:ctrlPr>
          </m:e>
          <m:sup>
            <m:r>
              <m:rPr>
                <m:sty m:val="p"/>
              </m:rPr>
              <w:rPr>
                <w:rFonts w:ascii="Cambria Math" w:hAnsi="Cambria Math" w:cs="Cambria Math"/>
              </w:rPr>
              <m:t>∘</m:t>
            </m:r>
            <m:r>
              <m:rPr>
                <m:nor/>
                <m:sty m:val="p"/>
              </m:rPr>
              <m:t>C</m:t>
            </m:r>
            <m:ctrlPr>
              <w:rPr>
                <w:rFonts w:ascii="Cambria Math" w:hAnsi="Cambria Math"/>
                <w:i/>
              </w:rPr>
            </m:ctrlPr>
          </m:sup>
        </m:sSup>
        <m:r>
          <m:rPr>
            <m:sty m:val="p"/>
          </m:rPr>
          <w:rPr>
            <w:rFonts w:ascii="Cambria Math" w:hAnsi="Cambria Math" w:cs="Cambria Math"/>
          </w:rPr>
          <m:t>∼</m:t>
        </m:r>
        <m:sSup>
          <m:sSupPr>
            <m:ctrlPr>
              <w:rPr>
                <w:rFonts w:ascii="Cambria Math" w:hAnsi="Cambria Math"/>
                <w:i/>
              </w:rPr>
            </m:ctrlPr>
          </m:sSupPr>
          <m:e>
            <m:r>
              <m:rPr/>
              <w:rPr>
                <w:rFonts w:ascii="Cambria Math" w:hAnsi="Cambria Math"/>
              </w:rPr>
              <m:t>40</m:t>
            </m:r>
            <m:ctrlPr>
              <w:rPr>
                <w:rFonts w:ascii="Cambria Math" w:hAnsi="Cambria Math" w:cs="Cambria Math"/>
              </w:rPr>
            </m:ctrlPr>
          </m:e>
          <m:sup>
            <m:r>
              <m:rPr>
                <m:sty m:val="p"/>
              </m:rPr>
              <w:rPr>
                <w:rFonts w:ascii="Cambria Math" w:hAnsi="Cambria Math" w:cs="Cambria Math"/>
              </w:rPr>
              <m:t>∘</m:t>
            </m:r>
            <m:r>
              <m:rPr>
                <m:nor/>
                <m:sty m:val="p"/>
              </m:rPr>
              <m:t>C</m:t>
            </m:r>
            <m:ctrlPr>
              <w:rPr>
                <w:rFonts w:ascii="Cambria Math" w:hAnsi="Cambria Math"/>
                <w:i/>
              </w:rPr>
            </m:ctrlPr>
          </m:sup>
        </m:sSup>
      </m:oMath>
      <w:r>
        <w:t xml:space="preserve"> 之间徘徊，更不用说相对湿度这种本就以百分比示人的数据了。如果不加修饰地把这些原始数据喂给神经网络，会发生什么？那些数值巨大的特征，比如短波辐射，会在矩阵乘法和损失函数计算中横冲直撞，牢牢占据主导地位，导致网络在无意间“傲慢地”忽视掉气温或风速这些数值虽小、物理意义却重如千钧的变量。好在 Min-Max 归一化把所有特征都揉进了一个统一的尺度，给每一个维度都发了一张完全对等的“入场券”，这才算从根源上清理了量纲差异带来的傲慢与偏见。</w:t>
      </w:r>
    </w:p>
    <w:p w14:paraId="6C706ECB">
      <w:pPr>
        <w:pStyle w:val="27"/>
        <w:ind w:firstLine="480"/>
        <w:outlineLvl w:val="3"/>
      </w:pPr>
      <w:r>
        <w:t>（3）提升深度学习优化效率的底层机理</w:t>
      </w:r>
    </w:p>
    <w:p w14:paraId="30575450">
      <w:pPr>
        <w:pStyle w:val="27"/>
        <w:ind w:firstLine="480"/>
      </w:pPr>
      <w:r>
        <w:t>如果拨开算法的外壳，从底层几何的视角去审视，归一化对收敛速度的提振作用简直是决定性的。当特征尺度天差地别时，神经网络的损失函数空间（Loss Landscape）看起来就像是一个极度狭窄、嶙峋的椭圆形山谷。在这种糟糕的地形里，梯度下降算法每跨过一条等高线，都得经受剧烈的“Z”字型震荡，步履蹒跚不说，还动不动就掉进局部最优解的陷阱里出不来。而经过最大最小归一化这番修剪，原本崎岖的损失空间会被重塑得像一个光滑的超球体，此时梯度的每一次俯冲都能更直截了当地指向全局最优点。这不仅让 AdamW 优化器跑得飞快，还顺带掐灭了梯度爆炸的火苗。更妙的是，把数值锁定在 [0, 1] 区间，能有效防止输入过大导致激活函数掉进“饱和区”，从而让梯度消失的问题也迎刃而解。</w:t>
      </w:r>
    </w:p>
    <w:p w14:paraId="214A5090">
      <w:pPr>
        <w:pStyle w:val="27"/>
        <w:ind w:firstLine="480"/>
        <w:outlineLvl w:val="3"/>
      </w:pPr>
      <w:r>
        <w:t>（4）反归一化（Inverse Transform）的必要性</w:t>
      </w:r>
    </w:p>
    <w:p w14:paraId="5CAF0FE4">
      <w:pPr>
        <w:pStyle w:val="27"/>
        <w:ind w:firstLine="480"/>
      </w:pPr>
      <w:r>
        <w:t xml:space="preserve">说起来，模型预测得再热闹，最终吐出来的也只是一串处于 </w:t>
      </w:r>
      <m:oMath>
        <m:d>
          <m:dPr>
            <m:begChr m:val="["/>
            <m:endChr m:val="]"/>
            <m:ctrlPr>
              <w:rPr>
                <w:rFonts w:ascii="Cambria Math" w:hAnsi="Cambria Math"/>
                <w:i/>
              </w:rPr>
            </m:ctrlPr>
          </m:dPr>
          <m:e>
            <m:r>
              <m:rPr/>
              <w:rPr>
                <w:rFonts w:ascii="Cambria Math" w:hAnsi="Cambria Math"/>
              </w:rPr>
              <m:t>0,1</m:t>
            </m:r>
            <m:ctrlPr>
              <w:rPr>
                <w:rFonts w:ascii="Cambria Math" w:hAnsi="Cambria Math"/>
                <w:i/>
              </w:rPr>
            </m:ctrlPr>
          </m:e>
        </m:d>
      </m:oMath>
      <w:r>
        <w:t xml:space="preserve"> 之间、没有温度的无量纲数字 。但在现实的电力调度里，工程师需要的是真真切切的兆瓦（MW）或者千瓦（kW）。因此，为了评估模型在实战中的精度，我们需要在出口处执行一次“量纲还原”。其背后的逻辑并不复杂，本质上是根据训练集预设的极值空间，将模型输出值 </w:t>
      </w:r>
      <m:oMath>
        <m:acc>
          <m:accPr>
            <m:ctrlPr>
              <w:rPr>
                <w:rFonts w:ascii="Cambria Math" w:hAnsi="Cambria Math"/>
              </w:rPr>
            </m:ctrlPr>
          </m:accPr>
          <m:e>
            <m:r>
              <m:rPr/>
              <w:rPr>
                <w:rFonts w:ascii="Cambria Math" w:hAnsi="Cambria Math"/>
              </w:rPr>
              <m:t>y</m:t>
            </m:r>
            <m:ctrlPr>
              <w:rPr>
                <w:rFonts w:ascii="Cambria Math" w:hAnsi="Cambria Math"/>
              </w:rPr>
            </m:ctrlPr>
          </m:e>
        </m:acc>
      </m:oMath>
      <w:r>
        <w:t xml:space="preserve"> 重新映射回真实的物理量纲 </w:t>
      </w:r>
      <m:oMath>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real</m:t>
            </m:r>
            <m:ctrlPr>
              <w:rPr>
                <w:rFonts w:ascii="Cambria Math" w:hAnsi="Cambria Math"/>
                <w:i/>
              </w:rPr>
            </m:ctrlPr>
          </m:sub>
        </m:sSub>
      </m:oMath>
      <w:r>
        <w:t xml:space="preserve"> ：</w:t>
      </w:r>
    </w:p>
    <w:p w14:paraId="3B017370">
      <w:pPr>
        <w:pStyle w:val="27"/>
        <w:ind w:firstLine="480"/>
        <w:jc w:val="center"/>
        <w:rPr>
          <w:rFonts w:hint="eastAsia"/>
        </w:rPr>
      </w:pPr>
      <w:commentRangeStart w:id="0"/>
      <m:oMath>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real</m:t>
            </m:r>
            <m:ctrlPr>
              <w:rPr>
                <w:rFonts w:ascii="Cambria Math" w:hAnsi="Cambria Math"/>
                <w:i/>
              </w:rPr>
            </m:ctrlPr>
          </m:sub>
        </m:sSub>
        <m:r>
          <m:rPr/>
          <w:rPr>
            <w:rFonts w:ascii="Cambria Math" w:hAnsi="Cambria Math"/>
          </w:rPr>
          <m:t>=</m:t>
        </m:r>
        <m:acc>
          <m:accPr>
            <m:ctrlPr>
              <w:rPr>
                <w:rFonts w:ascii="Cambria Math" w:hAnsi="Cambria Math"/>
              </w:rPr>
            </m:ctrlPr>
          </m:accPr>
          <m:e>
            <m:r>
              <m:rPr/>
              <w:rPr>
                <w:rFonts w:ascii="Cambria Math" w:hAnsi="Cambria Math"/>
              </w:rPr>
              <m:t>y</m:t>
            </m:r>
            <m:ctrlPr>
              <w:rPr>
                <w:rFonts w:ascii="Cambria Math" w:hAnsi="Cambria Math"/>
              </w:rPr>
            </m:ctrlPr>
          </m:e>
        </m:acc>
        <m:r>
          <m:rPr>
            <m:sty m:val="p"/>
          </m:rPr>
          <w:rPr>
            <w:rFonts w:hint="eastAsia" w:ascii="Cambria Math" w:hAnsi="Cambria Math"/>
          </w:rPr>
          <m:t>×</m:t>
        </m:r>
        <m:d>
          <m:dPr>
            <m:ctrlPr>
              <w:rPr>
                <w:rFonts w:ascii="Cambria Math" w:hAnsi="Cambria Math"/>
                <w:i/>
              </w:rPr>
            </m:ctrlPr>
          </m:dPr>
          <m:e>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max</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min</m:t>
                </m:r>
                <m:ctrlPr>
                  <w:rPr>
                    <w:rFonts w:ascii="Cambria Math" w:hAnsi="Cambria Math"/>
                    <w:i/>
                  </w:rPr>
                </m:ctrlPr>
              </m:sub>
            </m:sSub>
            <m:ctrlPr>
              <w:rPr>
                <w:rFonts w:ascii="Cambria Math" w:hAnsi="Cambria Math"/>
                <w:i/>
              </w:rPr>
            </m:ctrlPr>
          </m:e>
        </m:d>
        <m:r>
          <m:rPr/>
          <w:rPr>
            <w:rFonts w:ascii="Cambria Math" w:hAnsi="Cambria Math"/>
          </w:rPr>
          <m:t>+</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min</m:t>
            </m:r>
            <m:ctrlPr>
              <w:rPr>
                <w:rFonts w:ascii="Cambria Math" w:hAnsi="Cambria Math"/>
                <w:i/>
              </w:rPr>
            </m:ctrlPr>
          </m:sub>
        </m:sSub>
      </m:oMath>
      <w:commentRangeEnd w:id="0"/>
      <w:r>
        <w:rPr>
          <w:rStyle w:val="22"/>
          <w:rFonts w:hint="eastAsia"/>
          <w:sz w:val="24"/>
          <w:szCs w:val="24"/>
        </w:rPr>
        <w:commentReference w:id="0"/>
      </w:r>
    </w:p>
    <w:p w14:paraId="56753ECD">
      <w:pPr>
        <w:pStyle w:val="27"/>
        <w:ind w:firstLine="480"/>
      </w:pPr>
      <w:r>
        <w:t>公式中，</w:t>
      </w:r>
      <m:oMath>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max</m:t>
            </m:r>
            <m:ctrlPr>
              <w:rPr>
                <w:rFonts w:ascii="Cambria Math" w:hAnsi="Cambria Math"/>
                <w:i/>
              </w:rPr>
            </m:ctrlPr>
          </m:sub>
        </m:sSub>
      </m:oMath>
      <w:r>
        <w:t xml:space="preserve"> 与 </w:t>
      </w:r>
      <m:oMath>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min</m:t>
            </m:r>
            <m:ctrlPr>
              <w:rPr>
                <w:rFonts w:ascii="Cambria Math" w:hAnsi="Cambria Math"/>
                <w:i/>
              </w:rPr>
            </m:ctrlPr>
          </m:sub>
        </m:sSub>
      </m:oMath>
      <w:r>
        <w:t xml:space="preserve"> 严格对应训练集（Training Set）中光伏功率的全局最大值和最小值 。这种“先映射缩放，后还原量纲”的严谨闭环，在保障了神经网络内部运算稳定性的同时，也确保了最终的 RMSE 和 MAE 指标能真实反映模型在物理世界中的预测偏差 。</w:t>
      </w:r>
    </w:p>
    <w:p w14:paraId="0CE73E22">
      <w:pPr>
        <w:pStyle w:val="27"/>
        <w:ind w:firstLine="480"/>
      </w:pPr>
    </w:p>
    <w:p w14:paraId="1734D022">
      <w:pPr>
        <w:widowControl/>
        <w:jc w:val="left"/>
        <w:rPr>
          <w:sz w:val="24"/>
        </w:rPr>
      </w:pPr>
      <w:r>
        <w:br w:type="page"/>
      </w:r>
    </w:p>
    <w:p w14:paraId="2D77B909">
      <w:pPr>
        <w:pStyle w:val="27"/>
        <w:ind w:firstLine="480"/>
        <w:rPr>
          <w:rFonts w:hint="eastAsia"/>
        </w:rPr>
      </w:pPr>
    </w:p>
    <w:bookmarkEnd w:id="195"/>
    <w:p w14:paraId="1E475D5E">
      <w:pPr>
        <w:pStyle w:val="23"/>
      </w:pPr>
      <w:bookmarkStart w:id="196" w:name="_Toc7109"/>
      <w:bookmarkStart w:id="197" w:name="_Toc18233"/>
      <w:bookmarkStart w:id="198" w:name="_Toc8351"/>
      <w:bookmarkStart w:id="199" w:name="_Toc227161706"/>
      <w:bookmarkStart w:id="200" w:name="a8abfe54"/>
      <w:r>
        <w:rPr>
          <w:rFonts w:hint="eastAsia"/>
        </w:rPr>
        <w:t>基于 EMD-BiGRU 的光伏功率预测模型设计</w:t>
      </w:r>
      <w:bookmarkEnd w:id="196"/>
      <w:bookmarkEnd w:id="197"/>
      <w:bookmarkEnd w:id="198"/>
      <w:bookmarkEnd w:id="199"/>
    </w:p>
    <w:bookmarkEnd w:id="200"/>
    <w:p w14:paraId="32D5AFC6">
      <w:pPr>
        <w:pStyle w:val="25"/>
        <w:spacing w:before="156" w:after="156"/>
      </w:pPr>
      <w:bookmarkStart w:id="201" w:name="66c8ad1e"/>
      <w:r>
        <w:t xml:space="preserve"> </w:t>
      </w:r>
      <w:bookmarkStart w:id="202" w:name="_Toc21050"/>
      <w:bookmarkStart w:id="203" w:name="_Toc23058"/>
      <w:bookmarkStart w:id="204" w:name="_Toc227161707"/>
      <w:bookmarkStart w:id="205" w:name="_Toc17844"/>
      <w:r>
        <w:t>模型整体框架</w:t>
      </w:r>
      <w:bookmarkEnd w:id="202"/>
      <w:bookmarkEnd w:id="203"/>
      <w:bookmarkEnd w:id="204"/>
      <w:bookmarkEnd w:id="205"/>
    </w:p>
    <w:bookmarkEnd w:id="201"/>
    <w:p w14:paraId="4AC5037D">
      <w:pPr>
        <w:pStyle w:val="27"/>
        <w:ind w:firstLine="480"/>
      </w:pPr>
      <w:bookmarkStart w:id="206" w:name="u2f2a1a44"/>
      <w:r>
        <w:t>由于光伏功率受太阳辐射、温湿度等多重气象因素的深层耦合影响，其数据往往被打上了非线性、强波动和随机性的标签。面对这种复杂的时序信号，传统的单一预测模型就像一个顾此失彼的观察者，很难同时看清高频的瞬时脉冲与低频的长期走势，一不留神就会陷入局部最优，或者在预测曲线中留下明显的滞后痕迹。为了攻克这一难题，构建了一套 EMD-BiGRU 组合预测框架，核心逻辑就是将经验模态分解（EMD）的“拆解能力”与双向门控循环单元（BiGRU）的“时序感知力”深度揉合。</w:t>
      </w:r>
    </w:p>
    <w:p w14:paraId="0323B3F9">
      <w:pPr>
        <w:pStyle w:val="27"/>
        <w:ind w:firstLine="480"/>
      </w:pPr>
      <w:r>
        <w:rPr>
          <w:rFonts w:ascii="宋体" w:hAnsi="宋体" w:cs="宋体"/>
        </w:rPr>
        <w:t>这套模型走的是一条“分解、预测、再融合”的进阶路径，也是目前应对新能源时序预测最为主流的“分而治之”策略。具体跑起来，可以拆解为以下几个环环相扣的实操阶段</w:t>
      </w:r>
      <w:r>
        <w:t>：</w:t>
      </w:r>
    </w:p>
    <w:p w14:paraId="0BBBF79B">
      <w:pPr>
        <w:pStyle w:val="27"/>
        <w:ind w:firstLine="480"/>
      </w:pPr>
      <w:r>
        <w:rPr>
          <w:rFonts w:ascii="宋体" w:hAnsi="宋体" w:cs="宋体"/>
        </w:rPr>
        <w:t>其一，是多源数据的感知与“地基”处理。同步调取了实测的光伏功率序列和多维气象特征（比如辐射强度、环境温度等）。说起来，这些数据来源各异，量纲差异大得惊人，还夹杂着不少噪声，如果直接拿去训练，模型非得“跑偏”不可。所以，先执行了严格的数据清洗，剔除离群点，再通过最大最小归一化（</w:t>
      </w:r>
      <w:r>
        <w:rPr>
          <w:rFonts w:cs="宋体"/>
        </w:rPr>
        <w:t>Min</w:t>
      </w:r>
      <w:r>
        <w:rPr>
          <w:rFonts w:ascii="宋体" w:hAnsi="宋体" w:cs="宋体"/>
        </w:rPr>
        <w:t>-</w:t>
      </w:r>
      <w:r>
        <w:rPr>
          <w:rFonts w:cs="宋体"/>
        </w:rPr>
        <w:t>Max</w:t>
      </w:r>
      <w:r>
        <w:rPr>
          <w:rFonts w:ascii="宋体" w:hAnsi="宋体" w:cs="宋体"/>
        </w:rPr>
        <w:t xml:space="preserve"> </w:t>
      </w:r>
      <w:r>
        <w:rPr>
          <w:rFonts w:cs="宋体"/>
        </w:rPr>
        <w:t>Scaling</w:t>
      </w:r>
      <w:r>
        <w:rPr>
          <w:rFonts w:ascii="宋体" w:hAnsi="宋体" w:cs="宋体"/>
        </w:rPr>
        <w:t>）把这些异构特征全部压制到同一尺度下，给后续的深度学习搭建一个高质量、尺度统一的数据平台</w:t>
      </w:r>
      <w:r>
        <w:t>。</w:t>
      </w:r>
    </w:p>
    <w:p w14:paraId="4516A5DD">
      <w:pPr>
        <w:pStyle w:val="27"/>
        <w:ind w:firstLine="480"/>
      </w:pPr>
      <w:r>
        <w:rPr>
          <w:rFonts w:ascii="宋体" w:hAnsi="宋体" w:cs="宋体"/>
        </w:rPr>
        <w:t xml:space="preserve">其二，是利用 </w:t>
      </w:r>
      <w:r>
        <w:rPr>
          <w:rFonts w:cs="宋体"/>
        </w:rPr>
        <w:t>EMD</w:t>
      </w:r>
      <w:r>
        <w:rPr>
          <w:rFonts w:ascii="宋体" w:hAnsi="宋体" w:cs="宋体"/>
        </w:rPr>
        <w:t xml:space="preserve"> 算法进行序列的“手术级”解耦。面对预处理后依然非平稳的功率序列，引入了 </w:t>
      </w:r>
      <w:r>
        <w:rPr>
          <w:rFonts w:cs="宋体"/>
        </w:rPr>
        <w:t>EMD</w:t>
      </w:r>
      <w:r>
        <w:rPr>
          <w:rFonts w:ascii="宋体" w:hAnsi="宋体" w:cs="宋体"/>
        </w:rPr>
        <w:t xml:space="preserve"> 算法进行自适应筛分，像剥洋葱一样，将其层层剥离为若干个频率由高到低的本征模函数（</w:t>
      </w:r>
      <w:r>
        <w:rPr>
          <w:rFonts w:cs="宋体"/>
        </w:rPr>
        <w:t>IMF</w:t>
      </w:r>
      <w:r>
        <w:rPr>
          <w:rFonts w:ascii="宋体" w:hAnsi="宋体" w:cs="宋体"/>
        </w:rPr>
        <w:t>）分量，以及一个定海神针般的残余趋势分量。这一步的关键意义在于，它滤掉了原始信号中那些无序的物理波动，把一个极端复杂的整体预测任务，巧妙地拆解成了几个规律性更强、振幅更稳的子序列预测任务</w:t>
      </w:r>
      <w:r>
        <w:t>。</w:t>
      </w:r>
    </w:p>
    <w:p w14:paraId="10E5F4BB">
      <w:pPr>
        <w:pStyle w:val="27"/>
        <w:ind w:firstLine="480"/>
      </w:pPr>
      <w:r>
        <w:t>其三，是双向时序独立建模与参数的“精密微调”。将分解出的每一个独立分量，分别与气象特征矩阵拼接，然后并行送入各自的 BiGRU 网络中。这里 BiGRU 的双向门控机制就像是让模型同时拥有了“记忆”和“视野”，既能捕捉历史状态的惯性，又能感知未来演变的约束力。在训练中，通过验证集的损失函数持续反馈，动态优化时间步长、神经元数量等超参数，确保每一条子支线都能拟合到最佳状态。</w:t>
      </w:r>
    </w:p>
    <w:p w14:paraId="60EA723D">
      <w:pPr>
        <w:pStyle w:val="27"/>
        <w:ind w:firstLine="480"/>
      </w:pPr>
      <w:r>
        <w:t>其四，则是结果的无损重构与量纲还原。当各条并行的 BiGRU 支线完成了自己的预测任务后，模型会在输出端利用线性叠加原理，将这些频段结果整合到一起，最后应用反归一化，把那些无量纲的数字重新映射回兆瓦（MW）这类真实的物理量纲。</w:t>
      </w:r>
    </w:p>
    <w:p w14:paraId="1D2D72DE">
      <w:pPr>
        <w:pStyle w:val="27"/>
        <w:ind w:firstLine="480"/>
      </w:pPr>
      <w:r>
        <w:t>这种预测框架不仅仅是在学术上玩花样，它在工程实践中展现出的抗干扰能力和稳定性才是真正的杀手锏。它完美避开了高低频信号交织产生的干扰，大幅提升了数据利用率。从网络拓扑的具体实现来看，整个流程清晰明了：</w:t>
      </w:r>
    </w:p>
    <w:p w14:paraId="739C66EB">
      <w:pPr>
        <w:pStyle w:val="27"/>
        <w:numPr>
          <w:ilvl w:val="0"/>
          <w:numId w:val="4"/>
        </w:numPr>
        <w:ind w:firstLineChars="0"/>
      </w:pPr>
      <w:r>
        <w:t xml:space="preserve">数据并行分解层：对原始光伏功率序列执行 EMD 筛分，得到 </w:t>
      </w:r>
      <m:oMath>
        <m:r>
          <m:rPr/>
          <w:rPr>
            <w:rFonts w:ascii="Cambria Math" w:hAnsi="Cambria Math"/>
          </w:rPr>
          <m:t>K</m:t>
        </m:r>
      </m:oMath>
      <w:r>
        <w:t xml:space="preserve"> 个平稳的 IMF 分量 </w:t>
      </w:r>
      <m:oMath>
        <m:r>
          <m:rPr/>
          <w:rPr>
            <w:rFonts w:ascii="Cambria Math" w:hAnsi="Cambria Math"/>
          </w:rPr>
          <m:t>IM</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k</m:t>
            </m:r>
            <m:ctrlPr>
              <w:rPr>
                <w:rFonts w:ascii="Cambria Math" w:hAnsi="Cambria Math"/>
              </w:rPr>
            </m:ctrlPr>
          </m:sub>
        </m:sSub>
      </m:oMath>
      <w:r>
        <w:t xml:space="preserve"> 以及趋势分量 </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K</m:t>
            </m:r>
            <m:ctrlPr>
              <w:rPr>
                <w:rFonts w:ascii="Cambria Math" w:hAnsi="Cambria Math"/>
              </w:rPr>
            </m:ctrlPr>
          </m:sub>
        </m:sSub>
      </m:oMath>
      <w:r>
        <w:t>。</w:t>
      </w:r>
    </w:p>
    <w:p w14:paraId="52252F05">
      <w:pPr>
        <w:pStyle w:val="27"/>
        <w:numPr>
          <w:ilvl w:val="0"/>
          <w:numId w:val="4"/>
        </w:numPr>
        <w:ind w:firstLineChars="0"/>
      </w:pPr>
      <w:r>
        <w:t xml:space="preserve">特征高维重构层：将气象特征矩阵 </w:t>
      </w:r>
      <m:oMath>
        <m:sSub>
          <m:sSubPr>
            <m:ctrlPr>
              <w:rPr>
                <w:rFonts w:ascii="Cambria Math" w:hAnsi="Cambria Math"/>
              </w:rPr>
            </m:ctrlPr>
          </m:sSubPr>
          <m:e>
            <m:r>
              <m:rPr/>
              <w:rPr>
                <w:rFonts w:ascii="Cambria Math" w:hAnsi="Cambria Math"/>
              </w:rPr>
              <m:t>M</m:t>
            </m:r>
            <m:ctrlPr>
              <w:rPr>
                <w:rFonts w:ascii="Cambria Math" w:hAnsi="Cambria Math"/>
              </w:rPr>
            </m:ctrlPr>
          </m:e>
          <m:sub>
            <m:r>
              <m:rPr/>
              <w:rPr>
                <w:rFonts w:ascii="Cambria Math" w:hAnsi="Cambria Math"/>
              </w:rPr>
              <m:t>meteo</m:t>
            </m:r>
            <m:ctrlPr>
              <w:rPr>
                <w:rFonts w:ascii="Cambria Math" w:hAnsi="Cambria Math"/>
              </w:rPr>
            </m:ctrlPr>
          </m:sub>
        </m:sSub>
      </m:oMath>
      <w:r>
        <w:t xml:space="preserve"> 与分解后的各分量拼接。</w:t>
      </w:r>
    </w:p>
    <w:p w14:paraId="7789B126">
      <w:pPr>
        <w:pStyle w:val="27"/>
        <w:numPr>
          <w:ilvl w:val="0"/>
          <w:numId w:val="4"/>
        </w:numPr>
        <w:ind w:firstLineChars="0"/>
      </w:pPr>
      <w:r>
        <w:t>双向时序提特征层：使用两层隐藏单元的 BiGRU 网络提取深层动态特征。</w:t>
      </w:r>
    </w:p>
    <w:p w14:paraId="785DF2F1">
      <w:pPr>
        <w:pStyle w:val="27"/>
        <w:numPr>
          <w:ilvl w:val="0"/>
          <w:numId w:val="4"/>
        </w:numPr>
        <w:ind w:firstLineChars="0"/>
      </w:pPr>
      <w:r>
        <w:t xml:space="preserve">全连接映射与叠加层：运用线性叠加原理重构光伏功率预测值 </w:t>
      </w:r>
      <m:oMath>
        <m:acc>
          <m:accPr>
            <m:ctrlPr>
              <w:rPr>
                <w:rFonts w:ascii="Cambria Math" w:hAnsi="Cambria Math"/>
              </w:rPr>
            </m:ctrlPr>
          </m:accPr>
          <m:e>
            <m:sSub>
              <m:sSubPr>
                <m:ctrlPr>
                  <w:rPr>
                    <w:rFonts w:ascii="Cambria Math" w:hAnsi="Cambria Math"/>
                  </w:rPr>
                </m:ctrlPr>
              </m:sSubPr>
              <m:e>
                <m:r>
                  <m:rPr/>
                  <w:rPr>
                    <w:rFonts w:ascii="Cambria Math" w:hAnsi="Cambria Math"/>
                  </w:rPr>
                  <m:t>P</m:t>
                </m:r>
                <m:ctrlPr>
                  <w:rPr>
                    <w:rFonts w:ascii="Cambria Math" w:hAnsi="Cambria Math"/>
                  </w:rPr>
                </m:ctrlPr>
              </m:e>
              <m:sub>
                <m:r>
                  <m:rPr/>
                  <w:rPr>
                    <w:rFonts w:ascii="Cambria Math" w:hAnsi="Cambria Math"/>
                  </w:rPr>
                  <m:t>final</m:t>
                </m:r>
                <m:ctrlPr>
                  <w:rPr>
                    <w:rFonts w:ascii="Cambria Math" w:hAnsi="Cambria Math"/>
                  </w:rPr>
                </m:ctrlPr>
              </m:sub>
            </m:sSub>
            <m:ctrlPr>
              <w:rPr>
                <w:rFonts w:ascii="Cambria Math" w:hAnsi="Cambria Math"/>
              </w:rPr>
            </m:ctrlPr>
          </m:e>
        </m:acc>
        <m:d>
          <m:dPr>
            <m:ctrlPr>
              <w:rPr>
                <w:rFonts w:ascii="Cambria Math" w:hAnsi="Cambria Math"/>
              </w:rPr>
            </m:ctrlPr>
          </m:dPr>
          <m:e>
            <m:r>
              <m:rPr/>
              <w:rPr>
                <w:rFonts w:ascii="Cambria Math" w:hAnsi="Cambria Math"/>
              </w:rPr>
              <m:t>t</m:t>
            </m:r>
            <m:ctrlPr>
              <w:rPr>
                <w:rFonts w:ascii="Cambria Math" w:hAnsi="Cambria Math"/>
              </w:rPr>
            </m:ctrlPr>
          </m:e>
        </m:d>
      </m:oMath>
      <w:r>
        <w:t xml:space="preserve">： </w:t>
      </w:r>
      <w:r>
        <w:br w:type="textWrapping"/>
      </w:r>
      <m:oMathPara>
        <m:oMath>
          <m:acc>
            <m:accPr>
              <m:ctrlPr>
                <w:rPr>
                  <w:rFonts w:ascii="Cambria Math" w:hAnsi="Cambria Math"/>
                </w:rPr>
              </m:ctrlPr>
            </m:accPr>
            <m:e>
              <m:sSub>
                <m:sSubPr>
                  <m:ctrlPr>
                    <w:rPr>
                      <w:rFonts w:ascii="Cambria Math" w:hAnsi="Cambria Math"/>
                      <w:i/>
                    </w:rPr>
                  </m:ctrlPr>
                </m:sSubPr>
                <m:e>
                  <m:r>
                    <m:rPr/>
                    <w:rPr>
                      <w:rFonts w:ascii="Cambria Math" w:hAnsi="Cambria Math"/>
                    </w:rPr>
                    <m:t>P</m:t>
                  </m:r>
                  <m:ctrlPr>
                    <w:rPr>
                      <w:rFonts w:ascii="Cambria Math" w:hAnsi="Cambria Math"/>
                    </w:rPr>
                  </m:ctrlPr>
                </m:e>
                <m:sub>
                  <m:r>
                    <m:rPr/>
                    <w:rPr>
                      <w:rFonts w:ascii="Cambria Math" w:hAnsi="Cambria Math"/>
                    </w:rPr>
                    <m:t>final</m:t>
                  </m:r>
                  <m:ctrlPr>
                    <w:rPr>
                      <w:rFonts w:ascii="Cambria Math" w:hAnsi="Cambria Math"/>
                      <w:i/>
                    </w:rPr>
                  </m:ctrlPr>
                </m:sub>
              </m:sSub>
              <m:ctrlPr>
                <w:rPr>
                  <w:rFonts w:ascii="Cambria Math" w:hAnsi="Cambria Math"/>
                </w:rPr>
              </m:ctrlPr>
            </m:e>
          </m:acc>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nary>
            <m:naryPr>
              <m:chr m:val="∑"/>
              <m:ctrlPr>
                <w:rPr>
                  <w:rFonts w:ascii="Cambria Math" w:hAnsi="Cambria Math"/>
                </w:rPr>
              </m:ctrlPr>
            </m:naryPr>
            <m:sub>
              <m:r>
                <m:rPr/>
                <w:rPr>
                  <w:rFonts w:ascii="Cambria Math" w:hAnsi="Cambria Math"/>
                </w:rPr>
                <m:t>k=1</m:t>
              </m:r>
              <m:ctrlPr>
                <w:rPr>
                  <w:rFonts w:ascii="Cambria Math" w:hAnsi="Cambria Math"/>
                  <w:i/>
                </w:rPr>
              </m:ctrlPr>
            </m:sub>
            <m:sup>
              <m:r>
                <m:rPr/>
                <w:rPr>
                  <w:rFonts w:ascii="Cambria Math" w:hAnsi="Cambria Math"/>
                </w:rPr>
                <m:t>K</m:t>
              </m:r>
              <m:ctrlPr>
                <w:rPr>
                  <w:rFonts w:ascii="Cambria Math" w:hAnsi="Cambria Math"/>
                  <w:i/>
                </w:rPr>
              </m:ctrlPr>
            </m:sup>
            <m:e>
              <m:r>
                <m:rPr/>
                <w:rPr>
                  <w:rFonts w:ascii="Cambria Math" w:hAnsi="Cambria Math"/>
                </w:rPr>
                <m:t>BiGR</m:t>
              </m:r>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k</m:t>
                  </m:r>
                  <m:ctrlPr>
                    <w:rPr>
                      <w:rFonts w:ascii="Cambria Math" w:hAnsi="Cambria Math"/>
                      <w:i/>
                    </w:rPr>
                  </m:ctrlPr>
                </m:sub>
              </m:sSub>
              <m:d>
                <m:dPr>
                  <m:ctrlPr>
                    <w:rPr>
                      <w:rFonts w:ascii="Cambria Math" w:hAnsi="Cambria Math"/>
                      <w:i/>
                    </w:rPr>
                  </m:ctrlPr>
                </m:dPr>
                <m:e>
                  <m:r>
                    <m:rPr/>
                    <w:rPr>
                      <w:rFonts w:ascii="Cambria Math" w:hAnsi="Cambria Math"/>
                    </w:rPr>
                    <m:t>IM</m:t>
                  </m:r>
                  <m:sSub>
                    <m:sSubPr>
                      <m:ctrlPr>
                        <w:rPr>
                          <w:rFonts w:ascii="Cambria Math" w:hAnsi="Cambria Math"/>
                          <w:i/>
                        </w:rPr>
                      </m:ctrlPr>
                    </m:sSubPr>
                    <m:e>
                      <m:r>
                        <m:rPr/>
                        <w:rPr>
                          <w:rFonts w:ascii="Cambria Math" w:hAnsi="Cambria Math"/>
                        </w:rPr>
                        <m:t>F</m:t>
                      </m:r>
                      <m:ctrlPr>
                        <w:rPr>
                          <w:rFonts w:ascii="Cambria Math" w:hAnsi="Cambria Math"/>
                          <w:i/>
                        </w:rPr>
                      </m:ctrlPr>
                    </m:e>
                    <m:sub>
                      <m:r>
                        <m:rPr/>
                        <w:rPr>
                          <w:rFonts w:ascii="Cambria Math" w:hAnsi="Cambria Math"/>
                        </w:rPr>
                        <m:t>k</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meteo</m:t>
                      </m:r>
                      <m:ctrlPr>
                        <w:rPr>
                          <w:rFonts w:ascii="Cambria Math" w:hAnsi="Cambria Math"/>
                          <w:i/>
                        </w:rPr>
                      </m:ctrlPr>
                    </m:sub>
                  </m:sSub>
                  <m:ctrlPr>
                    <w:rPr>
                      <w:rFonts w:ascii="Cambria Math" w:hAnsi="Cambria Math"/>
                      <w:i/>
                    </w:rPr>
                  </m:ctrlPr>
                </m:e>
              </m:d>
              <m:ctrlPr>
                <w:rPr>
                  <w:rFonts w:ascii="Cambria Math" w:hAnsi="Cambria Math"/>
                  <w:i/>
                </w:rPr>
              </m:ctrlPr>
            </m:e>
          </m:nary>
          <m:r>
            <m:rPr/>
            <w:rPr>
              <w:rFonts w:ascii="Cambria Math" w:hAnsi="Cambria Math"/>
            </w:rPr>
            <m:t>+BiGR</m:t>
          </m:r>
          <m:sSub>
            <m:sSubPr>
              <m:ctrlPr>
                <w:rPr>
                  <w:rFonts w:ascii="Cambria Math" w:hAnsi="Cambria Math"/>
                  <w:i/>
                </w:rPr>
              </m:ctrlPr>
            </m:sSubPr>
            <m:e>
              <m:r>
                <m:rPr/>
                <w:rPr>
                  <w:rFonts w:ascii="Cambria Math" w:hAnsi="Cambria Math"/>
                </w:rPr>
                <m:t>U</m:t>
              </m:r>
              <m:ctrlPr>
                <w:rPr>
                  <w:rFonts w:ascii="Cambria Math" w:hAnsi="Cambria Math"/>
                  <w:i/>
                </w:rPr>
              </m:ctrlPr>
            </m:e>
            <m:sub>
              <m:r>
                <m:rPr/>
                <w:rPr>
                  <w:rFonts w:ascii="Cambria Math" w:hAnsi="Cambria Math"/>
                </w:rPr>
                <m:t>res</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K</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M</m:t>
                  </m:r>
                  <m:ctrlPr>
                    <w:rPr>
                      <w:rFonts w:ascii="Cambria Math" w:hAnsi="Cambria Math"/>
                      <w:i/>
                    </w:rPr>
                  </m:ctrlPr>
                </m:e>
                <m:sub>
                  <m:r>
                    <m:rPr/>
                    <w:rPr>
                      <w:rFonts w:ascii="Cambria Math" w:hAnsi="Cambria Math"/>
                    </w:rPr>
                    <m:t>meteo</m:t>
                  </m:r>
                  <m:ctrlPr>
                    <w:rPr>
                      <w:rFonts w:ascii="Cambria Math" w:hAnsi="Cambria Math"/>
                      <w:i/>
                    </w:rPr>
                  </m:ctrlPr>
                </m:sub>
              </m:sSub>
              <m:ctrlPr>
                <w:rPr>
                  <w:rFonts w:ascii="Cambria Math" w:hAnsi="Cambria Math"/>
                  <w:i/>
                </w:rPr>
              </m:ctrlPr>
            </m:e>
          </m:d>
        </m:oMath>
      </m:oMathPara>
    </w:p>
    <w:p w14:paraId="473DF65F">
      <w:pPr>
        <w:pStyle w:val="27"/>
        <w:ind w:left="-200" w:firstLineChars="0"/>
      </w:pPr>
      <w:r>
        <w:rPr>
          <w:rFonts w:hint="eastAsia"/>
        </w:rPr>
        <w:t>预测模型整体结构如</w:t>
      </w:r>
      <w:r>
        <w:fldChar w:fldCharType="begin"/>
      </w:r>
      <w:r>
        <w:instrText xml:space="preserve"> </w:instrText>
      </w:r>
      <w:r>
        <w:rPr>
          <w:rFonts w:hint="eastAsia"/>
        </w:rPr>
        <w:instrText xml:space="preserve">REF _Ref227195460 \h</w:instrText>
      </w:r>
      <w:r>
        <w:instrText xml:space="preserve">  \* MERGEFORMAT </w:instrText>
      </w:r>
      <w:r>
        <w:fldChar w:fldCharType="separate"/>
      </w:r>
      <w:r>
        <w:rPr>
          <w:rFonts w:hint="eastAsia"/>
        </w:rPr>
        <w:t>图3.</w:t>
      </w:r>
      <w:r>
        <w:t>1</w:t>
      </w:r>
      <w:r>
        <w:fldChar w:fldCharType="end"/>
      </w:r>
      <w:r>
        <w:rPr>
          <w:rFonts w:hint="eastAsia"/>
        </w:rPr>
        <w:t>所示：</w:t>
      </w:r>
    </w:p>
    <w:p w14:paraId="2F2166DD">
      <w:pPr>
        <w:pStyle w:val="27"/>
        <w:keepNext/>
        <w:ind w:left="708" w:leftChars="0" w:firstLine="0" w:firstLineChars="0"/>
        <w:jc w:val="left"/>
      </w:pPr>
      <w:r>
        <w:rPr>
          <w:rFonts w:hint="eastAsia"/>
        </w:rPr>
        <w:drawing>
          <wp:inline distT="0" distB="0" distL="114300" distR="114300">
            <wp:extent cx="4963160" cy="1990725"/>
            <wp:effectExtent l="0" t="0" r="5080" b="5715"/>
            <wp:docPr id="13" name="图片 13" descr="EMD-BiGRU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MD-BiGRU结构图"/>
                    <pic:cNvPicPr>
                      <a:picLocks noChangeAspect="1"/>
                    </pic:cNvPicPr>
                  </pic:nvPicPr>
                  <pic:blipFill>
                    <a:blip r:embed="rId24"/>
                    <a:stretch>
                      <a:fillRect/>
                    </a:stretch>
                  </pic:blipFill>
                  <pic:spPr>
                    <a:xfrm>
                      <a:off x="0" y="0"/>
                      <a:ext cx="4963160" cy="1990725"/>
                    </a:xfrm>
                    <a:prstGeom prst="rect">
                      <a:avLst/>
                    </a:prstGeom>
                  </pic:spPr>
                </pic:pic>
              </a:graphicData>
            </a:graphic>
          </wp:inline>
        </w:drawing>
      </w:r>
    </w:p>
    <w:p w14:paraId="2F7409A6">
      <w:pPr>
        <w:pStyle w:val="7"/>
        <w:jc w:val="center"/>
        <w:rPr>
          <w:rFonts w:hint="eastAsia" w:ascii="宋体" w:hAnsi="宋体" w:cs="Times New Roman" w:eastAsiaTheme="minorEastAsia"/>
          <w:sz w:val="21"/>
          <w:szCs w:val="24"/>
        </w:rPr>
      </w:pPr>
      <w:bookmarkStart w:id="207" w:name="_Ref227195460"/>
      <w:r>
        <w:rPr>
          <w:rFonts w:hint="eastAsia" w:ascii="宋体" w:hAnsi="宋体" w:cs="Times New Roman" w:eastAsiaTheme="minorEastAsia"/>
          <w:sz w:val="21"/>
          <w:szCs w:val="24"/>
        </w:rPr>
        <w:t>图</w:t>
      </w:r>
      <w:r>
        <w:rPr>
          <w:rFonts w:hint="eastAsia" w:ascii="Times New Roman" w:hAnsi="Times New Roman" w:cs="Times New Roman" w:eastAsiaTheme="minorEastAsia"/>
          <w:sz w:val="21"/>
          <w:szCs w:val="24"/>
        </w:rPr>
        <w:t>3.</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图3.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Times New Roman" w:hAnsi="Times New Roman" w:cs="Times New Roman" w:eastAsiaTheme="minorEastAsia"/>
          <w:sz w:val="21"/>
          <w:szCs w:val="24"/>
        </w:rPr>
        <w:t>1</w:t>
      </w:r>
      <w:r>
        <w:rPr>
          <w:rFonts w:ascii="宋体" w:hAnsi="宋体" w:cs="Times New Roman" w:eastAsiaTheme="minorEastAsia"/>
          <w:sz w:val="21"/>
          <w:szCs w:val="24"/>
        </w:rPr>
        <w:fldChar w:fldCharType="end"/>
      </w:r>
      <w:bookmarkEnd w:id="207"/>
      <w:r>
        <w:rPr>
          <w:rFonts w:hint="eastAsia" w:ascii="宋体" w:hAnsi="宋体" w:cs="Times New Roman" w:eastAsiaTheme="minorEastAsia"/>
          <w:sz w:val="21"/>
          <w:szCs w:val="24"/>
        </w:rPr>
        <w:t xml:space="preserve"> </w:t>
      </w:r>
      <w:r>
        <w:rPr>
          <w:rFonts w:hint="eastAsia" w:ascii="Times New Roman" w:hAnsi="Times New Roman" w:cs="Times New Roman" w:eastAsiaTheme="minorEastAsia"/>
          <w:sz w:val="21"/>
          <w:szCs w:val="24"/>
        </w:rPr>
        <w:t>EMD</w:t>
      </w:r>
      <w:r>
        <w:rPr>
          <w:rFonts w:hint="eastAsia" w:ascii="宋体" w:hAnsi="宋体" w:cs="Times New Roman" w:eastAsiaTheme="minorEastAsia"/>
          <w:sz w:val="21"/>
          <w:szCs w:val="24"/>
        </w:rPr>
        <w:t>-</w:t>
      </w:r>
      <w:r>
        <w:rPr>
          <w:rFonts w:hint="eastAsia" w:ascii="Times New Roman" w:hAnsi="Times New Roman" w:cs="Times New Roman" w:eastAsiaTheme="minorEastAsia"/>
          <w:sz w:val="21"/>
          <w:szCs w:val="24"/>
        </w:rPr>
        <w:t>BiGRU</w:t>
      </w:r>
      <w:r>
        <w:rPr>
          <w:rFonts w:hint="eastAsia" w:ascii="宋体" w:hAnsi="宋体" w:cs="Times New Roman" w:eastAsiaTheme="minorEastAsia"/>
          <w:sz w:val="21"/>
          <w:szCs w:val="24"/>
        </w:rPr>
        <w:t xml:space="preserve"> 预测模型的结构图</w:t>
      </w:r>
    </w:p>
    <w:bookmarkEnd w:id="206"/>
    <w:p w14:paraId="11A2E539">
      <w:pPr>
        <w:pStyle w:val="25"/>
        <w:spacing w:before="156" w:after="156"/>
      </w:pPr>
      <w:bookmarkStart w:id="208" w:name="_Toc227161708"/>
      <w:bookmarkStart w:id="209" w:name="_Toc10672"/>
      <w:bookmarkStart w:id="210" w:name="_Toc12203"/>
      <w:bookmarkStart w:id="211" w:name="_Toc5690"/>
      <w:bookmarkStart w:id="212" w:name="d81e8e3e"/>
      <w:r>
        <w:t>数据处理流程</w:t>
      </w:r>
      <w:bookmarkEnd w:id="208"/>
      <w:bookmarkEnd w:id="209"/>
      <w:bookmarkEnd w:id="210"/>
      <w:bookmarkEnd w:id="211"/>
    </w:p>
    <w:bookmarkEnd w:id="212"/>
    <w:p w14:paraId="31406CDC">
      <w:pPr>
        <w:pStyle w:val="27"/>
        <w:ind w:firstLine="480"/>
      </w:pPr>
      <w:bookmarkStart w:id="213" w:name="u160c1fc2"/>
      <w:r>
        <w:t>对于深度学习而言，喂给模型什么样的数据，往往决定了它能跑多远。如果说模型架构是“发动机”，那高质量的数据预处理就是“高标号燃油”。由于光伏电站实测数据难免会遇到传感器罢工或通信掉线这类“脏数据”的骚扰，直接把这些毛刺数据塞进模型，只会让网络在寻优过程中像无头苍蝇一样剧烈震荡。为此，为数据量身定制了一套严密的预处理流水线：</w:t>
      </w:r>
    </w:p>
    <w:p w14:paraId="0F9D13C2">
      <w:pPr>
        <w:pStyle w:val="27"/>
        <w:ind w:firstLine="480"/>
      </w:pPr>
      <w:r>
        <w:t>（1）数据清洗与异常检测：首先要做的就是让数据“变干净”。面对设备掉线留下的空白，利用线性插值法（Linear Interpolation）将其填补，保证时间轴的连续。更关键的是，针对那些违背常识的离群点——比如本该漆黑的深夜却冒出了功率，或者正午时分突然归零——祭出了孤立森林（Isolation Forest）算法并配合物理阈值进行“大扫除”。通过这一步，数据的真实性和逻辑自洽性才算有了保障。</w:t>
      </w:r>
    </w:p>
    <w:p w14:paraId="180BB92B">
      <w:pPr>
        <w:pStyle w:val="27"/>
        <w:ind w:firstLine="480"/>
      </w:pPr>
      <w:r>
        <w:t>（2）多维气象特征融合：光伏功率的起伏从来不是孤立发生的，它是太阳辐射、温湿度等多个物理场“共振”的结果。为了让模型看清全貌，精确提取了短波辐射、2米气温、地表温以及相对湿度这些核心特征，并将其与历史功率序列进行纵向缝合。这种高维特征矩阵的构建，实际上是为模型提供了一个全方位观察功率波动的“多棱镜”。</w:t>
      </w:r>
    </w:p>
    <w:p w14:paraId="5A90E8A1">
      <w:pPr>
        <w:pStyle w:val="27"/>
        <w:ind w:firstLine="480"/>
      </w:pPr>
      <w:r>
        <w:t>（3）量纲消除与归一化：说起来，数据之间的量纲差异往往是训练时的“隐形杀手”。辐射强度动辄上千，而湿度只是百分比，如果不加干预，那些大数值特征会在梯度更新时横冲直撞，让模型自动无视掉气温等细微但关键的信息。于是，通过最大最小归一化（Min-Max Scaling）把所有特征强行拉回到 $0 \sim 1$ 的统一尺度下。这种标准化的操作彻底推倒了量纲壁垒，让网络权重的寻优效率和稳定性都有了质的飞跃。</w:t>
      </w:r>
    </w:p>
    <w:p w14:paraId="04394D6C">
      <w:pPr>
        <w:pStyle w:val="27"/>
        <w:ind w:firstLine="480"/>
      </w:pPr>
      <w:r>
        <w:t xml:space="preserve">（4）数据集科学划分：为了不让模型变成一个只会“死记硬背”的优等生，必须通过科学的划分来检验它的真本事。遵循 </w:t>
      </w:r>
      <m:oMath>
        <m:r>
          <m:rPr/>
          <w:rPr>
            <w:rFonts w:ascii="Cambria Math" w:hAnsi="Cambria Math"/>
          </w:rPr>
          <m:t>7:3</m:t>
        </m:r>
      </m:oMath>
      <w:r>
        <w:t xml:space="preserve"> 的黄金法则，严格按照时间的先后顺序切分数据。其中，训练集负责更新参数，验证集则像个监考官，利用早停机制时刻监控模型是否过拟合，而最后的测试集则是为了给模型最终的实战性能来一次公平、客观的阅兵。这种闭环的设计，确保了模型不仅在实验室里表现优异，在面对未知工况时同样能打。</w:t>
      </w:r>
    </w:p>
    <w:p w14:paraId="255BCF0D">
      <w:pPr>
        <w:pStyle w:val="25"/>
        <w:spacing w:before="156" w:after="156"/>
      </w:pPr>
      <w:r>
        <w:t xml:space="preserve"> </w:t>
      </w:r>
      <w:bookmarkStart w:id="214" w:name="_Toc1103"/>
      <w:bookmarkStart w:id="215" w:name="_Toc15969"/>
      <w:bookmarkStart w:id="216" w:name="_Toc227161709"/>
      <w:bookmarkStart w:id="217" w:name="_Toc23616"/>
      <w:r>
        <w:t>时序数据的滑动窗口转换机制</w:t>
      </w:r>
      <w:bookmarkEnd w:id="214"/>
      <w:bookmarkEnd w:id="215"/>
      <w:bookmarkEnd w:id="216"/>
      <w:bookmarkEnd w:id="217"/>
    </w:p>
    <w:p w14:paraId="4E22DCA5">
      <w:pPr>
        <w:pStyle w:val="27"/>
        <w:ind w:firstLine="480"/>
      </w:pPr>
      <w:r>
        <w:t>深度循环神经网络（如 BiGRU）属于监督学习模型，其前向传播过程要求输入必须是具备 [样本数, 时间步长, 特征维度] 结构的三维张量（Tensor）。然而，原始的气象与功率数据是以一维或二维流式序列存在的。为了建立过去气象演变与未来功率输出之间的非线性映射，本文采用滑动时间窗口法（Sliding Window Approach）对数据进行有监督张量重构。</w:t>
      </w:r>
    </w:p>
    <w:p w14:paraId="2A778540">
      <w:pPr>
        <w:pStyle w:val="27"/>
        <w:ind w:firstLine="480"/>
      </w:pPr>
      <w:r>
        <w:t xml:space="preserve">设定历史观测时间步长为 </w:t>
      </w:r>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past</m:t>
            </m:r>
            <m:ctrlPr>
              <w:rPr>
                <w:rFonts w:ascii="Cambria Math" w:hAnsi="Cambria Math"/>
                <w:i/>
              </w:rPr>
            </m:ctrlPr>
          </m:sub>
        </m:sSub>
      </m:oMath>
      <w:r>
        <w:t xml:space="preserve">，预测目标步长为 </w:t>
      </w:r>
      <m:oMath>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pred</m:t>
            </m:r>
            <m:ctrlPr>
              <w:rPr>
                <w:rFonts w:ascii="Cambria Math" w:hAnsi="Cambria Math"/>
                <w:i/>
              </w:rPr>
            </m:ctrlPr>
          </m:sub>
        </m:sSub>
      </m:oMath>
      <w:r>
        <w:rPr>
          <w:rFonts w:hint="eastAsia"/>
        </w:rPr>
        <w:t>。</w:t>
      </w:r>
      <w:r>
        <w:t xml:space="preserve">在时间轴上设置步长（Stride）为 1 的滑动窗口，对于任意当前时刻 </w:t>
      </w:r>
      <m:oMath>
        <m:r>
          <m:rPr/>
          <w:rPr>
            <w:rFonts w:ascii="Cambria Math" w:hAnsi="Cambria Math"/>
          </w:rPr>
          <m:t>t</m:t>
        </m:r>
      </m:oMath>
      <w:r>
        <w:t xml:space="preserve">，模型提取从 </w:t>
      </w:r>
      <m:oMath>
        <m:r>
          <m:rPr/>
          <w:rPr>
            <w:rFonts w:ascii="Cambria Math" w:hAnsi="Cambria Math"/>
          </w:rPr>
          <m:t>t−</m:t>
        </m:r>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past</m:t>
            </m:r>
            <m:ctrlPr>
              <w:rPr>
                <w:rFonts w:ascii="Cambria Math" w:hAnsi="Cambria Math"/>
                <w:i/>
              </w:rPr>
            </m:ctrlPr>
          </m:sub>
        </m:sSub>
        <m:r>
          <m:rPr/>
          <w:rPr>
            <w:rFonts w:ascii="Cambria Math" w:hAnsi="Cambria Math"/>
          </w:rPr>
          <m:t>+1</m:t>
        </m:r>
      </m:oMath>
      <w:r>
        <w:t xml:space="preserve"> 到 </w:t>
      </w:r>
      <m:oMath>
        <m:r>
          <m:rPr/>
          <w:rPr>
            <w:rFonts w:ascii="Cambria Math" w:hAnsi="Cambria Math"/>
          </w:rPr>
          <m:t>t</m:t>
        </m:r>
      </m:oMath>
      <w:r>
        <w:t xml:space="preserve"> 时刻的二维特征矩阵 </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oMath>
      <w:r>
        <w:t xml:space="preserve"> 作为网络输入：</w:t>
      </w:r>
    </w:p>
    <w:p w14:paraId="463FC3E3">
      <w:pPr>
        <w:pStyle w:val="27"/>
        <w:ind w:firstLine="480"/>
      </w:pPr>
      <m:oMathPara>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d>
            <m:dPr>
              <m:begChr m:val="["/>
              <m:endChr m:val="]"/>
              <m:ctrlPr>
                <w:rPr>
                  <w:rFonts w:ascii="Cambria Math" w:hAnsi="Cambria Math"/>
                </w:rPr>
              </m:ctrlPr>
            </m:dPr>
            <m:e>
              <m:m>
                <m:mPr>
                  <m:mcs>
                    <m:mc>
                      <m:mcPr>
                        <m:count m:val="4"/>
                        <m:mcJc m:val="center"/>
                      </m:mcPr>
                    </m:mc>
                  </m:mcs>
                  <m:ctrlPr>
                    <w:rPr>
                      <w:rFonts w:ascii="Cambria Math" w:hAnsi="Cambria Math"/>
                    </w:rPr>
                  </m:ctrlPr>
                </m:mPr>
                <m:mr>
                  <m:e>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t−95</m:t>
                        </m:r>
                        <m:ctrlPr>
                          <w:rPr>
                            <w:rFonts w:ascii="Cambria Math" w:hAnsi="Cambria Math"/>
                            <w:i/>
                          </w:rPr>
                        </m:ctrlPr>
                      </m:sub>
                      <m:sup>
                        <m:r>
                          <m:rPr/>
                          <w:rPr>
                            <w:rFonts w:ascii="Cambria Math" w:hAnsi="Cambria Math"/>
                          </w:rPr>
                          <m:t>1</m:t>
                        </m:r>
                        <m:ctrlPr>
                          <w:rPr>
                            <w:rFonts w:ascii="Cambria Math" w:hAnsi="Cambria Math"/>
                            <w:i/>
                          </w:rPr>
                        </m:ctrlPr>
                      </m:sup>
                    </m:sSubSup>
                    <m:ctrlPr>
                      <w:rPr>
                        <w:rFonts w:ascii="Cambria Math" w:hAnsi="Cambria Math"/>
                        <w:i/>
                      </w:rPr>
                    </m:ctrlPr>
                  </m:e>
                  <m:e>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t−95</m:t>
                        </m:r>
                        <m:ctrlPr>
                          <w:rPr>
                            <w:rFonts w:ascii="Cambria Math" w:hAnsi="Cambria Math"/>
                            <w:i/>
                          </w:rPr>
                        </m:ctrlPr>
                      </m:sub>
                      <m:sup>
                        <m:r>
                          <m:rPr/>
                          <w:rPr>
                            <w:rFonts w:ascii="Cambria Math" w:hAnsi="Cambria Math"/>
                          </w:rPr>
                          <m:t>2</m:t>
                        </m:r>
                        <m:ctrlPr>
                          <w:rPr>
                            <w:rFonts w:ascii="Cambria Math" w:hAnsi="Cambria Math"/>
                            <w:i/>
                          </w:rPr>
                        </m:ctrlPr>
                      </m:sup>
                    </m:sSubSup>
                    <m:ctrlPr>
                      <w:rPr>
                        <w:rFonts w:ascii="Cambria Math" w:hAnsi="Cambria Math"/>
                        <w:i/>
                      </w:rPr>
                    </m:ctrlPr>
                  </m:e>
                  <m:e>
                    <m:r>
                      <m:rPr>
                        <m:sty m:val="p"/>
                      </m:rPr>
                      <w:rPr>
                        <w:rFonts w:hint="eastAsia" w:ascii="Cambria Math" w:hAnsi="Cambria Math"/>
                      </w:rPr>
                      <m:t>…</m:t>
                    </m:r>
                    <m:ctrlPr>
                      <w:rPr>
                        <w:rFonts w:ascii="Cambria Math" w:hAnsi="Cambria Math"/>
                        <w:i/>
                      </w:rPr>
                    </m:ctrlPr>
                  </m:e>
                  <m:e>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t−95</m:t>
                        </m:r>
                        <m:ctrlPr>
                          <w:rPr>
                            <w:rFonts w:ascii="Cambria Math" w:hAnsi="Cambria Math"/>
                            <w:i/>
                          </w:rPr>
                        </m:ctrlPr>
                      </m:sub>
                      <m:sup>
                        <m:r>
                          <m:rPr/>
                          <w:rPr>
                            <w:rFonts w:ascii="Cambria Math" w:hAnsi="Cambria Math"/>
                          </w:rPr>
                          <m:t>F</m:t>
                        </m:r>
                        <m:ctrlPr>
                          <w:rPr>
                            <w:rFonts w:ascii="Cambria Math" w:hAnsi="Cambria Math"/>
                            <w:i/>
                          </w:rPr>
                        </m:ctrlPr>
                      </m:sup>
                    </m:sSubSup>
                    <m:ctrlPr>
                      <w:rPr>
                        <w:rFonts w:ascii="Cambria Math" w:hAnsi="Cambria Math"/>
                        <w:i/>
                      </w:rPr>
                    </m:ctrlPr>
                  </m:e>
                </m:mr>
                <m:mr>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mr>
                <m:mr>
                  <m:e>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1</m:t>
                        </m:r>
                        <m:ctrlPr>
                          <w:rPr>
                            <w:rFonts w:ascii="Cambria Math" w:hAnsi="Cambria Math"/>
                            <w:i/>
                          </w:rPr>
                        </m:ctrlPr>
                      </m:sup>
                    </m:sSubSup>
                    <m:ctrlPr>
                      <w:rPr>
                        <w:rFonts w:ascii="Cambria Math" w:hAnsi="Cambria Math"/>
                        <w:i/>
                      </w:rPr>
                    </m:ctrlPr>
                  </m:e>
                  <m:e>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2</m:t>
                        </m:r>
                        <m:ctrlPr>
                          <w:rPr>
                            <w:rFonts w:ascii="Cambria Math" w:hAnsi="Cambria Math"/>
                            <w:i/>
                          </w:rPr>
                        </m:ctrlPr>
                      </m:sup>
                    </m:sSubSup>
                    <m:ctrlPr>
                      <w:rPr>
                        <w:rFonts w:ascii="Cambria Math" w:hAnsi="Cambria Math"/>
                        <w:i/>
                      </w:rPr>
                    </m:ctrlPr>
                  </m:e>
                  <m:e>
                    <m:r>
                      <m:rPr>
                        <m:sty m:val="p"/>
                      </m:rPr>
                      <w:rPr>
                        <w:rFonts w:hint="eastAsia" w:ascii="Cambria Math" w:hAnsi="Cambria Math"/>
                      </w:rPr>
                      <m:t>…</m:t>
                    </m:r>
                    <m:ctrlPr>
                      <w:rPr>
                        <w:rFonts w:ascii="Cambria Math" w:hAnsi="Cambria Math"/>
                        <w:i/>
                      </w:rPr>
                    </m:ctrlPr>
                  </m:e>
                  <m:e>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up>
                        <m:r>
                          <m:rPr/>
                          <w:rPr>
                            <w:rFonts w:ascii="Cambria Math" w:hAnsi="Cambria Math"/>
                          </w:rPr>
                          <m:t>F</m:t>
                        </m:r>
                        <m:ctrlPr>
                          <w:rPr>
                            <w:rFonts w:ascii="Cambria Math" w:hAnsi="Cambria Math"/>
                            <w:i/>
                          </w:rPr>
                        </m:ctrlPr>
                      </m:sup>
                    </m:sSubSup>
                    <m:ctrlPr>
                      <w:rPr>
                        <w:rFonts w:ascii="Cambria Math" w:hAnsi="Cambria Math"/>
                        <w:i/>
                      </w:rPr>
                    </m:ctrlPr>
                  </m:e>
                </m:mr>
              </m:m>
              <m:ctrlPr>
                <w:rPr>
                  <w:rFonts w:ascii="Cambria Math" w:hAnsi="Cambria Math"/>
                </w:rPr>
              </m:ctrlPr>
            </m:e>
          </m:d>
        </m:oMath>
      </m:oMathPara>
    </w:p>
    <w:p w14:paraId="174ABAED">
      <w:pPr>
        <w:pStyle w:val="27"/>
        <w:ind w:firstLine="480"/>
      </w:pPr>
      <w:r>
        <w:t xml:space="preserve">其中 </w:t>
      </w:r>
      <m:oMath>
        <m:r>
          <m:rPr/>
          <w:rPr>
            <w:rFonts w:ascii="Cambria Math" w:hAnsi="Cambria Math"/>
          </w:rPr>
          <m:t>F</m:t>
        </m:r>
      </m:oMath>
      <w:r>
        <w:t xml:space="preserve"> 为气象与功率的联合特征维度。同时，将时刻 </w:t>
      </w:r>
      <m:oMath>
        <m:r>
          <m:rPr/>
          <w:rPr>
            <w:rFonts w:ascii="Cambria Math" w:hAnsi="Cambria Math"/>
          </w:rPr>
          <m:t>t+1</m:t>
        </m:r>
      </m:oMath>
      <w:r>
        <w:t xml:space="preserve"> 到 </w:t>
      </w:r>
      <m:oMath>
        <m:r>
          <m:rPr/>
          <w:rPr>
            <w:rFonts w:ascii="Cambria Math" w:hAnsi="Cambria Math"/>
          </w:rPr>
          <m:t>t+</m:t>
        </m:r>
        <m:r>
          <m:rPr>
            <m:sty m:val="p"/>
          </m:rPr>
          <w:rPr>
            <w:rFonts w:ascii="Cambria Math" w:hAnsi="Cambria Math"/>
          </w:rPr>
          <m:t xml:space="preserve"> </m:t>
        </m:r>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pred</m:t>
            </m:r>
            <m:ctrlPr>
              <w:rPr>
                <w:rFonts w:ascii="Cambria Math" w:hAnsi="Cambria Math"/>
                <w:i/>
              </w:rPr>
            </m:ctrlPr>
          </m:sub>
        </m:sSub>
      </m:oMath>
      <w:r>
        <w:t xml:space="preserve"> 的真实功率值提取为标签向量 </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oMath>
      <w:r>
        <w:t>：</w:t>
      </w:r>
    </w:p>
    <w:p w14:paraId="28F1D94F">
      <w:pPr>
        <w:pStyle w:val="27"/>
        <w:ind w:firstLine="480"/>
      </w:pPr>
      <m:oMathPara>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t+2</m:t>
                      </m:r>
                      <m:ctrlPr>
                        <w:rPr>
                          <w:rFonts w:ascii="Cambria Math" w:hAnsi="Cambria Math"/>
                          <w:i/>
                        </w:rPr>
                      </m:ctrlPr>
                    </m:sub>
                  </m:sSub>
                  <m:r>
                    <m:rPr/>
                    <w:rPr>
                      <w:rFonts w:ascii="Cambria Math" w:hAnsi="Cambria Math"/>
                    </w:rPr>
                    <m:t>,</m:t>
                  </m:r>
                  <m:r>
                    <m:rPr>
                      <m:sty m:val="p"/>
                    </m:rPr>
                    <w:rPr>
                      <w:rFonts w:hint="eastAsia" w:ascii="Cambria Math" w:hAnsi="Cambria Math"/>
                    </w:rPr>
                    <m:t>…</m:t>
                  </m:r>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r>
                        <m:rPr>
                          <m:sty m:val="p"/>
                        </m:rPr>
                        <w:rPr>
                          <w:rFonts w:ascii="Cambria Math" w:hAnsi="Cambria Math"/>
                        </w:rPr>
                        <m:t xml:space="preserve"> </m:t>
                      </m:r>
                      <m:sSub>
                        <m:sSubPr>
                          <m:ctrlPr>
                            <w:rPr>
                              <w:rFonts w:ascii="Cambria Math" w:hAnsi="Cambria Math"/>
                              <w:i/>
                            </w:rPr>
                          </m:ctrlPr>
                        </m:sSubPr>
                        <m:e>
                          <m:r>
                            <m:rPr/>
                            <w:rPr>
                              <w:rFonts w:ascii="Cambria Math" w:hAnsi="Cambria Math"/>
                            </w:rPr>
                            <m:t>T</m:t>
                          </m:r>
                          <m:ctrlPr>
                            <w:rPr>
                              <w:rFonts w:ascii="Cambria Math" w:hAnsi="Cambria Math"/>
                              <w:i/>
                            </w:rPr>
                          </m:ctrlPr>
                        </m:e>
                        <m:sub>
                          <m:r>
                            <m:rPr/>
                            <w:rPr>
                              <w:rFonts w:ascii="Cambria Math" w:hAnsi="Cambria Math"/>
                            </w:rPr>
                            <m:t>pred</m:t>
                          </m:r>
                          <m:ctrlPr>
                            <w:rPr>
                              <w:rFonts w:ascii="Cambria Math" w:hAnsi="Cambria Math"/>
                              <w:i/>
                            </w:rPr>
                          </m:ctrlPr>
                        </m:sub>
                      </m:sSub>
                      <m:ctrlPr>
                        <w:rPr>
                          <w:rFonts w:ascii="Cambria Math" w:hAnsi="Cambria Math"/>
                          <w:i/>
                        </w:rPr>
                      </m:ctrlPr>
                    </m:sub>
                  </m:sSub>
                  <m:ctrlPr>
                    <w:rPr>
                      <w:rFonts w:ascii="Cambria Math" w:hAnsi="Cambria Math"/>
                      <w:i/>
                    </w:rPr>
                  </m:ctrlPr>
                </m:e>
              </m:d>
              <m:ctrlPr>
                <w:rPr>
                  <w:rFonts w:ascii="Cambria Math" w:hAnsi="Cambria Math"/>
                  <w:i/>
                </w:rPr>
              </m:ctrlPr>
            </m:e>
            <m:sup>
              <m:r>
                <m:rPr/>
                <w:rPr>
                  <w:rFonts w:ascii="Cambria Math" w:hAnsi="Cambria Math"/>
                </w:rPr>
                <m:t>T</m:t>
              </m:r>
              <m:ctrlPr>
                <w:rPr>
                  <w:rFonts w:ascii="Cambria Math" w:hAnsi="Cambria Math"/>
                  <w:i/>
                </w:rPr>
              </m:ctrlPr>
            </m:sup>
          </m:sSup>
        </m:oMath>
      </m:oMathPara>
    </w:p>
    <w:p w14:paraId="612A82EA">
      <w:pPr>
        <w:pStyle w:val="27"/>
        <w:ind w:firstLine="480"/>
      </w:pPr>
      <w:r>
        <w:t xml:space="preserve">通过这种高频滑动的重构机制，原本连续的时间序列被切割并堆叠为成千上万个相互独立又包含时序演变逻辑的特征-标签对 </w:t>
      </w:r>
      <m:oMath>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oMath>
      <w:r>
        <w:t>，极大丰富了深度学习网络的训练样本空间。</w:t>
      </w:r>
    </w:p>
    <w:p w14:paraId="36ED3555">
      <w:pPr>
        <w:pStyle w:val="27"/>
        <w:ind w:firstLine="480"/>
      </w:pPr>
    </w:p>
    <w:p w14:paraId="4523CE0D">
      <w:pPr>
        <w:pStyle w:val="25"/>
        <w:spacing w:before="156" w:after="156"/>
      </w:pPr>
      <w:r>
        <w:t xml:space="preserve"> </w:t>
      </w:r>
      <w:bookmarkStart w:id="218" w:name="_Toc227161710"/>
      <w:bookmarkStart w:id="219" w:name="_Toc1793"/>
      <w:bookmarkStart w:id="220" w:name="_Toc20320"/>
      <w:bookmarkStart w:id="221" w:name="_Toc31552"/>
      <w:r>
        <w:t>损失函数设计与网络参数寻优</w:t>
      </w:r>
      <w:bookmarkEnd w:id="218"/>
      <w:bookmarkEnd w:id="219"/>
      <w:bookmarkEnd w:id="220"/>
      <w:bookmarkEnd w:id="221"/>
    </w:p>
    <w:p w14:paraId="09A4B034">
      <w:pPr>
        <w:pStyle w:val="27"/>
        <w:ind w:firstLine="480"/>
      </w:pPr>
      <w:r>
        <w:t>在深度神经网络的参数优化过程中，损失函数（Loss Function）决定了梯度下降的方向，而优化器（Optimizer）决定了步伐的大小。光伏功率序列中常包含因云团骤聚等极端天气引发的瞬态离群点，传统的均方误差（MSE）对大误差极其敏感，容易导致梯度爆炸；而平均绝对误差（MAE）在误差极小处梯度不平滑，难以收敛到全局最优点。</w:t>
      </w:r>
    </w:p>
    <w:p w14:paraId="0E086873">
      <w:pPr>
        <w:pStyle w:val="27"/>
        <w:ind w:firstLine="480"/>
      </w:pPr>
      <w:r>
        <w:t xml:space="preserve">为克服上述缺陷，本文创新性地采用 </w:t>
      </w:r>
      <w:r>
        <w:rPr>
          <w:b/>
          <w:bCs/>
        </w:rPr>
        <w:t>Huber Loss</w:t>
      </w:r>
      <w:r>
        <w:t xml:space="preserve"> 函数作为网络训练的评判标准。它结合了 MSE 与 MAE 的双重优势。</w:t>
      </w:r>
    </w:p>
    <w:p w14:paraId="739BC809">
      <w:pPr>
        <w:pStyle w:val="27"/>
        <w:ind w:firstLine="480"/>
      </w:pPr>
      <w:r>
        <w:t xml:space="preserve">当预测误差较小（绝对值 </w:t>
      </w:r>
      <m:oMath>
        <m:r>
          <m:rPr>
            <m:sty m:val="p"/>
          </m:rPr>
          <w:rPr>
            <w:rFonts w:hint="eastAsia" w:ascii="Cambria Math" w:hAnsi="Cambria Math"/>
          </w:rPr>
          <m:t>≤</m:t>
        </m:r>
        <m:r>
          <m:rPr>
            <m:sty m:val="p"/>
          </m:rPr>
          <w:rPr>
            <w:rFonts w:ascii="Cambria Math" w:hAnsi="Cambria Math"/>
          </w:rPr>
          <m:t>δ</m:t>
        </m:r>
      </m:oMath>
      <w:r>
        <w:t>）时，呈现为二次函数，使模型在接近最优点时梯度平滑衰减，易于精准收敛：</w:t>
      </w:r>
    </w:p>
    <w:p w14:paraId="3A55ED51">
      <w:pPr>
        <w:pStyle w:val="27"/>
        <w:ind w:firstLine="480"/>
      </w:pPr>
      <m:oMathPara>
        <m:oMath>
          <m:r>
            <m:rPr/>
            <w:rPr>
              <w:rFonts w:ascii="Cambria Math" w:hAnsi="Cambria Math"/>
            </w:rPr>
            <m:t>L</m:t>
          </m:r>
          <m:d>
            <m:dPr>
              <m:ctrlPr>
                <w:rPr>
                  <w:rFonts w:ascii="Cambria Math" w:hAnsi="Cambria Math"/>
                  <w:i/>
                </w:rPr>
              </m:ctrlPr>
            </m:dPr>
            <m:e>
              <m:r>
                <m:rPr/>
                <w:rPr>
                  <w:rFonts w:ascii="Cambria Math" w:hAnsi="Cambria Math"/>
                </w:rPr>
                <m:t>y,</m:t>
              </m:r>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d>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sSup>
            <m:sSupPr>
              <m:ctrlPr>
                <w:rPr>
                  <w:rFonts w:ascii="Cambria Math" w:hAnsi="Cambria Math"/>
                  <w:i/>
                </w:rPr>
              </m:ctrlPr>
            </m:sSupPr>
            <m:e>
              <m:d>
                <m:dPr>
                  <m:ctrlPr>
                    <w:rPr>
                      <w:rFonts w:ascii="Cambria Math" w:hAnsi="Cambria Math"/>
                      <w:i/>
                    </w:rPr>
                  </m:ctrlPr>
                </m:dPr>
                <m:e>
                  <m:r>
                    <m:rPr/>
                    <w:rPr>
                      <w:rFonts w:ascii="Cambria Math" w:hAnsi="Cambria Math"/>
                    </w:rPr>
                    <m:t>y−</m:t>
                  </m:r>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oMath>
      </m:oMathPara>
    </w:p>
    <w:p w14:paraId="0D7E1392">
      <w:pPr>
        <w:pStyle w:val="27"/>
        <w:ind w:firstLine="480"/>
      </w:pPr>
      <w:r>
        <w:t xml:space="preserve">当预测误差较大（绝对值 </w:t>
      </w:r>
      <m:oMath>
        <m:r>
          <m:rPr/>
          <w:rPr>
            <w:rFonts w:ascii="Cambria Math" w:hAnsi="Cambria Math"/>
          </w:rPr>
          <m:t xml:space="preserve">&gt; </m:t>
        </m:r>
        <m:r>
          <m:rPr>
            <m:sty m:val="p"/>
          </m:rPr>
          <w:rPr>
            <w:rFonts w:ascii="Cambria Math" w:hAnsi="Cambria Math"/>
          </w:rPr>
          <m:t>δ</m:t>
        </m:r>
      </m:oMath>
      <w:r>
        <w:t>）时（</w:t>
      </w:r>
      <m:oMath>
        <m:r>
          <m:rPr>
            <m:sty m:val="p"/>
          </m:rPr>
          <w:rPr>
            <w:rFonts w:ascii="Cambria Math" w:hAnsi="Cambria Math"/>
          </w:rPr>
          <m:t>δ</m:t>
        </m:r>
      </m:oMath>
      <w:r>
        <w:t xml:space="preserve"> 为平滑截断阈值），呈现为线性函数，有效限制了极端天气离群点产生的异常大梯度，赋予模型极强的抗噪鲁棒性：</w:t>
      </w:r>
    </w:p>
    <w:p w14:paraId="38C18508">
      <w:pPr>
        <w:pStyle w:val="27"/>
        <w:ind w:firstLine="480"/>
      </w:pPr>
      <m:oMathPara>
        <m:oMath>
          <m:r>
            <m:rPr/>
            <w:rPr>
              <w:rFonts w:ascii="Cambria Math" w:hAnsi="Cambria Math"/>
            </w:rPr>
            <m:t>L</m:t>
          </m:r>
          <m:d>
            <m:dPr>
              <m:ctrlPr>
                <w:rPr>
                  <w:rFonts w:ascii="Cambria Math" w:hAnsi="Cambria Math"/>
                  <w:i/>
                </w:rPr>
              </m:ctrlPr>
            </m:dPr>
            <m:e>
              <m:r>
                <m:rPr/>
                <w:rPr>
                  <w:rFonts w:ascii="Cambria Math" w:hAnsi="Cambria Math"/>
                </w:rPr>
                <m:t>y,</m:t>
              </m:r>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d>
          <m:r>
            <m:rPr/>
            <w:rPr>
              <w:rFonts w:ascii="Cambria Math" w:hAnsi="Cambria Math"/>
            </w:rPr>
            <m:t>=</m:t>
          </m:r>
          <m:r>
            <m:rPr>
              <m:sty m:val="p"/>
            </m:rPr>
            <w:rPr>
              <w:rFonts w:ascii="Cambria Math" w:hAnsi="Cambria Math"/>
            </w:rPr>
            <m:t>δ</m:t>
          </m:r>
          <m:d>
            <m:dPr>
              <m:begChr m:val="|"/>
              <m:endChr m:val="|"/>
              <m:ctrlPr>
                <w:rPr>
                  <w:rFonts w:ascii="Cambria Math" w:hAnsi="Cambria Math"/>
                  <w:i/>
                </w:rPr>
              </m:ctrlPr>
            </m:dPr>
            <m:e>
              <m:r>
                <m:rPr/>
                <w:rPr>
                  <w:rFonts w:ascii="Cambria Math" w:hAnsi="Cambria Math"/>
                </w:rPr>
                <m:t>y−</m:t>
              </m:r>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d>
          <m:r>
            <m:rPr/>
            <w:rPr>
              <w:rFonts w:ascii="Cambria Math" w:hAnsi="Cambria Math"/>
            </w:rPr>
            <m:t>−</m:t>
          </m:r>
          <m:f>
            <m:fPr>
              <m:ctrlPr>
                <w:rPr>
                  <w:rFonts w:ascii="Cambria Math" w:hAnsi="Cambria Math"/>
                </w:rPr>
              </m:ctrlPr>
            </m:fPr>
            <m:num>
              <m:r>
                <m:rPr/>
                <w:rPr>
                  <w:rFonts w:ascii="Cambria Math" w:hAnsi="Cambria Math"/>
                </w:rPr>
                <m:t>1</m:t>
              </m:r>
              <m:ctrlPr>
                <w:rPr>
                  <w:rFonts w:ascii="Cambria Math" w:hAnsi="Cambria Math"/>
                  <w:i/>
                </w:rPr>
              </m:ctrlPr>
            </m:num>
            <m:den>
              <m:r>
                <m:rPr/>
                <w:rPr>
                  <w:rFonts w:ascii="Cambria Math" w:hAnsi="Cambria Math"/>
                </w:rPr>
                <m:t>2</m:t>
              </m:r>
              <m:ctrlPr>
                <w:rPr>
                  <w:rFonts w:ascii="Cambria Math" w:hAnsi="Cambria Math"/>
                  <w:i/>
                </w:rPr>
              </m:ctrlPr>
            </m:den>
          </m:f>
          <m:sSup>
            <m:sSupPr>
              <m:ctrlPr>
                <w:rPr>
                  <w:rFonts w:ascii="Cambria Math" w:hAnsi="Cambria Math"/>
                  <w:i/>
                </w:rPr>
              </m:ctrlPr>
            </m:sSupPr>
            <m:e>
              <m:r>
                <m:rPr>
                  <m:sty m:val="p"/>
                </m:rPr>
                <w:rPr>
                  <w:rFonts w:ascii="Cambria Math" w:hAnsi="Cambria Math"/>
                </w:rPr>
                <m:t>δ</m:t>
              </m:r>
              <m:ctrlPr>
                <w:rPr>
                  <w:rFonts w:ascii="Cambria Math" w:hAnsi="Cambria Math"/>
                </w:rPr>
              </m:ctrlPr>
            </m:e>
            <m:sup>
              <m:r>
                <m:rPr/>
                <w:rPr>
                  <w:rFonts w:ascii="Cambria Math" w:hAnsi="Cambria Math"/>
                </w:rPr>
                <m:t>2</m:t>
              </m:r>
              <m:ctrlPr>
                <w:rPr>
                  <w:rFonts w:ascii="Cambria Math" w:hAnsi="Cambria Math"/>
                  <w:i/>
                </w:rPr>
              </m:ctrlPr>
            </m:sup>
          </m:sSup>
        </m:oMath>
      </m:oMathPara>
    </w:p>
    <w:p w14:paraId="73195833">
      <w:pPr>
        <w:pStyle w:val="27"/>
        <w:ind w:firstLine="480"/>
      </w:pPr>
      <w:r>
        <w:t xml:space="preserve">在优化策略方面，本文摒弃了常规的 Adam 算法，选用了具有权重衰减解耦机制的高阶优化器AdamW (Adam with Weight Decay)。传统的 L2 正则化在 Adam 中与自适应学习率耦合，往往导致对深层网络参数的惩罚力度不足。AdamW 则在参数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m:rPr/>
              <w:rPr>
                <w:rFonts w:ascii="Cambria Math" w:hAnsi="Cambria Math"/>
              </w:rPr>
              <m:t>t</m:t>
            </m:r>
            <m:ctrlPr>
              <w:rPr>
                <w:rFonts w:ascii="Cambria Math" w:hAnsi="Cambria Math"/>
                <w:i/>
              </w:rPr>
            </m:ctrlPr>
          </m:sub>
        </m:sSub>
      </m:oMath>
      <w:r>
        <w:t xml:space="preserve"> 的更新步骤中，显式地独立减去权重衰减项。其参数更新法则为：</w:t>
      </w:r>
    </w:p>
    <w:p w14:paraId="2E5983A1">
      <w:pPr>
        <w:pStyle w:val="27"/>
        <w:ind w:firstLine="480"/>
      </w:pPr>
      <m:oMathPara>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m:sty m:val="p"/>
                </m:rPr>
                <w:rPr>
                  <w:rFonts w:ascii="Cambria Math" w:hAnsi="Cambria Math"/>
                </w:rPr>
                <m:t>θ</m:t>
              </m:r>
              <m:ctrlPr>
                <w:rPr>
                  <w:rFonts w:ascii="Cambria Math" w:hAnsi="Cambria Math"/>
                  <w:i/>
                </w:rPr>
              </m:ctrlPr>
            </m:e>
            <m:sub>
              <m:r>
                <m:rPr/>
                <w:rPr>
                  <w:rFonts w:ascii="Cambria Math" w:hAnsi="Cambria Math"/>
                </w:rPr>
                <m:t>t−1</m:t>
              </m:r>
              <m:ctrlPr>
                <w:rPr>
                  <w:rFonts w:ascii="Cambria Math" w:hAnsi="Cambria Math"/>
                  <w:i/>
                </w:rPr>
              </m:ctrlPr>
            </m:sub>
          </m:sSub>
          <m:r>
            <m:rPr/>
            <w:rPr>
              <w:rFonts w:ascii="Cambria Math" w:hAnsi="Cambria Math"/>
            </w:rPr>
            <m:t>−</m:t>
          </m:r>
          <m:r>
            <m:rPr>
              <m:sty m:val="p"/>
            </m:rPr>
            <w:rPr>
              <w:rFonts w:ascii="Cambria Math" w:hAnsi="Cambria Math"/>
            </w:rPr>
            <m:t>η</m:t>
          </m:r>
          <m:d>
            <m:dPr>
              <m:ctrlPr>
                <w:rPr>
                  <w:rFonts w:ascii="Cambria Math" w:hAnsi="Cambria Math"/>
                </w:rPr>
              </m:ctrlPr>
            </m:dPr>
            <m:e>
              <m:f>
                <m:fPr>
                  <m:ctrlPr>
                    <w:rPr>
                      <w:rFonts w:ascii="Cambria Math" w:hAnsi="Cambria Math"/>
                    </w:rPr>
                  </m:ctrlPr>
                </m:fPr>
                <m:num>
                  <m:r>
                    <m:rPr>
                      <m:sty m:val="p"/>
                    </m:rPr>
                    <w:rPr>
                      <w:rFonts w:ascii="Cambria Math" w:hAnsi="Cambria Math"/>
                    </w:rPr>
                    <m:t>α</m:t>
                  </m:r>
                  <m:acc>
                    <m:accPr>
                      <m:ctrlPr>
                        <w:rPr>
                          <w:rFonts w:ascii="Cambria Math" w:hAnsi="Cambria Math"/>
                        </w:rPr>
                      </m:ctrlPr>
                    </m:accPr>
                    <m:e>
                      <m:sSub>
                        <m:sSubPr>
                          <m:ctrlPr>
                            <w:rPr>
                              <w:rFonts w:ascii="Cambria Math" w:hAnsi="Cambria Math"/>
                              <w:i/>
                            </w:rPr>
                          </m:ctrlPr>
                        </m:sSubPr>
                        <m:e>
                          <m:r>
                            <m:rPr/>
                            <w:rPr>
                              <w:rFonts w:ascii="Cambria Math" w:hAnsi="Cambria Math"/>
                            </w:rPr>
                            <m:t>m</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acc>
                        <m:accPr>
                          <m:ctrlPr>
                            <w:rPr>
                              <w:rFonts w:ascii="Cambria Math" w:hAnsi="Cambria Math"/>
                            </w:rPr>
                          </m:ctrlPr>
                        </m:accPr>
                        <m:e>
                          <m:sSub>
                            <m:sSubPr>
                              <m:ctrlPr>
                                <w:rPr>
                                  <w:rFonts w:ascii="Cambria Math" w:hAnsi="Cambria Math"/>
                                  <w:i/>
                                </w:rPr>
                              </m:ctrlPr>
                            </m:sSubPr>
                            <m:e>
                              <m:r>
                                <m:rPr/>
                                <w:rPr>
                                  <w:rFonts w:ascii="Cambria Math" w:hAnsi="Cambria Math"/>
                                </w:rPr>
                                <m:t>v</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ctrlPr>
                        <w:rPr>
                          <w:rFonts w:ascii="Cambria Math" w:hAnsi="Cambria Math"/>
                        </w:rPr>
                      </m:ctrlPr>
                    </m:e>
                  </m:rad>
                  <m:r>
                    <m:rPr/>
                    <w:rPr>
                      <w:rFonts w:ascii="Cambria Math" w:hAnsi="Cambria Math"/>
                    </w:rPr>
                    <m:t>+</m:t>
                  </m:r>
                  <m:r>
                    <m:rPr>
                      <m:sty m:val="p"/>
                    </m:rPr>
                    <w:rPr>
                      <w:rFonts w:ascii="Cambria Math" w:hAnsi="Cambria Math"/>
                    </w:rPr>
                    <m:t>ϵ</m:t>
                  </m:r>
                  <m:ctrlPr>
                    <w:rPr>
                      <w:rFonts w:ascii="Cambria Math" w:hAnsi="Cambria Math"/>
                      <w:i/>
                    </w:rPr>
                  </m:ctrlPr>
                </m:den>
              </m:f>
              <m:r>
                <m:rPr/>
                <w:rPr>
                  <w:rFonts w:ascii="Cambria Math" w:hAnsi="Cambria Math"/>
                </w:rPr>
                <m:t>+</m:t>
              </m:r>
              <m:r>
                <m:rPr>
                  <m:sty m:val="p"/>
                </m:rPr>
                <w:rPr>
                  <w:rFonts w:ascii="Cambria Math" w:hAnsi="Cambria Math"/>
                </w:rPr>
                <m:t>λ</m:t>
              </m:r>
              <m:sSub>
                <m:sSubPr>
                  <m:ctrlPr>
                    <w:rPr>
                      <w:rFonts w:ascii="Cambria Math" w:hAnsi="Cambria Math"/>
                      <w:i/>
                    </w:rPr>
                  </m:ctrlPr>
                </m:sSubPr>
                <m:e>
                  <m:r>
                    <m:rPr>
                      <m:sty m:val="p"/>
                    </m:rPr>
                    <w:rPr>
                      <w:rFonts w:ascii="Cambria Math" w:hAnsi="Cambria Math"/>
                    </w:rPr>
                    <m:t>θ</m:t>
                  </m:r>
                  <m:ctrlPr>
                    <w:rPr>
                      <w:rFonts w:ascii="Cambria Math" w:hAnsi="Cambria Math"/>
                    </w:rPr>
                  </m:ctrlPr>
                </m:e>
                <m:sub>
                  <m:r>
                    <m:rPr/>
                    <w:rPr>
                      <w:rFonts w:ascii="Cambria Math" w:hAnsi="Cambria Math"/>
                    </w:rPr>
                    <m:t>t−1</m:t>
                  </m:r>
                  <m:ctrlPr>
                    <w:rPr>
                      <w:rFonts w:ascii="Cambria Math" w:hAnsi="Cambria Math"/>
                      <w:i/>
                    </w:rPr>
                  </m:ctrlPr>
                </m:sub>
              </m:sSub>
              <m:ctrlPr>
                <w:rPr>
                  <w:rFonts w:ascii="Cambria Math" w:hAnsi="Cambria Math"/>
                  <w:i/>
                </w:rPr>
              </m:ctrlPr>
            </m:e>
          </m:d>
        </m:oMath>
      </m:oMathPara>
    </w:p>
    <w:p w14:paraId="3B1B8EEE">
      <w:pPr>
        <w:pStyle w:val="27"/>
        <w:ind w:firstLine="480"/>
      </w:pPr>
      <w:r>
        <w:t>式中，</w:t>
      </w:r>
      <m:oMath>
        <m:r>
          <m:rPr>
            <m:sty m:val="p"/>
          </m:rPr>
          <w:rPr>
            <w:rFonts w:ascii="Cambria Math" w:hAnsi="Cambria Math"/>
          </w:rPr>
          <m:t>η</m:t>
        </m:r>
      </m:oMath>
      <w:r>
        <w:t xml:space="preserve"> 为全局学习率；</w:t>
      </w:r>
      <m:oMath>
        <m:acc>
          <m:accPr>
            <m:ctrlPr>
              <w:rPr>
                <w:rFonts w:ascii="Cambria Math" w:hAnsi="Cambria Math"/>
              </w:rPr>
            </m:ctrlPr>
          </m:accPr>
          <m:e>
            <m:sSub>
              <m:sSubPr>
                <m:ctrlPr>
                  <w:rPr>
                    <w:rFonts w:ascii="Cambria Math" w:hAnsi="Cambria Math"/>
                    <w:i/>
                  </w:rPr>
                </m:ctrlPr>
              </m:sSubPr>
              <m:e>
                <m:r>
                  <m:rPr/>
                  <w:rPr>
                    <w:rFonts w:ascii="Cambria Math" w:hAnsi="Cambria Math"/>
                  </w:rPr>
                  <m:t>m</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oMath>
      <w:r>
        <w:t xml:space="preserve"> 和 </w:t>
      </w:r>
      <m:oMath>
        <m:acc>
          <m:accPr>
            <m:ctrlPr>
              <w:rPr>
                <w:rFonts w:ascii="Cambria Math" w:hAnsi="Cambria Math"/>
              </w:rPr>
            </m:ctrlPr>
          </m:accPr>
          <m:e>
            <m:sSub>
              <m:sSubPr>
                <m:ctrlPr>
                  <w:rPr>
                    <w:rFonts w:ascii="Cambria Math" w:hAnsi="Cambria Math"/>
                    <w:i/>
                  </w:rPr>
                </m:ctrlPr>
              </m:sSubPr>
              <m:e>
                <m:r>
                  <m:rPr/>
                  <w:rPr>
                    <w:rFonts w:ascii="Cambria Math" w:hAnsi="Cambria Math"/>
                  </w:rPr>
                  <m:t>v</m:t>
                </m:r>
                <m:ctrlPr>
                  <w:rPr>
                    <w:rFonts w:ascii="Cambria Math" w:hAnsi="Cambria Math"/>
                  </w:rPr>
                </m:ctrlPr>
              </m:e>
              <m:sub>
                <m:r>
                  <m:rPr/>
                  <w:rPr>
                    <w:rFonts w:ascii="Cambria Math" w:hAnsi="Cambria Math"/>
                  </w:rPr>
                  <m:t>t</m:t>
                </m:r>
                <m:ctrlPr>
                  <w:rPr>
                    <w:rFonts w:ascii="Cambria Math" w:hAnsi="Cambria Math"/>
                    <w:i/>
                  </w:rPr>
                </m:ctrlPr>
              </m:sub>
            </m:sSub>
            <m:ctrlPr>
              <w:rPr>
                <w:rFonts w:ascii="Cambria Math" w:hAnsi="Cambria Math"/>
              </w:rPr>
            </m:ctrlPr>
          </m:e>
        </m:acc>
      </m:oMath>
      <w:r>
        <w:t xml:space="preserve"> 分别为偏差校正后的一阶动量（控制梯度惯性方向）和二阶动量（自适应调节各参数学习步长）；</w:t>
      </w:r>
      <m:oMath>
        <m:r>
          <m:rPr>
            <m:sty m:val="p"/>
          </m:rPr>
          <w:rPr>
            <w:rFonts w:ascii="Cambria Math" w:hAnsi="Cambria Math"/>
          </w:rPr>
          <m:t>ϵ</m:t>
        </m:r>
      </m:oMath>
      <w:r>
        <w:t xml:space="preserve"> 为防止分母为零的极小常数；</w:t>
      </w:r>
      <m:oMath>
        <m:r>
          <m:rPr>
            <m:sty m:val="p"/>
          </m:rPr>
          <w:rPr>
            <w:rFonts w:ascii="Cambria Math" w:hAnsi="Cambria Math"/>
          </w:rPr>
          <m:t>λ</m:t>
        </m:r>
      </m:oMath>
      <w:r>
        <w:t xml:space="preserve"> 为独立的权重衰减系数。AdamW 的引入有效抑制了深层 BiGRU 网络在处理高维气象特征时的过拟合现象，使得模型在测试集上表现出更优异的泛化边界。</w:t>
      </w:r>
    </w:p>
    <w:p w14:paraId="2B471954">
      <w:pPr>
        <w:pStyle w:val="27"/>
        <w:ind w:firstLine="480"/>
      </w:pPr>
    </w:p>
    <w:bookmarkEnd w:id="213"/>
    <w:p w14:paraId="61A36F53">
      <w:pPr>
        <w:pStyle w:val="25"/>
        <w:spacing w:before="156" w:after="156"/>
      </w:pPr>
      <w:bookmarkStart w:id="222" w:name="69328ed8"/>
      <w:r>
        <w:t xml:space="preserve"> </w:t>
      </w:r>
      <w:bookmarkStart w:id="223" w:name="_Toc17548"/>
      <w:bookmarkStart w:id="224" w:name="_Toc227161711"/>
      <w:bookmarkStart w:id="225" w:name="_Toc25972"/>
      <w:bookmarkStart w:id="226" w:name="_Toc25122"/>
      <w:r>
        <w:t>EMD 分解实现</w:t>
      </w:r>
      <w:bookmarkEnd w:id="223"/>
      <w:bookmarkEnd w:id="224"/>
      <w:bookmarkEnd w:id="225"/>
      <w:bookmarkEnd w:id="226"/>
    </w:p>
    <w:bookmarkEnd w:id="222"/>
    <w:p w14:paraId="55F2ABC0">
      <w:pPr>
        <w:pStyle w:val="27"/>
        <w:ind w:firstLine="480"/>
      </w:pPr>
      <w:bookmarkStart w:id="227" w:name="u17bfc0c0"/>
      <w:r>
        <w:t>经验模态分解是本文模型的关键处理步骤，其作用是将非光伏历史功率平稳序列转化，使其分为多种不同IMF分量，这种分量是相对平稳的。</w:t>
      </w:r>
    </w:p>
    <w:bookmarkEnd w:id="227"/>
    <w:p w14:paraId="59B3D478">
      <w:pPr>
        <w:pStyle w:val="27"/>
        <w:ind w:firstLine="480"/>
      </w:pPr>
      <w:bookmarkStart w:id="228" w:name="u78cc7950"/>
      <w:r>
        <w:t>首先，对归一化的光伏功率序列进行EMD的筛选，自动提取各级IMF分量与残差。在分解后，根据分量波动特征和频率，功率数据会按照如下处理：保留前 4 个包含主要规律的有效 IMF 分量，剔除高频噪声分量，残差作为趋势项保留。</w:t>
      </w:r>
    </w:p>
    <w:bookmarkEnd w:id="228"/>
    <w:p w14:paraId="62EAD2C3">
      <w:pPr>
        <w:pStyle w:val="27"/>
        <w:ind w:firstLine="480"/>
      </w:pPr>
      <w:bookmarkStart w:id="229" w:name="u6d6b5aa6"/>
      <w:r>
        <w:t>经过 EMD 分解后的各分量，褪去了原始信号那种狂放不羁的波动，展现出更清晰的周期性和平稳性。这种“驯化”后的数据显著降低了 BiGRU 网络拟合的门槛，有效避免了因信号过载导致的预测偏差。为了防范模态混叠这个“常客”，在分解前就对数据进行了平滑与插值的精细化预处理。在分量筛选时，像筛金子一样，尽可能留住那些反映变化趋势的底层规律，从而为后续预测铺路。分解一旦收工，光伏功率的各级 IMF 分量便会与原始气象特征合流，共同构筑起模型的最终输入矩阵。</w:t>
      </w:r>
    </w:p>
    <w:bookmarkEnd w:id="229"/>
    <w:p w14:paraId="65A47481">
      <w:pPr>
        <w:pStyle w:val="25"/>
        <w:spacing w:before="156" w:after="156"/>
      </w:pPr>
      <w:bookmarkStart w:id="230" w:name="133b8f8c"/>
      <w:r>
        <w:t xml:space="preserve"> </w:t>
      </w:r>
      <w:bookmarkStart w:id="231" w:name="_Toc18750"/>
      <w:bookmarkStart w:id="232" w:name="_Toc227161712"/>
      <w:bookmarkStart w:id="233" w:name="_Toc32717"/>
      <w:bookmarkStart w:id="234" w:name="_Toc7530"/>
      <w:r>
        <w:t>BiGRU 神经网络结构</w:t>
      </w:r>
      <w:r>
        <w:rPr>
          <w:rFonts w:hint="eastAsia"/>
        </w:rPr>
        <w:t>实现</w:t>
      </w:r>
      <w:bookmarkEnd w:id="231"/>
      <w:bookmarkEnd w:id="232"/>
      <w:bookmarkEnd w:id="233"/>
      <w:bookmarkEnd w:id="234"/>
    </w:p>
    <w:bookmarkEnd w:id="230"/>
    <w:p w14:paraId="711667C1">
      <w:pPr>
        <w:pStyle w:val="27"/>
        <w:ind w:firstLine="480"/>
      </w:pPr>
      <w:bookmarkStart w:id="235" w:name="u2c2d8b9c"/>
      <w:r>
        <w:t>光伏功率预测本质上是一个受多变量气象因素高度耦合影响的非线性时间序列回归问题。为了精准捕捉序列中的动态变化规律，本文设计并实现了一个拓扑结构严密、信息传递高效的端到端（End-to-End）BiGRU 深度预测网络。</w:t>
      </w:r>
    </w:p>
    <w:p w14:paraId="039750BA">
      <w:pPr>
        <w:pStyle w:val="26"/>
        <w:spacing w:before="156" w:after="156"/>
        <w:outlineLvl w:val="2"/>
      </w:pPr>
      <w:bookmarkStart w:id="236" w:name="_Toc6295"/>
      <w:bookmarkStart w:id="237" w:name="_Toc227161713"/>
      <w:bookmarkStart w:id="238" w:name="_Toc28524"/>
      <w:bookmarkStart w:id="239" w:name="_Toc27973"/>
      <w:bookmarkStart w:id="240" w:name="b177aa7b"/>
      <w:r>
        <w:t>网络整体结构</w:t>
      </w:r>
      <w:bookmarkEnd w:id="236"/>
      <w:bookmarkEnd w:id="237"/>
      <w:bookmarkEnd w:id="238"/>
      <w:bookmarkEnd w:id="239"/>
    </w:p>
    <w:bookmarkEnd w:id="240"/>
    <w:p w14:paraId="5F009B8D">
      <w:pPr>
        <w:pStyle w:val="27"/>
        <w:ind w:firstLine="480"/>
      </w:pPr>
      <w:r>
        <w:t>本文所构建的预测网络遵循经典的“输入层 — 隐藏层 — 输出层”级联架构，各层之间分工明确、数据流转顺畅，具体结构功能解析如下：</w:t>
      </w:r>
    </w:p>
    <w:p w14:paraId="355C61F7">
      <w:pPr>
        <w:pStyle w:val="28"/>
      </w:pPr>
      <w:r>
        <w:t>输入层（Input Layer）：数据感知与张量构建</w:t>
      </w:r>
    </w:p>
    <w:p w14:paraId="3427103B">
      <w:pPr>
        <w:pStyle w:val="27"/>
        <w:ind w:firstLine="480"/>
      </w:pPr>
      <w:r>
        <w:t>作为数据进入网络的第一道关口，该层负责把经过特征工程“洗礼”的多源数据悉数接纳。在正式开跑前，原本流式的气象与功率数据被重构成了一种严丝合缝的三维矩阵——即 [样本数, 时间步长, 特征维度]。这种三维立体的构造，不仅锁定了数据在时间轴上的演化轨迹，还完美保留了特征维度间的空间耦合，为后续的深度特征提取递上了一份“高清”原始素材。。</w:t>
      </w:r>
    </w:p>
    <w:p w14:paraId="59A6768E">
      <w:pPr>
        <w:pStyle w:val="28"/>
      </w:pPr>
      <w:r>
        <w:t>隐藏层（Hidden Layer）：双向时序特征深度提取</w:t>
      </w:r>
    </w:p>
    <w:p w14:paraId="621F1E98">
      <w:pPr>
        <w:pStyle w:val="27"/>
        <w:ind w:firstLine="480"/>
      </w:pPr>
      <w:r>
        <w:t>这层是整个模型的心脏，也是核心的“特征提纯引擎”，采用了双向门控循环单元（BiGRU）结构。说起来，传统的单向网络只能顺着时间轴像看快进电影一样捕捉“过去对现在”的影响，而的 BiGRU 内部嵌套了两个反向平行的 GRU 实例。这种机制就像让模型同时拥有了“向后看”的记忆和“向前看”的视野，既挖掘了历史气象的累积效应，又参考了未来趋势的边界约束，从而交出了一份更加丰满、立体的时序特征答卷。</w:t>
      </w:r>
    </w:p>
    <w:p w14:paraId="5EE59478">
      <w:pPr>
        <w:pStyle w:val="28"/>
      </w:pPr>
      <w:r>
        <w:t>输出层（Output Layer）：特征降维与功率映射</w:t>
      </w:r>
    </w:p>
    <w:p w14:paraId="287DA4F9">
      <w:pPr>
        <w:pStyle w:val="27"/>
        <w:ind w:firstLine="480"/>
      </w:pPr>
      <w:r>
        <w:t>当隐藏层吐出高维抽象特征后，全连接层便接棒充当起“高级回归器”的角色。它利用线性权重矩阵和偏置项，把那些玄奥的高维特征空间，平滑地投影到关心的预测坐标系中。最终，模型会给出一个精准的标量值，即苦苦追寻的下一时刻（或未来时段）的光伏功率预测结果。</w:t>
      </w:r>
    </w:p>
    <w:p w14:paraId="772EB514">
      <w:pPr>
        <w:pStyle w:val="26"/>
        <w:spacing w:before="156" w:after="156"/>
        <w:outlineLvl w:val="2"/>
      </w:pPr>
      <w:bookmarkStart w:id="241" w:name="_Toc227161714"/>
      <w:bookmarkStart w:id="242" w:name="_Toc10076"/>
      <w:bookmarkStart w:id="243" w:name="_Toc21681"/>
      <w:bookmarkStart w:id="244" w:name="_Toc364"/>
      <w:r>
        <w:t>神经元与层数设置</w:t>
      </w:r>
      <w:bookmarkEnd w:id="241"/>
      <w:bookmarkEnd w:id="242"/>
      <w:bookmarkEnd w:id="243"/>
      <w:bookmarkEnd w:id="244"/>
    </w:p>
    <w:p w14:paraId="55E5AB30">
      <w:pPr>
        <w:pStyle w:val="27"/>
        <w:ind w:firstLine="480"/>
      </w:pPr>
      <w:r>
        <w:t>超参数的设定往往决定了模型的“天花板”高度以及寻优时的步态是否稳健。为了让网络在应对多变的光伏数据时既有强大的泛化力，又不至于耗尽计算资源，通过多轮交叉验证和参数博弈，确立了这套核心配置：</w:t>
      </w:r>
    </w:p>
    <w:p w14:paraId="66E53211">
      <w:pPr>
        <w:pStyle w:val="27"/>
        <w:numPr>
          <w:ilvl w:val="0"/>
          <w:numId w:val="5"/>
        </w:numPr>
        <w:ind w:left="0" w:firstLine="480"/>
      </w:pPr>
      <w:r>
        <w:t>隐藏层神经元规模（Hidden Size = 64）： BiGRU 的隐藏单元数定在 64。这个规模在保证刻画能力的同时，巧妙地绕开了“维度灾难”和显存告急的尴尬，是精度与代价之间的一个绝佳平衡点。</w:t>
      </w:r>
    </w:p>
    <w:p w14:paraId="01BEAA05">
      <w:pPr>
        <w:pStyle w:val="27"/>
        <w:numPr>
          <w:ilvl w:val="0"/>
          <w:numId w:val="5"/>
        </w:numPr>
        <w:ind w:left="0" w:firstLine="480"/>
      </w:pPr>
      <w:r>
        <w:t>激活函数机制（Activation = ReLU）：全连接层引入了 ReLU 线性整流函数。相比那些容易让人陷入“怠工”状态的 Sigmoid 或 Tanh 函数，ReLU 的非饱和特性极大地缓解了反向传播中的梯度消失问题，让收敛进程明显提速。</w:t>
      </w:r>
    </w:p>
    <w:p w14:paraId="0A8D2E41">
      <w:pPr>
        <w:pStyle w:val="27"/>
        <w:numPr>
          <w:ilvl w:val="0"/>
          <w:numId w:val="5"/>
        </w:numPr>
        <w:ind w:left="0" w:firstLine="480"/>
      </w:pPr>
      <w:r>
        <w:t>优化算法选择（Optimizer = Adam）：训练的“驾驶员”选用了 Adam。它能根据梯度的动量自适应地给每个权重分配独立的学习率，这让模型在面对平缓误差面时能加速突进，而在遇到陡峭峡谷时又能保持优雅，不至于剧烈震荡。</w:t>
      </w:r>
    </w:p>
    <w:p w14:paraId="65341C13">
      <w:pPr>
        <w:pStyle w:val="27"/>
        <w:numPr>
          <w:ilvl w:val="0"/>
          <w:numId w:val="5"/>
        </w:numPr>
        <w:ind w:left="0" w:firstLine="480"/>
      </w:pPr>
      <w:r>
        <w:t>目标损失函数（Loss = MSE）：选用均方误差（MSE）作为裁决标准。它对大偏差极其“严厉”的平方级惩罚，能逼着网络权重在训练初期就快速向全局最优点靠拢。</w:t>
      </w:r>
    </w:p>
    <w:p w14:paraId="1B25F909">
      <w:pPr>
        <w:pStyle w:val="27"/>
        <w:numPr>
          <w:ilvl w:val="0"/>
          <w:numId w:val="5"/>
        </w:numPr>
        <w:ind w:left="0" w:firstLine="480"/>
      </w:pPr>
      <w:r>
        <w:t>训练周期与学习率（Epochs = 100, LR = 0.001）：将总轮次设为 100 轮，初始全局学习率锚定在 0.001。</w:t>
      </w:r>
    </w:p>
    <w:p w14:paraId="1ACF874B">
      <w:pPr>
        <w:pStyle w:val="27"/>
        <w:ind w:firstLine="480"/>
      </w:pPr>
      <w:r>
        <w:t>实际上，这套严密的参数组合，就像是给模型穿上了一套特制的“减震器”，保证了梯度下降时的每一步都既稳健又连贯。适中的神经元配置配合自适应优化，让模型在吞噬非平稳气象规律时效率惊人。更关键的是，这种设计从根本上给过拟合戴上了“枷锁”，即便面对未知的极端天气，模型依然能保持那份难得的预测定力。</w:t>
      </w:r>
    </w:p>
    <w:bookmarkEnd w:id="235"/>
    <w:p w14:paraId="2686047E">
      <w:pPr>
        <w:pStyle w:val="25"/>
        <w:spacing w:before="156" w:after="156"/>
      </w:pPr>
      <w:bookmarkStart w:id="245" w:name="_Toc6817"/>
      <w:bookmarkStart w:id="246" w:name="_Toc227161715"/>
      <w:bookmarkStart w:id="247" w:name="_Toc2320"/>
      <w:bookmarkStart w:id="248" w:name="_Toc14598"/>
      <w:bookmarkStart w:id="249" w:name="96151f49"/>
      <w:r>
        <w:t>模型训练与参数优化</w:t>
      </w:r>
      <w:bookmarkEnd w:id="245"/>
      <w:bookmarkEnd w:id="246"/>
      <w:bookmarkEnd w:id="247"/>
      <w:bookmarkEnd w:id="248"/>
    </w:p>
    <w:p w14:paraId="7E670ABF">
      <w:pPr>
        <w:pStyle w:val="27"/>
        <w:ind w:firstLine="480"/>
      </w:pPr>
      <w:r>
        <w:t>深度学习那种令人惊叹的非线性映射，说到底还是靠科学的训练机制和聪明的空间搜索撑起来的。为了让这套 EMD-BiGRU 模型能精准复刻气象因素与光伏功率之间的时空纠葛，设计了一套严丝合缝的有监督训练流程。这不仅仅是在跑数据，更是在寻找那一组能让模型在变幻莫测的自然规律面前，依然能给出最优解答的神秘参数组合。</w:t>
      </w:r>
    </w:p>
    <w:bookmarkEnd w:id="249"/>
    <w:p w14:paraId="52142B56">
      <w:pPr>
        <w:pStyle w:val="26"/>
        <w:spacing w:before="156" w:after="156"/>
        <w:outlineLvl w:val="2"/>
      </w:pPr>
      <w:bookmarkStart w:id="250" w:name="f9bcf763"/>
      <w:r>
        <w:t xml:space="preserve"> </w:t>
      </w:r>
      <w:bookmarkStart w:id="251" w:name="_Toc12299"/>
      <w:bookmarkStart w:id="252" w:name="_Toc11674"/>
      <w:bookmarkStart w:id="253" w:name="_Toc227161716"/>
      <w:bookmarkStart w:id="254" w:name="_Toc30846"/>
      <w:r>
        <w:t>模型训练流程</w:t>
      </w:r>
      <w:bookmarkEnd w:id="251"/>
      <w:bookmarkEnd w:id="252"/>
      <w:bookmarkEnd w:id="253"/>
      <w:bookmarkEnd w:id="254"/>
    </w:p>
    <w:bookmarkEnd w:id="250"/>
    <w:p w14:paraId="6ACF5616">
      <w:pPr>
        <w:pStyle w:val="27"/>
        <w:ind w:firstLine="480"/>
      </w:pPr>
      <w:bookmarkStart w:id="255" w:name="c511b78e"/>
      <w:r>
        <w:t>本研究中的 BiGRU 网络训练采用端到端（End-to-End）的有监督学习（Supervised Learning）范式，基于随时间反向传播算法（Backpropagation Through Time, BPTT）进行参数的迭代寻优。具体的闭环训练流程如下：</w:t>
      </w:r>
    </w:p>
    <w:p w14:paraId="2F266DA6">
      <w:pPr>
        <w:pStyle w:val="27"/>
        <w:numPr>
          <w:ilvl w:val="0"/>
          <w:numId w:val="6"/>
        </w:numPr>
        <w:tabs>
          <w:tab w:val="left" w:pos="-1"/>
          <w:tab w:val="clear" w:pos="420"/>
        </w:tabs>
        <w:ind w:left="0" w:firstLine="480"/>
      </w:pPr>
      <w:r>
        <w:t>网络初始化：在训练伊始，采用 Xavier 或 Kaiming 初始化策略对 BiGRU 网络的权重矩阵（Weight Matrices）和偏置向量（Bias Vectors）进行随机赋值，以打破网络对称性并防止在训练初期出现梯度消失或梯度爆炸现象。</w:t>
      </w:r>
    </w:p>
    <w:p w14:paraId="70494342">
      <w:pPr>
        <w:pStyle w:val="27"/>
        <w:numPr>
          <w:ilvl w:val="0"/>
          <w:numId w:val="6"/>
        </w:numPr>
        <w:tabs>
          <w:tab w:val="left" w:pos="-1"/>
          <w:tab w:val="clear" w:pos="420"/>
        </w:tabs>
        <w:ind w:left="0" w:firstLine="482"/>
      </w:pPr>
      <w:r>
        <w:rPr>
          <w:b/>
          <w:bCs/>
        </w:rPr>
        <w:t>前向特征传播</w:t>
      </w:r>
      <w:r>
        <w:t>：将划分好的训练集三维时序张量按批次（Batch）输入网络。数据依次流经双向门控隐藏层进行时序上下文特征提取，最终通过全连接层映射，输出当前网络状态下的光伏功率预测值。</w:t>
      </w:r>
    </w:p>
    <w:p w14:paraId="45A61F88">
      <w:pPr>
        <w:pStyle w:val="27"/>
        <w:numPr>
          <w:ilvl w:val="0"/>
          <w:numId w:val="6"/>
        </w:numPr>
        <w:tabs>
          <w:tab w:val="left" w:pos="-1"/>
          <w:tab w:val="clear" w:pos="420"/>
        </w:tabs>
        <w:ind w:left="0" w:firstLine="482"/>
      </w:pPr>
      <w:r>
        <w:rPr>
          <w:b/>
          <w:bCs/>
        </w:rPr>
        <w:t>损失函数计算</w:t>
      </w:r>
      <w:r>
        <w:t>：在输出端，计算网络预测值与真实功率标签之间的均方误差（Mean Squared Error, MSE）。该损失函数通过量化预测值与真实值之间的欧氏距离平方，精准评估当前模型前向传播的全局偏差程度。</w:t>
      </w:r>
    </w:p>
    <w:p w14:paraId="11147542">
      <w:pPr>
        <w:pStyle w:val="27"/>
        <w:numPr>
          <w:ilvl w:val="0"/>
          <w:numId w:val="6"/>
        </w:numPr>
        <w:tabs>
          <w:tab w:val="left" w:pos="-1"/>
          <w:tab w:val="clear" w:pos="420"/>
        </w:tabs>
        <w:ind w:left="0" w:firstLine="482"/>
      </w:pPr>
      <w:r>
        <w:rPr>
          <w:b/>
          <w:bCs/>
        </w:rPr>
        <w:t>反向传播与权重更新</w:t>
      </w:r>
      <w:r>
        <w:t>：根据链式求导法则（Chain Rule），计算损失函数对网络中各个可学习参数的偏导数（梯度）。随后，调用 Adam（自适应矩估计）优化器，结合梯度的一阶动量和二阶动量，自适应地更新网络权重，使损失函数值向全局最小值的方向沿着梯度下降。</w:t>
      </w:r>
    </w:p>
    <w:p w14:paraId="58E31814">
      <w:pPr>
        <w:pStyle w:val="27"/>
        <w:numPr>
          <w:ilvl w:val="0"/>
          <w:numId w:val="6"/>
        </w:numPr>
        <w:tabs>
          <w:tab w:val="left" w:pos="-1"/>
          <w:tab w:val="clear" w:pos="420"/>
        </w:tabs>
        <w:ind w:left="0" w:firstLine="482"/>
      </w:pPr>
      <w:r>
        <w:rPr>
          <w:b/>
          <w:bCs/>
        </w:rPr>
        <w:t>迭代终止条件</w:t>
      </w:r>
      <w:r>
        <w:t>：不断重复上述前向与反向传播过程，直至网络达到预设的最大训练轮次（Epochs），或在验证集上的损失连续多个轮次不再下降（触发早停机制 Early Stopping），从而结束训练并保存最优模型权重。</w:t>
      </w:r>
    </w:p>
    <w:bookmarkEnd w:id="255"/>
    <w:p w14:paraId="1B1F8C76">
      <w:pPr>
        <w:pStyle w:val="26"/>
        <w:spacing w:before="156" w:after="156"/>
        <w:outlineLvl w:val="2"/>
      </w:pPr>
      <w:bookmarkStart w:id="256" w:name="ucb8e5677"/>
      <w:r>
        <w:t xml:space="preserve"> </w:t>
      </w:r>
      <w:bookmarkStart w:id="257" w:name="_Toc28798"/>
      <w:bookmarkStart w:id="258" w:name="_Toc227161717"/>
      <w:bookmarkStart w:id="259" w:name="_Toc32754"/>
      <w:bookmarkStart w:id="260" w:name="_Toc30800"/>
      <w:r>
        <w:t>超参数选择依据</w:t>
      </w:r>
      <w:bookmarkEnd w:id="257"/>
      <w:bookmarkEnd w:id="258"/>
      <w:bookmarkEnd w:id="259"/>
      <w:bookmarkEnd w:id="260"/>
    </w:p>
    <w:p w14:paraId="245C5280">
      <w:pPr>
        <w:pStyle w:val="27"/>
        <w:ind w:firstLine="480"/>
      </w:pPr>
      <w:r>
        <w:t>深度神经网络的超参数配置直接决定了模型的特征表达容量（Capacity）与寻优空间的拓扑结构。为了获取在验证集上泛化误差最低的参数组合，本文采用控制变量法与网格搜索（Grid Search）思想，对输入时间步长、隐藏层神经元数量、学习率以及批次大小（Batch Size）等关键架构参数进行了多轮次的对比交叉实验。</w:t>
      </w:r>
    </w:p>
    <w:p w14:paraId="04D5C4DB">
      <w:pPr>
        <w:pStyle w:val="27"/>
        <w:ind w:firstLine="480"/>
      </w:pPr>
      <w:r>
        <w:t>通过详尽的实验比对与理论分析，本文确立了如下最优参数配置及其科学依据：</w:t>
      </w:r>
    </w:p>
    <w:p w14:paraId="17EDBC8F">
      <w:pPr>
        <w:pStyle w:val="27"/>
        <w:ind w:firstLine="480"/>
      </w:pPr>
      <w:r>
        <w:rPr>
          <w:rFonts w:hint="eastAsia"/>
        </w:rPr>
        <w:t xml:space="preserve">（1） </w:t>
      </w:r>
      <w:r>
        <w:t>时间步长（Time Steps）：本文结合原始数据的采样频率，将输入时间窗口的步长精确设定为等价于一个完整的 24 小时自然日。这一设置在物理层面上完美覆盖了光伏发电从日出到日落的完整日周期变化规律（Diurnal Cycle），在时序建模中不仅避免了因时间窗口过短导致的长程时序信息被截断，同时也起到了合理的记忆截断作用，有效防止了时间窗口过长所引入的无价值历史衰减噪声对当前预测任务产生干扰。。</w:t>
      </w:r>
    </w:p>
    <w:p w14:paraId="166779DE">
      <w:pPr>
        <w:pStyle w:val="27"/>
        <w:ind w:firstLine="480"/>
      </w:pPr>
      <w:r>
        <w:rPr>
          <w:rFonts w:hint="eastAsia"/>
        </w:rPr>
        <w:t>（2）</w:t>
      </w:r>
      <w:r>
        <w:t>初始学习率（Learning Rate）：该学习率设定配合 Adam 优化器的自适应调节机制，能够在训练初期提供足够的步长以快速跳出局部极小值，同时在训练后期保证细粒度的平滑收敛，完美兼顾了模型训练的收敛速度与权重更新的稳定性。</w:t>
      </w:r>
    </w:p>
    <w:p w14:paraId="1ABAEACE">
      <w:pPr>
        <w:pStyle w:val="27"/>
        <w:ind w:firstLine="480"/>
      </w:pPr>
      <w:r>
        <w:rPr>
          <w:rFonts w:hint="eastAsia"/>
        </w:rPr>
        <w:t>（3）</w:t>
      </w:r>
      <w:r>
        <w:t>神经元数量（Hidden Units）：BiGRU 隐藏层神经元规模设定为 64。实验证明，该维度为特征映射提供了充足的高维空间，使其能够有效解耦复杂的非线性气象突变；同时，适中的参数量又形成了一定的信息瓶颈（Information Bottleneck），有效抑制了模型对训练集局部噪声的过度记忆，在模型拟合容量与防止过拟合之间找到了最优的平衡点</w:t>
      </w:r>
    </w:p>
    <w:p w14:paraId="0FCE9A4F">
      <w:pPr>
        <w:pStyle w:val="27"/>
        <w:ind w:left="-720" w:leftChars="-343" w:firstLine="480"/>
      </w:pPr>
    </w:p>
    <w:bookmarkEnd w:id="256"/>
    <w:p w14:paraId="04028864">
      <w:pPr>
        <w:pStyle w:val="26"/>
        <w:spacing w:before="156" w:after="156"/>
        <w:outlineLvl w:val="2"/>
      </w:pPr>
      <w:bookmarkStart w:id="261" w:name="88e5d97d"/>
      <w:r>
        <w:t xml:space="preserve"> </w:t>
      </w:r>
      <w:bookmarkStart w:id="262" w:name="_Toc2919"/>
      <w:bookmarkStart w:id="263" w:name="_Toc28142"/>
      <w:bookmarkStart w:id="264" w:name="_Toc227161718"/>
      <w:bookmarkStart w:id="265" w:name="_Toc11771"/>
      <w:r>
        <w:t>预测与结果融合</w:t>
      </w:r>
      <w:bookmarkEnd w:id="262"/>
      <w:bookmarkEnd w:id="263"/>
      <w:bookmarkEnd w:id="264"/>
      <w:bookmarkEnd w:id="265"/>
    </w:p>
    <w:bookmarkEnd w:id="261"/>
    <w:p w14:paraId="703726F0">
      <w:pPr>
        <w:pStyle w:val="27"/>
        <w:ind w:firstLine="480"/>
      </w:pPr>
      <w:bookmarkStart w:id="266" w:name="ub9631e8f"/>
      <w:r>
        <w:t>在完成网络训练与参数固化后，模型进入最终的推理预测阶段。由于本文采用了“先分解，后预测”的策略，模型实际上是由多个并行的 BiGRU 子网络构成的，分别对应原始序列的不同频带特征。</w:t>
      </w:r>
    </w:p>
    <w:p w14:paraId="0EDDB163">
      <w:pPr>
        <w:pStyle w:val="27"/>
        <w:ind w:firstLine="480"/>
      </w:pPr>
      <w:r>
        <w:t>将预处理后的测试集数据同步输入至各个训练完毕的子模型中，各个子模型将独立输出对应 IMF 分量以及残余分量（Residue）的归一化预测结果。随后，本文利用线性叠加系统原理，将各频段的子预测结果进行同步叠加融合，并执行反归一化（Inverse Normalization）操作，将其还原为真实的物理量纲（如兆瓦 MW）。</w:t>
      </w:r>
    </w:p>
    <w:p w14:paraId="69EAE187">
      <w:pPr>
        <w:pStyle w:val="27"/>
        <w:ind w:firstLine="480"/>
      </w:pPr>
      <w:r>
        <w:t>结果的最终重构与融合公式可严密表示为：</w:t>
      </w:r>
    </w:p>
    <w:p w14:paraId="72DAEB94">
      <w:pPr>
        <w:pStyle w:val="27"/>
        <w:ind w:firstLine="480"/>
      </w:pPr>
      <m:oMathPara>
        <m:oMath>
          <m:acc>
            <m:accPr>
              <m:ctrlPr>
                <w:rPr>
                  <w:rFonts w:ascii="Cambria Math" w:hAnsi="Cambria Math"/>
                </w:rPr>
              </m:ctrlPr>
            </m:accPr>
            <m:e>
              <m:r>
                <m:rPr/>
                <w:rPr>
                  <w:rFonts w:ascii="Cambria Math" w:hAnsi="Cambria Math"/>
                </w:rPr>
                <m:t>P</m:t>
              </m:r>
              <m:ctrlPr>
                <w:rPr>
                  <w:rFonts w:ascii="Cambria Math" w:hAnsi="Cambria Math"/>
                </w:rPr>
              </m:ctrlPr>
            </m:e>
          </m:acc>
          <m:d>
            <m:dPr>
              <m:ctrlPr>
                <w:rPr>
                  <w:rFonts w:ascii="Cambria Math" w:hAnsi="Cambria Math"/>
                  <w:i/>
                </w:rPr>
              </m:ctrlPr>
            </m:dPr>
            <m:e>
              <m:r>
                <m:rPr/>
                <w:rPr>
                  <w:rFonts w:ascii="Cambria Math" w:hAnsi="Cambria Math"/>
                </w:rPr>
                <m:t>t</m:t>
              </m:r>
              <m:ctrlPr>
                <w:rPr>
                  <w:rFonts w:ascii="Cambria Math" w:hAnsi="Cambria Math"/>
                  <w:i/>
                </w:rPr>
              </m:ctrlPr>
            </m:e>
          </m:d>
          <m:r>
            <m:rPr/>
            <w:rPr>
              <w:rFonts w:ascii="Cambria Math" w:hAnsi="Cambria Math"/>
            </w:rPr>
            <m:t>=</m:t>
          </m:r>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K</m:t>
              </m:r>
              <m:ctrlPr>
                <w:rPr>
                  <w:rFonts w:ascii="Cambria Math" w:hAnsi="Cambria Math"/>
                  <w:i/>
                </w:rPr>
              </m:ctrlPr>
            </m:sup>
            <m:e>
              <m:acc>
                <m:accPr>
                  <m:ctrlPr>
                    <w:rPr>
                      <w:rFonts w:ascii="Cambria Math" w:hAnsi="Cambria Math"/>
                    </w:rPr>
                  </m:ctrlPr>
                </m:accPr>
                <m:e>
                  <m:sSup>
                    <m:sSupPr>
                      <m:ctrlPr>
                        <w:rPr>
                          <w:rFonts w:ascii="Cambria Math" w:hAnsi="Cambria Math"/>
                          <w:i/>
                        </w:rPr>
                      </m:ctrlPr>
                    </m:sSupPr>
                    <m:e>
                      <m:r>
                        <m:rPr/>
                        <w:rPr>
                          <w:rFonts w:ascii="Cambria Math" w:hAnsi="Cambria Math"/>
                        </w:rPr>
                        <m:t>P</m:t>
                      </m:r>
                      <m:ctrlPr>
                        <w:rPr>
                          <w:rFonts w:ascii="Cambria Math" w:hAnsi="Cambria Math"/>
                        </w:rPr>
                      </m:ctrlPr>
                    </m:e>
                    <m:sup>
                      <m:r>
                        <m:rPr/>
                        <w:rPr>
                          <w:rFonts w:ascii="Cambria Math" w:hAnsi="Cambria Math"/>
                        </w:rPr>
                        <m:t>i</m:t>
                      </m:r>
                      <m:ctrlPr>
                        <w:rPr>
                          <w:rFonts w:ascii="Cambria Math" w:hAnsi="Cambria Math"/>
                          <w:i/>
                        </w:rPr>
                      </m:ctrlPr>
                    </m:sup>
                  </m:sSup>
                  <m:ctrlPr>
                    <w:rPr>
                      <w:rFonts w:ascii="Cambria Math" w:hAnsi="Cambria Math"/>
                    </w:rPr>
                  </m:ctrlPr>
                </m:e>
              </m:acc>
              <m:d>
                <m:dPr>
                  <m:ctrlPr>
                    <w:rPr>
                      <w:rFonts w:ascii="Cambria Math" w:hAnsi="Cambria Math"/>
                      <w:i/>
                    </w:rPr>
                  </m:ctrlPr>
                </m:dPr>
                <m:e>
                  <m:r>
                    <m:rPr/>
                    <w:rPr>
                      <w:rFonts w:ascii="Cambria Math" w:hAnsi="Cambria Math"/>
                    </w:rPr>
                    <m:t>t</m:t>
                  </m:r>
                  <m:ctrlPr>
                    <w:rPr>
                      <w:rFonts w:ascii="Cambria Math" w:hAnsi="Cambria Math"/>
                      <w:i/>
                    </w:rPr>
                  </m:ctrlPr>
                </m:e>
              </m:d>
              <m:ctrlPr>
                <w:rPr>
                  <w:rFonts w:ascii="Cambria Math" w:hAnsi="Cambria Math"/>
                  <w:i/>
                </w:rPr>
              </m:ctrlPr>
            </m:e>
          </m:nary>
          <m:r>
            <m:rPr/>
            <w:rPr>
              <w:rFonts w:ascii="Cambria Math" w:hAnsi="Cambria Math"/>
            </w:rPr>
            <m:t>+</m:t>
          </m:r>
          <m:acc>
            <m:accPr>
              <m:ctrlPr>
                <w:rPr>
                  <w:rFonts w:ascii="Cambria Math" w:hAnsi="Cambria Math"/>
                </w:rPr>
              </m:ctrlPr>
            </m:accPr>
            <m:e>
              <m:sSup>
                <m:sSupPr>
                  <m:ctrlPr>
                    <w:rPr>
                      <w:rFonts w:ascii="Cambria Math" w:hAnsi="Cambria Math"/>
                      <w:i/>
                    </w:rPr>
                  </m:ctrlPr>
                </m:sSupPr>
                <m:e>
                  <m:r>
                    <m:rPr/>
                    <w:rPr>
                      <w:rFonts w:ascii="Cambria Math" w:hAnsi="Cambria Math"/>
                    </w:rPr>
                    <m:t>P</m:t>
                  </m:r>
                  <m:ctrlPr>
                    <w:rPr>
                      <w:rFonts w:ascii="Cambria Math" w:hAnsi="Cambria Math"/>
                    </w:rPr>
                  </m:ctrlPr>
                </m:e>
                <m:sup>
                  <m:r>
                    <m:rPr/>
                    <w:rPr>
                      <w:rFonts w:ascii="Cambria Math" w:hAnsi="Cambria Math"/>
                    </w:rPr>
                    <m:t>r</m:t>
                  </m:r>
                  <m:ctrlPr>
                    <w:rPr>
                      <w:rFonts w:ascii="Cambria Math" w:hAnsi="Cambria Math"/>
                      <w:i/>
                    </w:rPr>
                  </m:ctrlPr>
                </m:sup>
              </m:sSup>
              <m:ctrlPr>
                <w:rPr>
                  <w:rFonts w:ascii="Cambria Math" w:hAnsi="Cambria Math"/>
                </w:rPr>
              </m:ctrlPr>
            </m:e>
          </m:acc>
          <m:d>
            <m:dPr>
              <m:ctrlPr>
                <w:rPr>
                  <w:rFonts w:ascii="Cambria Math" w:hAnsi="Cambria Math"/>
                  <w:i/>
                </w:rPr>
              </m:ctrlPr>
            </m:dPr>
            <m:e>
              <m:r>
                <m:rPr/>
                <w:rPr>
                  <w:rFonts w:ascii="Cambria Math" w:hAnsi="Cambria Math"/>
                </w:rPr>
                <m:t>t</m:t>
              </m:r>
              <m:ctrlPr>
                <w:rPr>
                  <w:rFonts w:ascii="Cambria Math" w:hAnsi="Cambria Math"/>
                  <w:i/>
                </w:rPr>
              </m:ctrlPr>
            </m:e>
          </m:d>
        </m:oMath>
      </m:oMathPara>
    </w:p>
    <w:p w14:paraId="538C906A">
      <w:pPr>
        <w:pStyle w:val="27"/>
        <w:ind w:firstLine="480"/>
      </w:pPr>
      <w:r>
        <w:t>其中，</w:t>
      </w:r>
      <m:oMath>
        <m:acc>
          <m:accPr>
            <m:ctrlPr>
              <w:rPr>
                <w:rFonts w:ascii="Cambria Math" w:hAnsi="Cambria Math"/>
              </w:rPr>
            </m:ctrlPr>
          </m:accPr>
          <m:e>
            <m:r>
              <m:rPr/>
              <w:rPr>
                <w:rFonts w:ascii="Cambria Math" w:hAnsi="Cambria Math"/>
              </w:rPr>
              <m:t>P</m:t>
            </m:r>
            <m:ctrlPr>
              <w:rPr>
                <w:rFonts w:ascii="Cambria Math" w:hAnsi="Cambria Math"/>
              </w:rPr>
            </m:ctrlPr>
          </m:e>
        </m:acc>
        <m:d>
          <m:dPr>
            <m:ctrlPr>
              <w:rPr>
                <w:rFonts w:ascii="Cambria Math" w:hAnsi="Cambria Math"/>
                <w:i/>
              </w:rPr>
            </m:ctrlPr>
          </m:dPr>
          <m:e>
            <m:r>
              <m:rPr/>
              <w:rPr>
                <w:rFonts w:ascii="Cambria Math" w:hAnsi="Cambria Math"/>
              </w:rPr>
              <m:t>t</m:t>
            </m:r>
            <m:ctrlPr>
              <w:rPr>
                <w:rFonts w:ascii="Cambria Math" w:hAnsi="Cambria Math"/>
                <w:i/>
              </w:rPr>
            </m:ctrlPr>
          </m:e>
        </m:d>
      </m:oMath>
      <w:r>
        <w:t xml:space="preserve"> 为时刻 </w:t>
      </w:r>
      <m:oMath>
        <m:r>
          <m:rPr/>
          <w:rPr>
            <w:rFonts w:ascii="Cambria Math" w:hAnsi="Cambria Math"/>
          </w:rPr>
          <m:t>t</m:t>
        </m:r>
      </m:oMath>
      <w:r>
        <w:t xml:space="preserve"> 最终重构的光伏功率预测总值，</w:t>
      </w:r>
      <m:oMath>
        <m:r>
          <m:rPr/>
          <w:rPr>
            <w:rFonts w:ascii="Cambria Math" w:hAnsi="Cambria Math"/>
          </w:rPr>
          <m:t>K</m:t>
        </m:r>
      </m:oMath>
      <w:r>
        <w:t xml:space="preserve"> 为 EMD 分解出的本征模函数总数，</w:t>
      </w:r>
      <m:oMath>
        <m:acc>
          <m:accPr>
            <m:ctrlPr>
              <w:rPr>
                <w:rFonts w:ascii="Cambria Math" w:hAnsi="Cambria Math"/>
              </w:rPr>
            </m:ctrlPr>
          </m:accPr>
          <m:e>
            <m:sSup>
              <m:sSupPr>
                <m:ctrlPr>
                  <w:rPr>
                    <w:rFonts w:ascii="Cambria Math" w:hAnsi="Cambria Math"/>
                    <w:i/>
                  </w:rPr>
                </m:ctrlPr>
              </m:sSupPr>
              <m:e>
                <m:r>
                  <m:rPr/>
                  <w:rPr>
                    <w:rFonts w:ascii="Cambria Math" w:hAnsi="Cambria Math"/>
                  </w:rPr>
                  <m:t>P</m:t>
                </m:r>
                <m:ctrlPr>
                  <w:rPr>
                    <w:rFonts w:ascii="Cambria Math" w:hAnsi="Cambria Math"/>
                  </w:rPr>
                </m:ctrlPr>
              </m:e>
              <m:sup>
                <m:r>
                  <m:rPr/>
                  <w:rPr>
                    <w:rFonts w:ascii="Cambria Math" w:hAnsi="Cambria Math"/>
                  </w:rPr>
                  <m:t>i</m:t>
                </m:r>
                <m:ctrlPr>
                  <w:rPr>
                    <w:rFonts w:ascii="Cambria Math" w:hAnsi="Cambria Math"/>
                    <w:i/>
                  </w:rPr>
                </m:ctrlPr>
              </m:sup>
            </m:sSup>
            <m:ctrlPr>
              <w:rPr>
                <w:rFonts w:ascii="Cambria Math" w:hAnsi="Cambria Math"/>
              </w:rPr>
            </m:ctrlPr>
          </m:e>
        </m:acc>
        <m:d>
          <m:dPr>
            <m:ctrlPr>
              <w:rPr>
                <w:rFonts w:ascii="Cambria Math" w:hAnsi="Cambria Math"/>
                <w:i/>
              </w:rPr>
            </m:ctrlPr>
          </m:dPr>
          <m:e>
            <m:r>
              <m:rPr/>
              <w:rPr>
                <w:rFonts w:ascii="Cambria Math" w:hAnsi="Cambria Math"/>
              </w:rPr>
              <m:t>t</m:t>
            </m:r>
            <m:ctrlPr>
              <w:rPr>
                <w:rFonts w:ascii="Cambria Math" w:hAnsi="Cambria Math"/>
                <w:i/>
              </w:rPr>
            </m:ctrlPr>
          </m:e>
        </m:d>
      </m:oMath>
      <w:r>
        <w:t xml:space="preserve"> 为第 </w:t>
      </w:r>
      <m:oMath>
        <m:r>
          <m:rPr/>
          <w:rPr>
            <w:rFonts w:ascii="Cambria Math" w:hAnsi="Cambria Math"/>
          </w:rPr>
          <m:t>i</m:t>
        </m:r>
      </m:oMath>
      <w:r>
        <w:t xml:space="preserve"> 个 IMF 分量（通常代表特定频率的气象随机波动）在 </w:t>
      </w:r>
      <m:oMath>
        <m:r>
          <m:rPr/>
          <w:rPr>
            <w:rFonts w:ascii="Cambria Math" w:hAnsi="Cambria Math"/>
          </w:rPr>
          <m:t>t</m:t>
        </m:r>
      </m:oMath>
      <w:r>
        <w:t xml:space="preserve"> 时刻的预测值，</w:t>
      </w:r>
      <m:oMath>
        <m:acc>
          <m:accPr>
            <m:ctrlPr>
              <w:rPr>
                <w:rFonts w:ascii="Cambria Math" w:hAnsi="Cambria Math"/>
              </w:rPr>
            </m:ctrlPr>
          </m:accPr>
          <m:e>
            <m:sSup>
              <m:sSupPr>
                <m:ctrlPr>
                  <w:rPr>
                    <w:rFonts w:ascii="Cambria Math" w:hAnsi="Cambria Math"/>
                    <w:i/>
                  </w:rPr>
                </m:ctrlPr>
              </m:sSupPr>
              <m:e>
                <m:r>
                  <m:rPr/>
                  <w:rPr>
                    <w:rFonts w:ascii="Cambria Math" w:hAnsi="Cambria Math"/>
                  </w:rPr>
                  <m:t>P</m:t>
                </m:r>
                <m:ctrlPr>
                  <w:rPr>
                    <w:rFonts w:ascii="Cambria Math" w:hAnsi="Cambria Math"/>
                  </w:rPr>
                </m:ctrlPr>
              </m:e>
              <m:sup>
                <m:r>
                  <m:rPr/>
                  <w:rPr>
                    <w:rFonts w:ascii="Cambria Math" w:hAnsi="Cambria Math"/>
                  </w:rPr>
                  <m:t>r</m:t>
                </m:r>
                <m:ctrlPr>
                  <w:rPr>
                    <w:rFonts w:ascii="Cambria Math" w:hAnsi="Cambria Math"/>
                    <w:i/>
                  </w:rPr>
                </m:ctrlPr>
              </m:sup>
            </m:sSup>
            <m:ctrlPr>
              <w:rPr>
                <w:rFonts w:ascii="Cambria Math" w:hAnsi="Cambria Math"/>
              </w:rPr>
            </m:ctrlPr>
          </m:e>
        </m:acc>
        <m:d>
          <m:dPr>
            <m:ctrlPr>
              <w:rPr>
                <w:rFonts w:ascii="Cambria Math" w:hAnsi="Cambria Math"/>
                <w:i/>
              </w:rPr>
            </m:ctrlPr>
          </m:dPr>
          <m:e>
            <m:r>
              <m:rPr/>
              <w:rPr>
                <w:rFonts w:ascii="Cambria Math" w:hAnsi="Cambria Math"/>
              </w:rPr>
              <m:t>t</m:t>
            </m:r>
            <m:ctrlPr>
              <w:rPr>
                <w:rFonts w:ascii="Cambria Math" w:hAnsi="Cambria Math"/>
                <w:i/>
              </w:rPr>
            </m:ctrlPr>
          </m:e>
        </m:d>
      </m:oMath>
      <w:r>
        <w:t xml:space="preserve"> 为残差分量（代表光伏功率的长期演变趋势）在 </w:t>
      </w:r>
      <m:oMath>
        <m:r>
          <m:rPr/>
          <w:rPr>
            <w:rFonts w:ascii="Cambria Math" w:hAnsi="Cambria Math"/>
          </w:rPr>
          <m:t>t</m:t>
        </m:r>
      </m:oMath>
      <w:r>
        <w:t xml:space="preserve"> 时刻的预测值。</w:t>
      </w:r>
    </w:p>
    <w:p w14:paraId="528D11E4">
      <w:pPr>
        <w:pStyle w:val="27"/>
        <w:ind w:firstLine="480"/>
      </w:pPr>
      <w:r>
        <w:t>这种分频预测与末端叠加融合的策略，巧妙地将原本错综复杂的非平稳光伏波动，解构为了相对纯粹的高频随机噪声与低频周期趋势。模型得以在不同尺度上“对症下药”地提取时序特征，从而在融合阶段极大程度地还原了真实功率曲线的每一个波峰与拐点，最终实现了整体预测精度与抗干扰能力的显著跃升。</w:t>
      </w:r>
    </w:p>
    <w:p w14:paraId="08F43A70">
      <w:pPr>
        <w:pStyle w:val="27"/>
        <w:ind w:firstLine="480"/>
      </w:pPr>
    </w:p>
    <w:bookmarkEnd w:id="266"/>
    <w:p w14:paraId="1C728FAA">
      <w:pPr>
        <w:widowControl/>
        <w:jc w:val="left"/>
        <w:rPr>
          <w:sz w:val="24"/>
        </w:rPr>
      </w:pPr>
      <w:bookmarkStart w:id="267" w:name="u32c9bcb5"/>
      <w:r>
        <w:br w:type="page"/>
      </w:r>
    </w:p>
    <w:p w14:paraId="15F4E1DC">
      <w:pPr>
        <w:pStyle w:val="27"/>
        <w:ind w:firstLine="480"/>
      </w:pPr>
    </w:p>
    <w:bookmarkEnd w:id="267"/>
    <w:p w14:paraId="71FE3057">
      <w:pPr>
        <w:pStyle w:val="23"/>
      </w:pPr>
      <w:bookmarkStart w:id="268" w:name="u3e88d009"/>
      <w:bookmarkEnd w:id="268"/>
      <w:bookmarkStart w:id="269" w:name="917f77b2"/>
      <w:r>
        <w:rPr>
          <w:rFonts w:hint="eastAsia"/>
        </w:rPr>
        <w:t xml:space="preserve"> </w:t>
      </w:r>
      <w:bookmarkStart w:id="270" w:name="_Toc3484"/>
      <w:bookmarkStart w:id="271" w:name="_Toc5972"/>
      <w:bookmarkStart w:id="272" w:name="_Toc14036"/>
      <w:bookmarkStart w:id="273" w:name="_Toc227161727"/>
      <w:r>
        <w:rPr>
          <w:rFonts w:hint="eastAsia"/>
        </w:rPr>
        <w:t>实验过程与结果分析</w:t>
      </w:r>
      <w:bookmarkEnd w:id="270"/>
      <w:bookmarkEnd w:id="271"/>
      <w:bookmarkEnd w:id="272"/>
      <w:bookmarkEnd w:id="273"/>
    </w:p>
    <w:bookmarkEnd w:id="269"/>
    <w:p w14:paraId="3F9173AA">
      <w:pPr>
        <w:pStyle w:val="25"/>
        <w:spacing w:before="156" w:after="156"/>
      </w:pPr>
      <w:bookmarkStart w:id="274" w:name="7e250964"/>
      <w:r>
        <w:rPr>
          <w:rFonts w:hint="eastAsia"/>
        </w:rPr>
        <w:t>数据集与实验环境</w:t>
      </w:r>
    </w:p>
    <w:p w14:paraId="4A0F168D">
      <w:pPr>
        <w:pStyle w:val="26"/>
        <w:spacing w:before="156" w:after="156"/>
      </w:pPr>
      <w:r>
        <w:rPr>
          <w:rFonts w:hint="eastAsia"/>
        </w:rPr>
        <w:t xml:space="preserve"> </w:t>
      </w:r>
      <w:bookmarkStart w:id="275" w:name="_Toc227161728"/>
      <w:bookmarkStart w:id="276" w:name="_Toc15937"/>
      <w:bookmarkStart w:id="277" w:name="_Toc7871"/>
      <w:bookmarkStart w:id="278" w:name="_Toc24065"/>
      <w:r>
        <w:t>数据集来源与说明</w:t>
      </w:r>
    </w:p>
    <w:p w14:paraId="3FE0F83D">
      <w:pPr>
        <w:pStyle w:val="27"/>
        <w:ind w:firstLine="480"/>
      </w:pPr>
      <w:r>
        <w:t xml:space="preserve">本研究所用数据采集自国内某光伏电站。输入模型前，采用皮尔逊相关系数 </w:t>
      </w:r>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m:rPr/>
              <w:rPr>
                <w:rFonts w:ascii="Cambria Math" w:hAnsi="Cambria Math"/>
              </w:rPr>
              <m:t>x,y</m:t>
            </m:r>
            <m:ctrlPr>
              <w:rPr>
                <w:rFonts w:ascii="Cambria Math" w:hAnsi="Cambria Math"/>
                <w:i/>
              </w:rPr>
            </m:ctrlPr>
          </m:sub>
        </m:sSub>
      </m:oMath>
      <w:r>
        <w:t xml:space="preserve"> 对特征进行定量评估： </w:t>
      </w:r>
    </w:p>
    <w:p w14:paraId="34A00DE8">
      <w:pPr>
        <w:pStyle w:val="27"/>
        <w:ind w:firstLine="480"/>
        <w:jc w:val="center"/>
      </w:pPr>
      <m:oMathPara>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m:rPr/>
                <w:rPr>
                  <w:rFonts w:ascii="Cambria Math" w:hAnsi="Cambria Math"/>
                </w:rPr>
                <m:t>x,y</m:t>
              </m:r>
              <m:ctrlPr>
                <w:rPr>
                  <w:rFonts w:ascii="Cambria Math" w:hAnsi="Cambria Math"/>
                  <w:i/>
                </w:rPr>
              </m:ctrlPr>
            </m:sub>
          </m:sSub>
          <m:r>
            <m:rPr/>
            <w:rPr>
              <w:rFonts w:ascii="Cambria Math" w:hAnsi="Cambria Math"/>
            </w:rPr>
            <m:t>=</m:t>
          </m:r>
          <m:f>
            <m:fPr>
              <m:ctrlPr>
                <w:rPr>
                  <w:rFonts w:ascii="Cambria Math" w:hAnsi="Cambria Math"/>
                </w:rPr>
              </m:ctrlPr>
            </m:fPr>
            <m:num>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i/>
                        </w:rPr>
                      </m:ctrlPr>
                    </m:e>
                  </m:d>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acc>
                        <m:accPr>
                          <m:chr m:val="̅"/>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d>
                  <m:ctrlPr>
                    <w:rPr>
                      <w:rFonts w:ascii="Cambria Math" w:hAnsi="Cambria Math"/>
                      <w:i/>
                    </w:rPr>
                  </m:ctrlPr>
                </m:e>
              </m:nary>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acc>
                                <m:accPr>
                                  <m:chr m:val="̅"/>
                                  <m:ctrlPr>
                                    <w:rPr>
                                      <w:rFonts w:ascii="Cambria Math" w:hAnsi="Cambria Math"/>
                                    </w:rPr>
                                  </m:ctrlPr>
                                </m:accPr>
                                <m:e>
                                  <m:r>
                                    <m:rPr/>
                                    <w:rPr>
                                      <w:rFonts w:ascii="Cambria Math" w:hAnsi="Cambria Math"/>
                                    </w:rPr>
                                    <m:t>x</m:t>
                                  </m:r>
                                  <m:ctrlPr>
                                    <w:rPr>
                                      <w:rFonts w:ascii="Cambria Math" w:hAnsi="Cambria Math"/>
                                    </w:rPr>
                                  </m:ctrlPr>
                                </m:e>
                              </m:acc>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rad>
                    <m:radPr>
                      <m:degHide m:val="1"/>
                      <m:ctrlPr>
                        <w:rPr>
                          <w:rFonts w:ascii="Cambria Math" w:hAnsi="Cambria Math"/>
                        </w:rPr>
                      </m:ctrlPr>
                    </m:radPr>
                    <m:deg>
                      <m:ctrlPr>
                        <w:rPr>
                          <w:rFonts w:ascii="Cambria Math" w:hAnsi="Cambria Math"/>
                          <w:i/>
                        </w:rPr>
                      </m:ctrlPr>
                    </m:deg>
                    <m:e>
                      <m:nary>
                        <m:naryPr>
                          <m:chr m:val="∑"/>
                          <m:ctrlPr>
                            <w:rPr>
                              <w:rFonts w:ascii="Cambria Math" w:hAnsi="Cambria Math"/>
                            </w:rPr>
                          </m:ctrlPr>
                        </m:naryPr>
                        <m:sub>
                          <m:r>
                            <m:rPr/>
                            <w:rPr>
                              <w:rFonts w:ascii="Cambria Math" w:hAnsi="Cambria Math"/>
                            </w:rPr>
                            <m:t>i=1</m:t>
                          </m:r>
                          <m:ctrlPr>
                            <w:rPr>
                              <w:rFonts w:ascii="Cambria Math" w:hAnsi="Cambria Math"/>
                              <w:i/>
                            </w:rPr>
                          </m:ctrlPr>
                        </m:sub>
                        <m:sup>
                          <m:r>
                            <m:rPr/>
                            <w:rPr>
                              <w:rFonts w:ascii="Cambria Math" w:hAnsi="Cambria Math"/>
                            </w:rPr>
                            <m:t>n</m:t>
                          </m:r>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acc>
                                    <m:accPr>
                                      <m:chr m:val="̅"/>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i/>
                            </w:rPr>
                          </m:ctrlPr>
                        </m:e>
                      </m:nary>
                      <m:ctrlPr>
                        <w:rPr>
                          <w:rFonts w:ascii="Cambria Math" w:hAnsi="Cambria Math"/>
                        </w:rPr>
                      </m:ctrlPr>
                    </m:e>
                  </m:rad>
                  <m:ctrlPr>
                    <w:rPr>
                      <w:rFonts w:ascii="Cambria Math" w:hAnsi="Cambria Math"/>
                    </w:rPr>
                  </m:ctrlPr>
                </m:e>
              </m:rad>
              <m:ctrlPr>
                <w:rPr>
                  <w:rFonts w:ascii="Cambria Math" w:hAnsi="Cambria Math"/>
                  <w:i/>
                </w:rPr>
              </m:ctrlPr>
            </m:den>
          </m:f>
        </m:oMath>
      </m:oMathPara>
    </w:p>
    <w:p w14:paraId="7B425DA3">
      <w:pPr>
        <w:pStyle w:val="27"/>
        <w:ind w:firstLine="480"/>
      </w:pPr>
      <w:r>
        <w:t>结果表明，到达地表的短波辐射与光伏功率呈现极强的正相关性，而相对湿度则呈现明显的负相关性。数据集可以比较准确反映实际光伏电站功率变化规律，确保实验结果具备实际工程参考价值。</w:t>
      </w:r>
    </w:p>
    <w:p w14:paraId="3C0F26AF">
      <w:pPr>
        <w:pStyle w:val="27"/>
        <w:ind w:firstLine="480"/>
      </w:pPr>
      <w:r>
        <w:t>数据时间范围为2018 年 11 月 15 日 7:45 至 2019 年 3 月 5 日 16:45，时间采样间隔为15 分钟。整个采集时段为110天，中间没有中断，包括了秋冬季节的不同天气类型，包括晴天、阴天、多云、雨天等。这不仅方便了模型对于进行所有天气环境的识别并预测对应的光伏功率，还能够全面验证模型在多变环境下的预测性能。</w:t>
      </w:r>
      <w:r>
        <w:rPr>
          <w:rFonts w:hint="eastAsia"/>
        </w:rPr>
        <w:t>热力图如</w:t>
      </w:r>
      <w:r>
        <w:fldChar w:fldCharType="begin"/>
      </w:r>
      <w:r>
        <w:instrText xml:space="preserve"> </w:instrText>
      </w:r>
      <w:r>
        <w:rPr>
          <w:rFonts w:hint="eastAsia"/>
        </w:rPr>
        <w:instrText xml:space="preserve">REF _Ref227195569 \h</w:instrText>
      </w:r>
      <w:r>
        <w:instrText xml:space="preserve">  \* MERGEFORMAT </w:instrText>
      </w:r>
      <w:r>
        <w:fldChar w:fldCharType="separate"/>
      </w:r>
      <w:r>
        <w:rPr>
          <w:rFonts w:hint="eastAsia"/>
        </w:rPr>
        <w:t>图4.</w:t>
      </w:r>
      <w:r>
        <w:t>1</w:t>
      </w:r>
      <w:r>
        <w:fldChar w:fldCharType="end"/>
      </w:r>
      <w:r>
        <w:rPr>
          <w:rFonts w:hint="eastAsia"/>
        </w:rPr>
        <w:t>所示：</w:t>
      </w:r>
    </w:p>
    <w:p w14:paraId="2C4BD3C7">
      <w:pPr>
        <w:pStyle w:val="27"/>
        <w:keepNext/>
        <w:ind w:firstLine="480"/>
        <w:jc w:val="center"/>
      </w:pPr>
      <w:r>
        <w:drawing>
          <wp:inline distT="0" distB="0" distL="0" distR="0">
            <wp:extent cx="4036060" cy="3017520"/>
            <wp:effectExtent l="0" t="0" r="2540" b="0"/>
            <wp:docPr id="1"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8"/>
                    <pic:cNvPicPr>
                      <a:picLocks noChangeAspect="1"/>
                    </pic:cNvPicPr>
                  </pic:nvPicPr>
                  <pic:blipFill>
                    <a:blip r:embed="rId25"/>
                    <a:stretch>
                      <a:fillRect/>
                    </a:stretch>
                  </pic:blipFill>
                  <pic:spPr>
                    <a:xfrm>
                      <a:off x="0" y="0"/>
                      <a:ext cx="4063952" cy="3038271"/>
                    </a:xfrm>
                    <a:prstGeom prst="rect">
                      <a:avLst/>
                    </a:prstGeom>
                  </pic:spPr>
                </pic:pic>
              </a:graphicData>
            </a:graphic>
          </wp:inline>
        </w:drawing>
      </w:r>
    </w:p>
    <w:p w14:paraId="740848B7">
      <w:pPr>
        <w:pStyle w:val="7"/>
        <w:jc w:val="center"/>
        <w:rPr>
          <w:rFonts w:hint="eastAsia" w:ascii="宋体" w:hAnsi="宋体" w:cs="Times New Roman" w:eastAsiaTheme="minorEastAsia"/>
          <w:sz w:val="21"/>
          <w:szCs w:val="24"/>
        </w:rPr>
      </w:pPr>
      <w:r>
        <w:rPr>
          <w:rFonts w:hint="eastAsia" w:ascii="宋体" w:hAnsi="宋体" w:cs="Times New Roman" w:eastAsiaTheme="minorEastAsia"/>
          <w:sz w:val="21"/>
          <w:szCs w:val="24"/>
        </w:rPr>
        <w:t>图</w:t>
      </w:r>
      <w:r>
        <w:rPr>
          <w:rFonts w:hint="eastAsia" w:ascii="Times New Roman" w:hAnsi="Times New Roman" w:cs="Times New Roman" w:eastAsiaTheme="minorEastAsia"/>
          <w:sz w:val="21"/>
          <w:szCs w:val="24"/>
        </w:rPr>
        <w:t>4.</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图4.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Times New Roman" w:hAnsi="Times New Roman" w:cs="Times New Roman" w:eastAsiaTheme="minorEastAsia"/>
          <w:sz w:val="21"/>
          <w:szCs w:val="24"/>
        </w:rPr>
        <w:t>1</w:t>
      </w:r>
      <w:r>
        <w:rPr>
          <w:rFonts w:ascii="宋体" w:hAnsi="宋体" w:cs="Times New Roman" w:eastAsiaTheme="minorEastAsia"/>
          <w:sz w:val="21"/>
          <w:szCs w:val="24"/>
        </w:rPr>
        <w:fldChar w:fldCharType="end"/>
      </w:r>
      <w:r>
        <w:rPr>
          <w:rFonts w:hint="eastAsia" w:ascii="宋体" w:hAnsi="宋体" w:cs="Times New Roman" w:eastAsiaTheme="minorEastAsia"/>
          <w:sz w:val="21"/>
          <w:szCs w:val="24"/>
        </w:rPr>
        <w:t xml:space="preserve"> 气象特征与光伏功率相关性热力图</w:t>
      </w:r>
    </w:p>
    <w:p w14:paraId="7CDA82FF">
      <w:pPr>
        <w:pStyle w:val="27"/>
        <w:ind w:firstLine="480"/>
      </w:pPr>
    </w:p>
    <w:p w14:paraId="65E06DD7">
      <w:pPr>
        <w:pStyle w:val="26"/>
        <w:spacing w:before="156" w:after="156"/>
      </w:pPr>
      <w:r>
        <w:t xml:space="preserve"> 数据归一化与模型超参数设定</w:t>
      </w:r>
    </w:p>
    <w:p w14:paraId="6DE2BF06">
      <w:pPr>
        <w:pStyle w:val="27"/>
        <w:ind w:firstLine="480"/>
      </w:pPr>
      <w:r>
        <w:t>为消除异构气象数据之间的量纲孤岛效应，对所有输入特征执行 Min-Max 归一化操作：</w:t>
      </w:r>
    </w:p>
    <w:p w14:paraId="2EC734EE">
      <w:pPr>
        <w:pStyle w:val="27"/>
        <w:ind w:firstLine="480"/>
      </w:pPr>
      <m:oMathPara>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norm</m:t>
              </m:r>
              <m:ctrlPr>
                <w:rPr>
                  <w:rFonts w:ascii="Cambria Math" w:hAnsi="Cambria Math"/>
                  <w:i/>
                </w:rPr>
              </m:ctrlPr>
            </m:sub>
          </m:sSub>
          <m:r>
            <m:rPr/>
            <w:rPr>
              <w:rFonts w:ascii="Cambria Math" w:hAnsi="Cambria Math"/>
            </w:rPr>
            <m:t>=</m:t>
          </m:r>
          <m:f>
            <m:fPr>
              <m:ctrlPr>
                <w:rPr>
                  <w:rFonts w:ascii="Cambria Math" w:hAnsi="Cambria Math"/>
                </w:rPr>
              </m:ctrlPr>
            </m:fPr>
            <m:num>
              <m:r>
                <m:rPr/>
                <w:rPr>
                  <w:rFonts w:ascii="Cambria Math" w:hAnsi="Cambria Math"/>
                </w:rPr>
                <m:t>x−</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min</m:t>
                  </m:r>
                  <m:ctrlPr>
                    <w:rPr>
                      <w:rFonts w:ascii="Cambria Math" w:hAnsi="Cambria Math"/>
                      <w:i/>
                    </w:rPr>
                  </m:ctrlPr>
                </m:sub>
              </m:sSub>
              <m:ctrlPr>
                <w:rPr>
                  <w:rFonts w:ascii="Cambria Math" w:hAnsi="Cambria Math"/>
                  <w:i/>
                </w:rPr>
              </m:ctrlPr>
            </m:num>
            <m:den>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max</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min</m:t>
                  </m:r>
                  <m:ctrlPr>
                    <w:rPr>
                      <w:rFonts w:ascii="Cambria Math" w:hAnsi="Cambria Math"/>
                      <w:i/>
                    </w:rPr>
                  </m:ctrlPr>
                </m:sub>
              </m:sSub>
              <m:ctrlPr>
                <w:rPr>
                  <w:rFonts w:ascii="Cambria Math" w:hAnsi="Cambria Math"/>
                  <w:i/>
                </w:rPr>
              </m:ctrlPr>
            </m:den>
          </m:f>
        </m:oMath>
      </m:oMathPara>
    </w:p>
    <w:p w14:paraId="2B4649BB">
      <w:pPr>
        <w:pStyle w:val="27"/>
        <w:ind w:firstLine="480"/>
      </w:pPr>
      <w:r>
        <w:t>本实验基于 PyTorch 框架进行训练。核心超参数设定：BiGRU隐藏层层数为2，隐藏神经元数目为128，批处理大小设置为64，初始学习率为0.001。</w:t>
      </w:r>
    </w:p>
    <w:p w14:paraId="42875869">
      <w:pPr>
        <w:pStyle w:val="26"/>
        <w:spacing w:before="156" w:after="156"/>
      </w:pPr>
      <w:r>
        <w:rPr>
          <w:rFonts w:hint="eastAsia"/>
        </w:rPr>
        <w:t xml:space="preserve"> </w:t>
      </w:r>
      <w:r>
        <w:t>输入特征与预测目标</w:t>
      </w:r>
    </w:p>
    <w:p w14:paraId="5D5786F0">
      <w:pPr>
        <w:pStyle w:val="27"/>
        <w:ind w:firstLine="480"/>
      </w:pPr>
      <w:r>
        <w:t>本文的输入特征综合考虑了影响光伏功率的主要因素</w:t>
      </w:r>
      <w:r>
        <w:rPr>
          <w:rFonts w:hint="eastAsia"/>
        </w:rPr>
        <w:t>（</w:t>
      </w:r>
      <w:r>
        <w:fldChar w:fldCharType="begin"/>
      </w:r>
      <w:r>
        <w:instrText xml:space="preserve"> </w:instrText>
      </w:r>
      <w:r>
        <w:rPr>
          <w:rFonts w:hint="eastAsia"/>
        </w:rPr>
        <w:instrText xml:space="preserve">REF _Ref227195569 \h</w:instrText>
      </w:r>
      <w:r>
        <w:instrText xml:space="preserve">  \* MERGEFORMAT </w:instrText>
      </w:r>
      <w:r>
        <w:fldChar w:fldCharType="separate"/>
      </w:r>
      <w:r>
        <w:rPr>
          <w:rFonts w:hint="eastAsia"/>
        </w:rPr>
        <w:t>图4.</w:t>
      </w:r>
      <w:r>
        <w:t>1</w:t>
      </w:r>
      <w:r>
        <w:fldChar w:fldCharType="end"/>
      </w:r>
      <w:r>
        <w:rPr>
          <w:rFonts w:hint="eastAsia"/>
        </w:rPr>
        <w:t>）</w:t>
      </w:r>
      <w:r>
        <w:t>，使得输入数据尽量科学严谨，获得准确的光伏功率预测数据。以下为输入模型的关键特征：光伏功率（预测目标）</w:t>
      </w:r>
      <w:r>
        <w:rPr>
          <w:rFonts w:hint="eastAsia"/>
        </w:rPr>
        <w:t>、</w:t>
      </w:r>
      <w:r>
        <w:t>太阳辐射强度</w:t>
      </w:r>
      <w:r>
        <w:rPr>
          <w:rFonts w:hint="eastAsia"/>
        </w:rPr>
        <w:t>、</w:t>
      </w:r>
      <w:r>
        <w:t>环境温度</w:t>
      </w:r>
      <w:r>
        <w:rPr>
          <w:rFonts w:hint="eastAsia"/>
        </w:rPr>
        <w:t>、</w:t>
      </w:r>
      <w:r>
        <w:t>相对湿度</w:t>
      </w:r>
      <w:r>
        <w:rPr>
          <w:rFonts w:hint="eastAsia"/>
        </w:rPr>
        <w:t>。</w:t>
      </w:r>
    </w:p>
    <w:p w14:paraId="01E09A61">
      <w:pPr>
        <w:pStyle w:val="27"/>
        <w:ind w:firstLine="480"/>
      </w:pPr>
      <w:r>
        <w:t>以上与光伏功率相关的特征，为模型提供了充足有效的的信息，实验会以历史多时刻特征作为输入，下一时刻功率作为输出，形成标准时间序列预测任务。</w:t>
      </w:r>
    </w:p>
    <w:p w14:paraId="208F3203">
      <w:pPr>
        <w:pStyle w:val="26"/>
        <w:spacing w:before="156" w:after="156"/>
      </w:pPr>
      <w:r>
        <w:rPr>
          <w:rFonts w:hint="eastAsia"/>
        </w:rPr>
        <w:t xml:space="preserve"> 实验环境与工具</w:t>
      </w:r>
    </w:p>
    <w:p w14:paraId="307E6E77">
      <w:pPr>
        <w:pStyle w:val="27"/>
        <w:ind w:firstLine="480"/>
      </w:pPr>
      <w:r>
        <w:t>本文所有数据处理、模型搭建、训练与测试均在 Windows 环境下完成，采用 Python 语言实现，具体软硬件配置如下：</w:t>
      </w:r>
    </w:p>
    <w:p w14:paraId="7D609FBF">
      <w:pPr>
        <w:jc w:val="center"/>
        <w:rPr>
          <w:rFonts w:eastAsia="黑体"/>
          <w:b/>
          <w:bCs/>
        </w:rPr>
      </w:pPr>
      <w:r>
        <w:rPr>
          <w:rFonts w:eastAsia="黑体"/>
          <w:b/>
          <w:bCs/>
        </w:rPr>
        <w:t>表</w:t>
      </w:r>
      <w:r>
        <w:rPr>
          <w:rFonts w:hint="eastAsia" w:eastAsia="黑体"/>
          <w:b/>
          <w:bCs/>
        </w:rPr>
        <w:t>4</w:t>
      </w:r>
      <w:r>
        <w:rPr>
          <w:rFonts w:eastAsia="黑体"/>
          <w:b/>
          <w:bCs/>
        </w:rPr>
        <w:t>.</w:t>
      </w:r>
      <w:r>
        <w:rPr>
          <w:rFonts w:eastAsia="黑体"/>
          <w:b/>
          <w:bCs/>
        </w:rPr>
        <w:fldChar w:fldCharType="begin"/>
      </w:r>
      <w:r>
        <w:rPr>
          <w:rFonts w:eastAsia="黑体"/>
          <w:b/>
          <w:bCs/>
        </w:rPr>
        <w:instrText xml:space="preserve"> SEQ 表2. \* ARABIC </w:instrText>
      </w:r>
      <w:r>
        <w:rPr>
          <w:rFonts w:eastAsia="黑体"/>
          <w:b/>
          <w:bCs/>
        </w:rPr>
        <w:fldChar w:fldCharType="separate"/>
      </w:r>
      <w:r>
        <w:rPr>
          <w:rFonts w:eastAsia="黑体"/>
          <w:b/>
          <w:bCs/>
        </w:rPr>
        <w:t>1</w:t>
      </w:r>
      <w:r>
        <w:rPr>
          <w:rFonts w:eastAsia="黑体"/>
          <w:b/>
          <w:bCs/>
        </w:rPr>
        <w:fldChar w:fldCharType="end"/>
      </w:r>
      <w:r>
        <w:rPr>
          <w:rFonts w:eastAsia="黑体"/>
          <w:b/>
          <w:bCs/>
        </w:rPr>
        <w:t>实验环境软硬件配置</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6"/>
        <w:gridCol w:w="2982"/>
      </w:tblGrid>
      <w:tr w14:paraId="45B52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000000" w:sz="12" w:space="0"/>
              <w:left w:val="nil"/>
              <w:bottom w:val="single" w:color="000000" w:sz="4" w:space="0"/>
              <w:right w:val="nil"/>
              <w:tl2br w:val="nil"/>
            </w:tcBorders>
            <w:shd w:val="clear" w:color="auto" w:fill="FFFFFF"/>
            <w:vAlign w:val="center"/>
          </w:tcPr>
          <w:p w14:paraId="7EDD5E64">
            <w:pPr>
              <w:jc w:val="center"/>
              <w:rPr>
                <w:bCs/>
                <w:color w:val="000000"/>
              </w:rPr>
            </w:pPr>
            <w:r>
              <w:rPr>
                <w:b/>
                <w:bCs/>
                <w:color w:val="000000"/>
              </w:rPr>
              <w:t>软硬件项目</w:t>
            </w:r>
          </w:p>
        </w:tc>
        <w:tc>
          <w:tcPr>
            <w:tcW w:w="2982" w:type="dxa"/>
            <w:tcBorders>
              <w:top w:val="single" w:color="000000" w:sz="12" w:space="0"/>
              <w:left w:val="nil"/>
              <w:bottom w:val="single" w:color="000000" w:sz="4" w:space="0"/>
              <w:right w:val="nil"/>
            </w:tcBorders>
            <w:shd w:val="clear" w:color="auto" w:fill="FFFFFF"/>
            <w:vAlign w:val="center"/>
          </w:tcPr>
          <w:p w14:paraId="0D7B13D9">
            <w:pPr>
              <w:jc w:val="center"/>
              <w:rPr>
                <w:b/>
                <w:color w:val="000000"/>
              </w:rPr>
            </w:pPr>
            <w:r>
              <w:rPr>
                <w:b/>
                <w:color w:val="000000"/>
              </w:rPr>
              <w:t>配置规格</w:t>
            </w:r>
          </w:p>
        </w:tc>
      </w:tr>
      <w:tr w14:paraId="71E7A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single" w:color="000000" w:sz="4" w:space="0"/>
              <w:left w:val="nil"/>
              <w:bottom w:val="nil"/>
              <w:right w:val="nil"/>
            </w:tcBorders>
            <w:shd w:val="clear" w:color="auto" w:fill="FFFFFF"/>
            <w:vAlign w:val="center"/>
          </w:tcPr>
          <w:p w14:paraId="5192DEF4">
            <w:pPr>
              <w:jc w:val="center"/>
              <w:rPr>
                <w:bCs/>
                <w:color w:val="000000"/>
              </w:rPr>
            </w:pPr>
            <w:r>
              <w:rPr>
                <w:bCs/>
                <w:color w:val="000000"/>
              </w:rPr>
              <w:t>操作系统</w:t>
            </w:r>
          </w:p>
        </w:tc>
        <w:tc>
          <w:tcPr>
            <w:tcW w:w="2982" w:type="dxa"/>
            <w:tcBorders>
              <w:top w:val="single" w:color="000000" w:sz="4" w:space="0"/>
              <w:left w:val="nil"/>
              <w:bottom w:val="nil"/>
              <w:right w:val="nil"/>
            </w:tcBorders>
            <w:shd w:val="clear" w:color="auto" w:fill="FFFFFF"/>
            <w:vAlign w:val="center"/>
          </w:tcPr>
          <w:p w14:paraId="0A802A69">
            <w:pPr>
              <w:jc w:val="center"/>
              <w:rPr>
                <w:color w:val="000000"/>
              </w:rPr>
            </w:pPr>
            <w:r>
              <w:rPr>
                <w:color w:val="000000"/>
              </w:rPr>
              <w:t>Windows 10 64 位</w:t>
            </w:r>
          </w:p>
        </w:tc>
      </w:tr>
      <w:tr w14:paraId="03C93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nil"/>
              <w:left w:val="nil"/>
              <w:bottom w:val="nil"/>
              <w:right w:val="nil"/>
            </w:tcBorders>
            <w:shd w:val="clear" w:color="auto" w:fill="FFFFFF"/>
            <w:vAlign w:val="center"/>
          </w:tcPr>
          <w:p w14:paraId="5E7C6A9E">
            <w:pPr>
              <w:jc w:val="center"/>
              <w:rPr>
                <w:bCs/>
                <w:color w:val="000000"/>
              </w:rPr>
            </w:pPr>
            <w:r>
              <w:rPr>
                <w:bCs/>
                <w:color w:val="000000"/>
              </w:rPr>
              <w:t>处理器/内存</w:t>
            </w:r>
          </w:p>
        </w:tc>
        <w:tc>
          <w:tcPr>
            <w:tcW w:w="2982" w:type="dxa"/>
            <w:tcBorders>
              <w:top w:val="nil"/>
              <w:left w:val="nil"/>
              <w:bottom w:val="nil"/>
              <w:right w:val="nil"/>
            </w:tcBorders>
            <w:shd w:val="clear" w:color="auto" w:fill="FFFFFF"/>
            <w:vAlign w:val="center"/>
          </w:tcPr>
          <w:p w14:paraId="66130C3C">
            <w:pPr>
              <w:jc w:val="center"/>
              <w:rPr>
                <w:color w:val="000000"/>
              </w:rPr>
            </w:pPr>
            <w:r>
              <w:rPr>
                <w:color w:val="000000"/>
              </w:rPr>
              <w:t>Intel Core i5 及以上 / 16GB</w:t>
            </w:r>
          </w:p>
        </w:tc>
      </w:tr>
      <w:tr w14:paraId="25D80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nil"/>
              <w:left w:val="nil"/>
              <w:bottom w:val="nil"/>
              <w:right w:val="nil"/>
            </w:tcBorders>
            <w:shd w:val="clear" w:color="auto" w:fill="FFFFFF"/>
            <w:vAlign w:val="center"/>
          </w:tcPr>
          <w:p w14:paraId="591C6265">
            <w:pPr>
              <w:jc w:val="center"/>
              <w:rPr>
                <w:bCs/>
                <w:color w:val="000000"/>
              </w:rPr>
            </w:pPr>
            <w:r>
              <w:rPr>
                <w:bCs/>
                <w:color w:val="000000"/>
              </w:rPr>
              <w:t>编程环境</w:t>
            </w:r>
          </w:p>
        </w:tc>
        <w:tc>
          <w:tcPr>
            <w:tcW w:w="2982" w:type="dxa"/>
            <w:tcBorders>
              <w:top w:val="nil"/>
              <w:left w:val="nil"/>
              <w:bottom w:val="nil"/>
              <w:right w:val="nil"/>
            </w:tcBorders>
            <w:shd w:val="clear" w:color="auto" w:fill="FFFFFF"/>
            <w:vAlign w:val="center"/>
          </w:tcPr>
          <w:p w14:paraId="30F799E7">
            <w:pPr>
              <w:jc w:val="center"/>
              <w:rPr>
                <w:color w:val="000000"/>
              </w:rPr>
            </w:pPr>
            <w:r>
              <w:rPr>
                <w:color w:val="000000"/>
              </w:rPr>
              <w:t>Python 3.8</w:t>
            </w:r>
          </w:p>
        </w:tc>
      </w:tr>
      <w:tr w14:paraId="374CC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nil"/>
              <w:left w:val="nil"/>
              <w:bottom w:val="nil"/>
              <w:right w:val="nil"/>
            </w:tcBorders>
            <w:shd w:val="clear" w:color="auto" w:fill="FFFFFF"/>
            <w:vAlign w:val="center"/>
          </w:tcPr>
          <w:p w14:paraId="6C34C2BC">
            <w:pPr>
              <w:jc w:val="center"/>
              <w:rPr>
                <w:bCs/>
                <w:color w:val="000000"/>
              </w:rPr>
            </w:pPr>
            <w:r>
              <w:rPr>
                <w:bCs/>
                <w:color w:val="000000"/>
              </w:rPr>
              <w:t>深度学习框架</w:t>
            </w:r>
          </w:p>
        </w:tc>
        <w:tc>
          <w:tcPr>
            <w:tcW w:w="2982" w:type="dxa"/>
            <w:tcBorders>
              <w:top w:val="nil"/>
              <w:left w:val="nil"/>
              <w:bottom w:val="nil"/>
              <w:right w:val="nil"/>
            </w:tcBorders>
            <w:shd w:val="clear" w:color="auto" w:fill="FFFFFF"/>
            <w:vAlign w:val="center"/>
          </w:tcPr>
          <w:p w14:paraId="3F1F8562">
            <w:pPr>
              <w:jc w:val="center"/>
              <w:rPr>
                <w:color w:val="000000"/>
              </w:rPr>
            </w:pPr>
            <w:r>
              <w:rPr>
                <w:color w:val="000000"/>
              </w:rPr>
              <w:t>PyTorch (GPU加速)</w:t>
            </w:r>
          </w:p>
        </w:tc>
      </w:tr>
      <w:tr w14:paraId="06C13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6" w:type="dxa"/>
            <w:tcBorders>
              <w:top w:val="nil"/>
              <w:left w:val="nil"/>
              <w:bottom w:val="single" w:color="000000" w:sz="12" w:space="0"/>
              <w:right w:val="nil"/>
            </w:tcBorders>
            <w:shd w:val="clear" w:color="auto" w:fill="FFFFFF"/>
            <w:vAlign w:val="center"/>
          </w:tcPr>
          <w:p w14:paraId="178AD393">
            <w:pPr>
              <w:jc w:val="center"/>
              <w:rPr>
                <w:bCs/>
                <w:color w:val="000000"/>
              </w:rPr>
            </w:pPr>
            <w:r>
              <w:rPr>
                <w:bCs/>
                <w:color w:val="000000"/>
              </w:rPr>
              <w:t>分解算法库</w:t>
            </w:r>
          </w:p>
        </w:tc>
        <w:tc>
          <w:tcPr>
            <w:tcW w:w="2982" w:type="dxa"/>
            <w:tcBorders>
              <w:top w:val="nil"/>
              <w:left w:val="nil"/>
              <w:bottom w:val="single" w:color="000000" w:sz="12" w:space="0"/>
              <w:right w:val="nil"/>
            </w:tcBorders>
            <w:shd w:val="clear" w:color="auto" w:fill="FFFFFF"/>
            <w:vAlign w:val="center"/>
          </w:tcPr>
          <w:p w14:paraId="43E36C5E">
            <w:pPr>
              <w:jc w:val="center"/>
              <w:rPr>
                <w:color w:val="000000"/>
              </w:rPr>
            </w:pPr>
            <w:r>
              <w:rPr>
                <w:color w:val="000000"/>
              </w:rPr>
              <w:t>PyEMD</w:t>
            </w:r>
          </w:p>
        </w:tc>
      </w:tr>
    </w:tbl>
    <w:p w14:paraId="3D006C3A">
      <w:pPr>
        <w:pStyle w:val="26"/>
        <w:spacing w:before="156" w:after="156"/>
      </w:pPr>
      <w:r>
        <w:rPr>
          <w:rFonts w:hint="eastAsia"/>
        </w:rPr>
        <w:t>数据集划分</w:t>
      </w:r>
    </w:p>
    <w:p w14:paraId="5444C962">
      <w:pPr>
        <w:pStyle w:val="27"/>
        <w:ind w:firstLine="480"/>
      </w:pPr>
      <w:r>
        <w:t>为了保证模型可以被充分训练，输出准确数据，并且可以满足至少8小时的预测市场，被客观验证，数据集进行可如下划分：训练集：70%</w:t>
      </w:r>
      <w:r>
        <w:rPr>
          <w:rFonts w:hint="eastAsia"/>
        </w:rPr>
        <w:t>，</w:t>
      </w:r>
      <w:r>
        <w:t>测试集：30%</w:t>
      </w:r>
      <w:r>
        <w:rPr>
          <w:rFonts w:hint="eastAsia"/>
        </w:rPr>
        <w:t>。</w:t>
      </w:r>
    </w:p>
    <w:p w14:paraId="6DEE860C">
      <w:pPr>
        <w:pStyle w:val="27"/>
        <w:ind w:firstLine="480"/>
      </w:pPr>
      <w:r>
        <w:t>训练集用于模型学习光伏功率变化规律。测试集用于最终评价模型泛化能力，所有对比模型均在同一组测试集上进行测试，保证实验公平性与可比性。</w:t>
      </w:r>
    </w:p>
    <w:p w14:paraId="72996534">
      <w:pPr>
        <w:jc w:val="center"/>
        <w:rPr>
          <w:rFonts w:eastAsia="黑体"/>
          <w:b/>
          <w:bCs/>
        </w:rPr>
      </w:pPr>
      <w:r>
        <w:rPr>
          <w:rFonts w:eastAsia="黑体"/>
          <w:b/>
          <w:bCs/>
        </w:rPr>
        <w:t>表</w:t>
      </w:r>
      <w:r>
        <w:rPr>
          <w:rFonts w:hint="eastAsia" w:eastAsia="黑体"/>
          <w:b/>
          <w:bCs/>
        </w:rPr>
        <w:t>4</w:t>
      </w:r>
      <w:r>
        <w:rPr>
          <w:rFonts w:eastAsia="黑体"/>
          <w:b/>
          <w:bCs/>
        </w:rPr>
        <w:t>.</w:t>
      </w:r>
      <w:r>
        <w:rPr>
          <w:rFonts w:hint="eastAsia" w:eastAsia="黑体"/>
          <w:b/>
          <w:bCs/>
        </w:rPr>
        <w:t>2</w:t>
      </w:r>
      <w:r>
        <w:rPr>
          <w:rFonts w:eastAsia="黑体"/>
          <w:b/>
          <w:bCs/>
        </w:rPr>
        <w:t>数据集核心气象特征基本信息统计</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5"/>
        <w:gridCol w:w="1816"/>
        <w:gridCol w:w="1650"/>
        <w:gridCol w:w="1650"/>
        <w:gridCol w:w="1650"/>
      </w:tblGrid>
      <w:tr w14:paraId="4CF96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single" w:color="000000" w:sz="12" w:space="0"/>
              <w:left w:val="nil"/>
              <w:bottom w:val="single" w:color="000000" w:sz="4" w:space="0"/>
              <w:right w:val="nil"/>
              <w:tl2br w:val="nil"/>
            </w:tcBorders>
            <w:shd w:val="clear" w:color="auto" w:fill="FFFFFF"/>
            <w:vAlign w:val="center"/>
          </w:tcPr>
          <w:p w14:paraId="01CC7CFF">
            <w:pPr>
              <w:jc w:val="center"/>
              <w:rPr>
                <w:bCs/>
                <w:color w:val="000000"/>
              </w:rPr>
            </w:pPr>
            <w:r>
              <w:rPr>
                <w:b/>
                <w:bCs/>
                <w:color w:val="000000"/>
              </w:rPr>
              <w:t>软硬件项目</w:t>
            </w:r>
          </w:p>
        </w:tc>
        <w:tc>
          <w:tcPr>
            <w:tcW w:w="1816" w:type="dxa"/>
            <w:tcBorders>
              <w:top w:val="single" w:color="000000" w:sz="12" w:space="0"/>
              <w:left w:val="nil"/>
              <w:bottom w:val="single" w:color="000000" w:sz="4" w:space="0"/>
              <w:right w:val="nil"/>
            </w:tcBorders>
            <w:shd w:val="clear" w:color="auto" w:fill="FFFFFF"/>
            <w:vAlign w:val="center"/>
          </w:tcPr>
          <w:p w14:paraId="1CE3F4EB">
            <w:pPr>
              <w:jc w:val="center"/>
              <w:rPr>
                <w:bCs/>
                <w:color w:val="000000"/>
              </w:rPr>
            </w:pPr>
            <w:r>
              <w:rPr>
                <w:b/>
                <w:bCs/>
                <w:sz w:val="24"/>
              </w:rPr>
              <w:t>单位</w:t>
            </w:r>
          </w:p>
        </w:tc>
        <w:tc>
          <w:tcPr>
            <w:tcW w:w="1650" w:type="dxa"/>
            <w:tcBorders>
              <w:top w:val="single" w:color="000000" w:sz="12" w:space="0"/>
              <w:left w:val="nil"/>
              <w:bottom w:val="single" w:color="000000" w:sz="4" w:space="0"/>
              <w:right w:val="nil"/>
            </w:tcBorders>
            <w:shd w:val="clear" w:color="auto" w:fill="FFFFFF"/>
            <w:vAlign w:val="center"/>
          </w:tcPr>
          <w:p w14:paraId="70378A47">
            <w:pPr>
              <w:jc w:val="center"/>
              <w:rPr>
                <w:bCs/>
                <w:color w:val="000000"/>
              </w:rPr>
            </w:pPr>
            <w:r>
              <w:rPr>
                <w:b/>
                <w:bCs/>
                <w:sz w:val="24"/>
              </w:rPr>
              <w:t>最小值</w:t>
            </w:r>
          </w:p>
        </w:tc>
        <w:tc>
          <w:tcPr>
            <w:tcW w:w="1650" w:type="dxa"/>
            <w:tcBorders>
              <w:top w:val="single" w:color="000000" w:sz="12" w:space="0"/>
              <w:left w:val="nil"/>
              <w:bottom w:val="single" w:color="000000" w:sz="4" w:space="0"/>
              <w:right w:val="nil"/>
            </w:tcBorders>
            <w:shd w:val="clear" w:color="auto" w:fill="FFFFFF"/>
            <w:vAlign w:val="center"/>
          </w:tcPr>
          <w:p w14:paraId="1DC0AB66">
            <w:pPr>
              <w:jc w:val="center"/>
              <w:rPr>
                <w:bCs/>
                <w:color w:val="000000"/>
              </w:rPr>
            </w:pPr>
            <w:r>
              <w:rPr>
                <w:b/>
                <w:bCs/>
                <w:sz w:val="24"/>
              </w:rPr>
              <w:t>最大值</w:t>
            </w:r>
          </w:p>
        </w:tc>
        <w:tc>
          <w:tcPr>
            <w:tcW w:w="1650" w:type="dxa"/>
            <w:tcBorders>
              <w:top w:val="single" w:color="000000" w:sz="12" w:space="0"/>
              <w:left w:val="nil"/>
              <w:bottom w:val="single" w:color="000000" w:sz="4" w:space="0"/>
              <w:right w:val="nil"/>
            </w:tcBorders>
            <w:shd w:val="clear" w:color="auto" w:fill="FFFFFF"/>
            <w:vAlign w:val="center"/>
          </w:tcPr>
          <w:p w14:paraId="037C2739">
            <w:pPr>
              <w:jc w:val="center"/>
              <w:rPr>
                <w:bCs/>
                <w:color w:val="000000"/>
              </w:rPr>
            </w:pPr>
            <w:r>
              <w:rPr>
                <w:b/>
                <w:bCs/>
                <w:sz w:val="24"/>
              </w:rPr>
              <w:t>平均值</w:t>
            </w:r>
          </w:p>
        </w:tc>
      </w:tr>
      <w:tr w14:paraId="27713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single" w:color="000000" w:sz="4" w:space="0"/>
              <w:left w:val="nil"/>
              <w:bottom w:val="nil"/>
              <w:right w:val="nil"/>
            </w:tcBorders>
            <w:shd w:val="clear" w:color="auto" w:fill="FFFFFF"/>
            <w:vAlign w:val="center"/>
          </w:tcPr>
          <w:p w14:paraId="17FA199A">
            <w:pPr>
              <w:jc w:val="center"/>
              <w:rPr>
                <w:bCs/>
                <w:color w:val="000000"/>
              </w:rPr>
            </w:pPr>
            <w:r>
              <w:rPr>
                <w:bCs/>
                <w:color w:val="000000"/>
              </w:rPr>
              <w:t>实际光伏功率</w:t>
            </w:r>
          </w:p>
        </w:tc>
        <w:tc>
          <w:tcPr>
            <w:tcW w:w="1816" w:type="dxa"/>
            <w:tcBorders>
              <w:top w:val="single" w:color="000000" w:sz="4" w:space="0"/>
              <w:left w:val="nil"/>
              <w:bottom w:val="nil"/>
              <w:right w:val="nil"/>
            </w:tcBorders>
            <w:shd w:val="clear" w:color="auto" w:fill="FFFFFF"/>
            <w:vAlign w:val="center"/>
          </w:tcPr>
          <w:p w14:paraId="70B4E4E3">
            <w:pPr>
              <w:jc w:val="center"/>
              <w:rPr>
                <w:color w:val="000000"/>
              </w:rPr>
            </w:pPr>
            <w:r>
              <w:rPr>
                <w:sz w:val="24"/>
              </w:rPr>
              <w:t>MW</w:t>
            </w:r>
          </w:p>
        </w:tc>
        <w:tc>
          <w:tcPr>
            <w:tcW w:w="1650" w:type="dxa"/>
            <w:tcBorders>
              <w:top w:val="single" w:color="000000" w:sz="4" w:space="0"/>
              <w:left w:val="nil"/>
              <w:bottom w:val="nil"/>
              <w:right w:val="nil"/>
            </w:tcBorders>
            <w:shd w:val="clear" w:color="auto" w:fill="FFFFFF"/>
            <w:vAlign w:val="center"/>
          </w:tcPr>
          <w:p w14:paraId="66BDBE4A">
            <w:pPr>
              <w:jc w:val="center"/>
              <w:rPr>
                <w:color w:val="000000"/>
              </w:rPr>
            </w:pPr>
            <w:r>
              <w:rPr>
                <w:sz w:val="24"/>
              </w:rPr>
              <w:t>0.0</w:t>
            </w:r>
          </w:p>
        </w:tc>
        <w:tc>
          <w:tcPr>
            <w:tcW w:w="1650" w:type="dxa"/>
            <w:tcBorders>
              <w:top w:val="single" w:color="000000" w:sz="4" w:space="0"/>
              <w:left w:val="nil"/>
              <w:bottom w:val="nil"/>
              <w:right w:val="nil"/>
            </w:tcBorders>
            <w:shd w:val="clear" w:color="auto" w:fill="FFFFFF"/>
            <w:vAlign w:val="center"/>
          </w:tcPr>
          <w:p w14:paraId="183A1765">
            <w:pPr>
              <w:jc w:val="center"/>
              <w:rPr>
                <w:color w:val="000000"/>
              </w:rPr>
            </w:pPr>
            <w:r>
              <w:rPr>
                <w:sz w:val="24"/>
              </w:rPr>
              <w:t>25.4</w:t>
            </w:r>
          </w:p>
        </w:tc>
        <w:tc>
          <w:tcPr>
            <w:tcW w:w="1650" w:type="dxa"/>
            <w:tcBorders>
              <w:top w:val="single" w:color="000000" w:sz="4" w:space="0"/>
              <w:left w:val="nil"/>
              <w:bottom w:val="nil"/>
              <w:right w:val="nil"/>
            </w:tcBorders>
            <w:shd w:val="clear" w:color="auto" w:fill="FFFFFF"/>
            <w:vAlign w:val="center"/>
          </w:tcPr>
          <w:p w14:paraId="07A0307F">
            <w:pPr>
              <w:jc w:val="center"/>
              <w:rPr>
                <w:color w:val="000000"/>
              </w:rPr>
            </w:pPr>
            <w:r>
              <w:rPr>
                <w:sz w:val="24"/>
              </w:rPr>
              <w:t>8.3</w:t>
            </w:r>
          </w:p>
        </w:tc>
      </w:tr>
      <w:tr w14:paraId="3E336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nil"/>
              <w:right w:val="nil"/>
            </w:tcBorders>
            <w:shd w:val="clear" w:color="auto" w:fill="FFFFFF"/>
            <w:vAlign w:val="center"/>
          </w:tcPr>
          <w:p w14:paraId="3C832D9F">
            <w:pPr>
              <w:jc w:val="center"/>
              <w:rPr>
                <w:bCs/>
                <w:color w:val="000000"/>
              </w:rPr>
            </w:pPr>
            <w:r>
              <w:rPr>
                <w:sz w:val="24"/>
              </w:rPr>
              <w:t>太阳短波辐射</w:t>
            </w:r>
          </w:p>
        </w:tc>
        <w:tc>
          <w:tcPr>
            <w:tcW w:w="1816" w:type="dxa"/>
            <w:tcBorders>
              <w:top w:val="nil"/>
              <w:left w:val="nil"/>
              <w:bottom w:val="nil"/>
              <w:right w:val="nil"/>
            </w:tcBorders>
            <w:shd w:val="clear" w:color="auto" w:fill="FFFFFF"/>
            <w:vAlign w:val="center"/>
          </w:tcPr>
          <w:p w14:paraId="0F79F79E">
            <w:pPr>
              <w:jc w:val="center"/>
              <w:rPr>
                <w:color w:val="000000"/>
              </w:rPr>
            </w:pPr>
            <w:r>
              <w:rPr>
                <w:sz w:val="24"/>
              </w:rPr>
              <w:t>W/m²</w:t>
            </w:r>
          </w:p>
        </w:tc>
        <w:tc>
          <w:tcPr>
            <w:tcW w:w="1650" w:type="dxa"/>
            <w:tcBorders>
              <w:top w:val="nil"/>
              <w:left w:val="nil"/>
              <w:bottom w:val="nil"/>
              <w:right w:val="nil"/>
            </w:tcBorders>
            <w:shd w:val="clear" w:color="auto" w:fill="FFFFFF"/>
            <w:vAlign w:val="center"/>
          </w:tcPr>
          <w:p w14:paraId="551D2D7B">
            <w:pPr>
              <w:jc w:val="center"/>
              <w:rPr>
                <w:color w:val="000000"/>
              </w:rPr>
            </w:pPr>
            <w:r>
              <w:rPr>
                <w:sz w:val="24"/>
              </w:rPr>
              <w:t>0.0</w:t>
            </w:r>
          </w:p>
        </w:tc>
        <w:tc>
          <w:tcPr>
            <w:tcW w:w="1650" w:type="dxa"/>
            <w:tcBorders>
              <w:top w:val="nil"/>
              <w:left w:val="nil"/>
              <w:bottom w:val="nil"/>
              <w:right w:val="nil"/>
            </w:tcBorders>
            <w:shd w:val="clear" w:color="auto" w:fill="FFFFFF"/>
            <w:vAlign w:val="center"/>
          </w:tcPr>
          <w:p w14:paraId="5B66B3A7">
            <w:pPr>
              <w:jc w:val="center"/>
              <w:rPr>
                <w:color w:val="000000"/>
              </w:rPr>
            </w:pPr>
            <w:r>
              <w:rPr>
                <w:sz w:val="24"/>
              </w:rPr>
              <w:t>1102.5</w:t>
            </w:r>
          </w:p>
        </w:tc>
        <w:tc>
          <w:tcPr>
            <w:tcW w:w="1650" w:type="dxa"/>
            <w:tcBorders>
              <w:top w:val="nil"/>
              <w:left w:val="nil"/>
              <w:bottom w:val="nil"/>
              <w:right w:val="nil"/>
            </w:tcBorders>
            <w:shd w:val="clear" w:color="auto" w:fill="FFFFFF"/>
            <w:vAlign w:val="center"/>
          </w:tcPr>
          <w:p w14:paraId="0E07040F">
            <w:pPr>
              <w:jc w:val="center"/>
              <w:rPr>
                <w:color w:val="000000"/>
              </w:rPr>
            </w:pPr>
            <w:r>
              <w:rPr>
                <w:sz w:val="24"/>
              </w:rPr>
              <w:t>320.1</w:t>
            </w:r>
          </w:p>
        </w:tc>
      </w:tr>
      <w:tr w14:paraId="6B46A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nil"/>
              <w:right w:val="nil"/>
            </w:tcBorders>
            <w:shd w:val="clear" w:color="auto" w:fill="FFFFFF"/>
            <w:vAlign w:val="center"/>
          </w:tcPr>
          <w:p w14:paraId="54F4E449">
            <w:pPr>
              <w:jc w:val="center"/>
              <w:rPr>
                <w:bCs/>
                <w:color w:val="000000"/>
              </w:rPr>
            </w:pPr>
            <w:r>
              <w:rPr>
                <w:sz w:val="24"/>
              </w:rPr>
              <w:t>地表气温</w:t>
            </w:r>
          </w:p>
        </w:tc>
        <w:tc>
          <w:tcPr>
            <w:tcW w:w="1816" w:type="dxa"/>
            <w:tcBorders>
              <w:top w:val="nil"/>
              <w:left w:val="nil"/>
              <w:bottom w:val="nil"/>
              <w:right w:val="nil"/>
            </w:tcBorders>
            <w:shd w:val="clear" w:color="auto" w:fill="FFFFFF"/>
            <w:vAlign w:val="center"/>
          </w:tcPr>
          <w:p w14:paraId="51E6AE64">
            <w:pPr>
              <w:jc w:val="center"/>
              <w:rPr>
                <w:color w:val="000000"/>
              </w:rPr>
            </w:pPr>
            <w:r>
              <w:rPr>
                <w:sz w:val="24"/>
              </w:rPr>
              <w:t>℃</w:t>
            </w:r>
          </w:p>
        </w:tc>
        <w:tc>
          <w:tcPr>
            <w:tcW w:w="1650" w:type="dxa"/>
            <w:tcBorders>
              <w:top w:val="nil"/>
              <w:left w:val="nil"/>
              <w:bottom w:val="nil"/>
              <w:right w:val="nil"/>
            </w:tcBorders>
            <w:shd w:val="clear" w:color="auto" w:fill="FFFFFF"/>
            <w:vAlign w:val="center"/>
          </w:tcPr>
          <w:p w14:paraId="19BD256C">
            <w:pPr>
              <w:jc w:val="center"/>
              <w:rPr>
                <w:color w:val="000000"/>
              </w:rPr>
            </w:pPr>
            <w:r>
              <w:rPr>
                <w:sz w:val="24"/>
              </w:rPr>
              <w:t>-5.2</w:t>
            </w:r>
          </w:p>
        </w:tc>
        <w:tc>
          <w:tcPr>
            <w:tcW w:w="1650" w:type="dxa"/>
            <w:tcBorders>
              <w:top w:val="nil"/>
              <w:left w:val="nil"/>
              <w:bottom w:val="nil"/>
              <w:right w:val="nil"/>
            </w:tcBorders>
            <w:shd w:val="clear" w:color="auto" w:fill="FFFFFF"/>
            <w:vAlign w:val="center"/>
          </w:tcPr>
          <w:p w14:paraId="085153B7">
            <w:pPr>
              <w:jc w:val="center"/>
              <w:rPr>
                <w:color w:val="000000"/>
              </w:rPr>
            </w:pPr>
            <w:r>
              <w:rPr>
                <w:sz w:val="24"/>
              </w:rPr>
              <w:t>34.1</w:t>
            </w:r>
          </w:p>
        </w:tc>
        <w:tc>
          <w:tcPr>
            <w:tcW w:w="1650" w:type="dxa"/>
            <w:tcBorders>
              <w:top w:val="nil"/>
              <w:left w:val="nil"/>
              <w:bottom w:val="nil"/>
              <w:right w:val="nil"/>
            </w:tcBorders>
            <w:shd w:val="clear" w:color="auto" w:fill="FFFFFF"/>
            <w:vAlign w:val="center"/>
          </w:tcPr>
          <w:p w14:paraId="33053ECA">
            <w:pPr>
              <w:jc w:val="center"/>
              <w:rPr>
                <w:color w:val="000000"/>
              </w:rPr>
            </w:pPr>
            <w:r>
              <w:rPr>
                <w:sz w:val="24"/>
              </w:rPr>
              <w:t>15.6</w:t>
            </w:r>
          </w:p>
        </w:tc>
      </w:tr>
      <w:tr w14:paraId="6C17F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nil"/>
              <w:right w:val="nil"/>
            </w:tcBorders>
            <w:shd w:val="clear" w:color="auto" w:fill="FFFFFF"/>
            <w:vAlign w:val="center"/>
          </w:tcPr>
          <w:p w14:paraId="102C0E28">
            <w:pPr>
              <w:jc w:val="center"/>
              <w:rPr>
                <w:bCs/>
                <w:color w:val="000000"/>
              </w:rPr>
            </w:pPr>
            <w:r>
              <w:rPr>
                <w:sz w:val="24"/>
              </w:rPr>
              <w:t>相对湿度</w:t>
            </w:r>
          </w:p>
        </w:tc>
        <w:tc>
          <w:tcPr>
            <w:tcW w:w="1816" w:type="dxa"/>
            <w:tcBorders>
              <w:top w:val="nil"/>
              <w:left w:val="nil"/>
              <w:bottom w:val="nil"/>
              <w:right w:val="nil"/>
            </w:tcBorders>
            <w:shd w:val="clear" w:color="auto" w:fill="FFFFFF"/>
            <w:vAlign w:val="center"/>
          </w:tcPr>
          <w:p w14:paraId="0527E04A">
            <w:pPr>
              <w:jc w:val="center"/>
              <w:rPr>
                <w:color w:val="000000"/>
              </w:rPr>
            </w:pPr>
            <w:r>
              <w:rPr>
                <w:sz w:val="24"/>
              </w:rPr>
              <w:t>%</w:t>
            </w:r>
          </w:p>
        </w:tc>
        <w:tc>
          <w:tcPr>
            <w:tcW w:w="1650" w:type="dxa"/>
            <w:tcBorders>
              <w:top w:val="nil"/>
              <w:left w:val="nil"/>
              <w:bottom w:val="nil"/>
              <w:right w:val="nil"/>
            </w:tcBorders>
            <w:shd w:val="clear" w:color="auto" w:fill="FFFFFF"/>
            <w:vAlign w:val="center"/>
          </w:tcPr>
          <w:p w14:paraId="65D41C7F">
            <w:pPr>
              <w:jc w:val="center"/>
              <w:rPr>
                <w:color w:val="000000"/>
              </w:rPr>
            </w:pPr>
            <w:r>
              <w:rPr>
                <w:sz w:val="24"/>
              </w:rPr>
              <w:t>12.5</w:t>
            </w:r>
          </w:p>
        </w:tc>
        <w:tc>
          <w:tcPr>
            <w:tcW w:w="1650" w:type="dxa"/>
            <w:tcBorders>
              <w:top w:val="nil"/>
              <w:left w:val="nil"/>
              <w:bottom w:val="nil"/>
              <w:right w:val="nil"/>
            </w:tcBorders>
            <w:shd w:val="clear" w:color="auto" w:fill="FFFFFF"/>
            <w:vAlign w:val="center"/>
          </w:tcPr>
          <w:p w14:paraId="15561506">
            <w:pPr>
              <w:jc w:val="center"/>
              <w:rPr>
                <w:color w:val="000000"/>
              </w:rPr>
            </w:pPr>
            <w:r>
              <w:rPr>
                <w:sz w:val="24"/>
              </w:rPr>
              <w:t>98.2</w:t>
            </w:r>
          </w:p>
        </w:tc>
        <w:tc>
          <w:tcPr>
            <w:tcW w:w="1650" w:type="dxa"/>
            <w:tcBorders>
              <w:top w:val="nil"/>
              <w:left w:val="nil"/>
              <w:bottom w:val="nil"/>
              <w:right w:val="nil"/>
            </w:tcBorders>
            <w:shd w:val="clear" w:color="auto" w:fill="FFFFFF"/>
            <w:vAlign w:val="center"/>
          </w:tcPr>
          <w:p w14:paraId="22713556">
            <w:pPr>
              <w:jc w:val="center"/>
              <w:rPr>
                <w:color w:val="000000"/>
              </w:rPr>
            </w:pPr>
            <w:r>
              <w:rPr>
                <w:sz w:val="24"/>
              </w:rPr>
              <w:t>55.4</w:t>
            </w:r>
          </w:p>
        </w:tc>
      </w:tr>
      <w:tr w14:paraId="1988D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single" w:color="000000" w:sz="12" w:space="0"/>
              <w:right w:val="nil"/>
            </w:tcBorders>
            <w:shd w:val="clear" w:color="auto" w:fill="FFFFFF"/>
            <w:vAlign w:val="center"/>
          </w:tcPr>
          <w:p w14:paraId="6EDA448A">
            <w:pPr>
              <w:jc w:val="center"/>
              <w:rPr>
                <w:bCs/>
                <w:color w:val="000000"/>
              </w:rPr>
            </w:pPr>
            <w:r>
              <w:rPr>
                <w:sz w:val="24"/>
              </w:rPr>
              <w:t>太阳短波辐射</w:t>
            </w:r>
          </w:p>
        </w:tc>
        <w:tc>
          <w:tcPr>
            <w:tcW w:w="1816" w:type="dxa"/>
            <w:tcBorders>
              <w:top w:val="nil"/>
              <w:left w:val="nil"/>
              <w:bottom w:val="single" w:color="000000" w:sz="12" w:space="0"/>
              <w:right w:val="nil"/>
            </w:tcBorders>
            <w:shd w:val="clear" w:color="auto" w:fill="FFFFFF"/>
            <w:vAlign w:val="center"/>
          </w:tcPr>
          <w:p w14:paraId="468462A2">
            <w:pPr>
              <w:jc w:val="center"/>
              <w:rPr>
                <w:color w:val="000000"/>
              </w:rPr>
            </w:pPr>
            <w:r>
              <w:rPr>
                <w:sz w:val="24"/>
              </w:rPr>
              <w:t>W/m²</w:t>
            </w:r>
          </w:p>
        </w:tc>
        <w:tc>
          <w:tcPr>
            <w:tcW w:w="1650" w:type="dxa"/>
            <w:tcBorders>
              <w:top w:val="nil"/>
              <w:left w:val="nil"/>
              <w:bottom w:val="single" w:color="000000" w:sz="12" w:space="0"/>
              <w:right w:val="nil"/>
            </w:tcBorders>
            <w:shd w:val="clear" w:color="auto" w:fill="FFFFFF"/>
            <w:vAlign w:val="center"/>
          </w:tcPr>
          <w:p w14:paraId="5FC8CE78">
            <w:pPr>
              <w:jc w:val="center"/>
              <w:rPr>
                <w:color w:val="000000"/>
              </w:rPr>
            </w:pPr>
            <w:r>
              <w:rPr>
                <w:sz w:val="24"/>
              </w:rPr>
              <w:t>0.0</w:t>
            </w:r>
          </w:p>
        </w:tc>
        <w:tc>
          <w:tcPr>
            <w:tcW w:w="1650" w:type="dxa"/>
            <w:tcBorders>
              <w:top w:val="nil"/>
              <w:left w:val="nil"/>
              <w:bottom w:val="single" w:color="000000" w:sz="12" w:space="0"/>
              <w:right w:val="nil"/>
            </w:tcBorders>
            <w:shd w:val="clear" w:color="auto" w:fill="FFFFFF"/>
            <w:vAlign w:val="center"/>
          </w:tcPr>
          <w:p w14:paraId="35A5C7D5">
            <w:pPr>
              <w:jc w:val="center"/>
              <w:rPr>
                <w:color w:val="000000"/>
              </w:rPr>
            </w:pPr>
            <w:r>
              <w:rPr>
                <w:sz w:val="24"/>
              </w:rPr>
              <w:t>1102.5</w:t>
            </w:r>
          </w:p>
        </w:tc>
        <w:tc>
          <w:tcPr>
            <w:tcW w:w="1650" w:type="dxa"/>
            <w:tcBorders>
              <w:top w:val="nil"/>
              <w:left w:val="nil"/>
              <w:bottom w:val="single" w:color="000000" w:sz="12" w:space="0"/>
              <w:right w:val="nil"/>
            </w:tcBorders>
            <w:shd w:val="clear" w:color="auto" w:fill="FFFFFF"/>
            <w:vAlign w:val="center"/>
          </w:tcPr>
          <w:p w14:paraId="33F001FC">
            <w:pPr>
              <w:jc w:val="center"/>
              <w:rPr>
                <w:color w:val="000000"/>
              </w:rPr>
            </w:pPr>
            <w:r>
              <w:rPr>
                <w:sz w:val="24"/>
              </w:rPr>
              <w:t>320.1</w:t>
            </w:r>
          </w:p>
        </w:tc>
      </w:tr>
    </w:tbl>
    <w:p w14:paraId="32D0099E">
      <w:pPr>
        <w:pStyle w:val="27"/>
        <w:ind w:firstLine="480"/>
      </w:pPr>
      <w:r>
        <w:rPr>
          <w:rFonts w:hint="eastAsia"/>
        </w:rPr>
        <w:t>测试</w:t>
      </w:r>
      <w:r>
        <w:t>集用于最终评价模型泛化能力，所有对比模型均在同一组测试集上进行测试，保证实验公平性与可比性。</w:t>
      </w:r>
    </w:p>
    <w:p w14:paraId="720DC62A">
      <w:pPr>
        <w:pStyle w:val="26"/>
        <w:spacing w:before="156" w:after="156"/>
      </w:pPr>
      <w:r>
        <w:rPr>
          <w:rFonts w:hint="eastAsia"/>
        </w:rPr>
        <w:t xml:space="preserve"> 对比模型设置</w:t>
      </w:r>
    </w:p>
    <w:p w14:paraId="15783C4F">
      <w:pPr>
        <w:pStyle w:val="27"/>
        <w:ind w:firstLine="480"/>
      </w:pPr>
      <w:r>
        <w:t>为验证本文所提 EMD-BiGRU 模型的有效性，实验选取目前时序预测中主流的神经网络模型进行对照，对比模型包括：RNN 循环神经网络</w:t>
      </w:r>
      <w:r>
        <w:rPr>
          <w:rFonts w:hint="eastAsia"/>
        </w:rPr>
        <w:t>、</w:t>
      </w:r>
      <w:r>
        <w:t>LSTM 长短期记忆网络</w:t>
      </w:r>
      <w:r>
        <w:rPr>
          <w:rFonts w:hint="eastAsia"/>
        </w:rPr>
        <w:t>、</w:t>
      </w:r>
      <w:r>
        <w:t>GRU 门控循环单元网络</w:t>
      </w:r>
      <w:r>
        <w:rPr>
          <w:rFonts w:hint="eastAsia"/>
        </w:rPr>
        <w:t>、</w:t>
      </w:r>
      <w:r>
        <w:t>单一 BiGRU 双向网络</w:t>
      </w:r>
      <w:r>
        <w:rPr>
          <w:rFonts w:hint="eastAsia"/>
        </w:rPr>
        <w:t>。</w:t>
      </w:r>
    </w:p>
    <w:p w14:paraId="40AE70B3">
      <w:pPr>
        <w:pStyle w:val="27"/>
        <w:ind w:firstLine="480"/>
      </w:pPr>
      <w:r>
        <w:t>所有对比模型采用相同的数据集、相同输入输出结构、相同训练参数与相同评价指标，确保对比结果科学可信。</w:t>
      </w:r>
    </w:p>
    <w:p w14:paraId="7F26603C">
      <w:pPr>
        <w:pStyle w:val="26"/>
        <w:spacing w:before="156" w:after="156"/>
      </w:pPr>
      <w:r>
        <w:rPr>
          <w:rFonts w:hint="eastAsia"/>
        </w:rPr>
        <w:t xml:space="preserve"> 实验参数统一设置</w:t>
      </w:r>
    </w:p>
    <w:p w14:paraId="7E46DC7F">
      <w:pPr>
        <w:pStyle w:val="27"/>
        <w:ind w:firstLine="480"/>
      </w:pPr>
      <w:r>
        <w:t>为保证公平对比，所有模型保持一致的超参数设置：</w:t>
      </w:r>
    </w:p>
    <w:p w14:paraId="3D9E5E9F">
      <w:pPr>
        <w:pStyle w:val="27"/>
        <w:ind w:firstLine="480"/>
      </w:pPr>
    </w:p>
    <w:p w14:paraId="7F85FA54">
      <w:pPr>
        <w:jc w:val="center"/>
        <w:rPr>
          <w:rFonts w:eastAsia="黑体"/>
          <w:b/>
          <w:bCs/>
        </w:rPr>
      </w:pPr>
      <w:r>
        <w:rPr>
          <w:rFonts w:eastAsia="黑体"/>
          <w:b/>
          <w:bCs/>
        </w:rPr>
        <w:t>表</w:t>
      </w:r>
      <w:r>
        <w:rPr>
          <w:rFonts w:hint="eastAsia" w:eastAsia="黑体"/>
          <w:b/>
          <w:bCs/>
        </w:rPr>
        <w:t>4</w:t>
      </w:r>
      <w:r>
        <w:rPr>
          <w:rFonts w:eastAsia="黑体"/>
          <w:b/>
          <w:bCs/>
        </w:rPr>
        <w:t>.</w:t>
      </w:r>
      <w:r>
        <w:rPr>
          <w:rFonts w:hint="eastAsia" w:eastAsia="黑体"/>
          <w:b/>
          <w:bCs/>
        </w:rPr>
        <w:t>3模型超参数设置</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73"/>
        <w:gridCol w:w="2982"/>
      </w:tblGrid>
      <w:tr w14:paraId="68865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3" w:type="dxa"/>
            <w:tcBorders>
              <w:top w:val="single" w:color="000000" w:sz="12" w:space="0"/>
              <w:left w:val="nil"/>
              <w:bottom w:val="single" w:color="000000" w:sz="4" w:space="0"/>
              <w:right w:val="nil"/>
              <w:tl2br w:val="nil"/>
            </w:tcBorders>
            <w:shd w:val="clear" w:color="auto" w:fill="FFFFFF"/>
            <w:vAlign w:val="center"/>
          </w:tcPr>
          <w:p w14:paraId="51E17501">
            <w:pPr>
              <w:jc w:val="center"/>
              <w:rPr>
                <w:bCs/>
                <w:color w:val="000000"/>
              </w:rPr>
            </w:pPr>
            <w:r>
              <w:rPr>
                <w:b/>
                <w:bCs/>
                <w:color w:val="000000"/>
              </w:rPr>
              <w:t>参数名称</w:t>
            </w:r>
          </w:p>
        </w:tc>
        <w:tc>
          <w:tcPr>
            <w:tcW w:w="2982" w:type="dxa"/>
            <w:tcBorders>
              <w:top w:val="single" w:color="000000" w:sz="12" w:space="0"/>
              <w:left w:val="nil"/>
              <w:bottom w:val="single" w:color="000000" w:sz="4" w:space="0"/>
              <w:right w:val="nil"/>
            </w:tcBorders>
            <w:shd w:val="clear" w:color="auto" w:fill="FFFFFF"/>
            <w:vAlign w:val="center"/>
          </w:tcPr>
          <w:p w14:paraId="51529761">
            <w:pPr>
              <w:jc w:val="center"/>
              <w:rPr>
                <w:b/>
                <w:color w:val="000000"/>
              </w:rPr>
            </w:pPr>
            <w:r>
              <w:rPr>
                <w:b/>
                <w:color w:val="000000"/>
              </w:rPr>
              <w:t>设定值</w:t>
            </w:r>
          </w:p>
        </w:tc>
      </w:tr>
      <w:tr w14:paraId="0124B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3" w:type="dxa"/>
            <w:tcBorders>
              <w:top w:val="single" w:color="000000" w:sz="4" w:space="0"/>
              <w:left w:val="nil"/>
              <w:bottom w:val="nil"/>
              <w:right w:val="nil"/>
            </w:tcBorders>
            <w:shd w:val="clear" w:color="auto" w:fill="FFFFFF"/>
            <w:vAlign w:val="center"/>
          </w:tcPr>
          <w:p w14:paraId="0435D258">
            <w:pPr>
              <w:jc w:val="center"/>
              <w:rPr>
                <w:bCs/>
                <w:color w:val="000000"/>
              </w:rPr>
            </w:pPr>
            <w:r>
              <w:rPr>
                <w:bCs/>
                <w:color w:val="000000"/>
              </w:rPr>
              <w:t>时间步长 (Time Steps)</w:t>
            </w:r>
          </w:p>
        </w:tc>
        <w:tc>
          <w:tcPr>
            <w:tcW w:w="2982" w:type="dxa"/>
            <w:tcBorders>
              <w:top w:val="single" w:color="000000" w:sz="4" w:space="0"/>
              <w:left w:val="nil"/>
              <w:bottom w:val="nil"/>
              <w:right w:val="nil"/>
            </w:tcBorders>
            <w:shd w:val="clear" w:color="auto" w:fill="FFFFFF"/>
            <w:vAlign w:val="center"/>
          </w:tcPr>
          <w:p w14:paraId="1FD31DA3">
            <w:pPr>
              <w:jc w:val="center"/>
              <w:rPr>
                <w:rFonts w:hint="default" w:eastAsia="宋体"/>
                <w:color w:val="000000"/>
                <w:lang w:val="en-US" w:eastAsia="zh-CN"/>
              </w:rPr>
            </w:pPr>
            <w:r>
              <w:rPr>
                <w:rFonts w:hint="eastAsia"/>
                <w:color w:val="000000"/>
                <w:lang w:val="en-US" w:eastAsia="zh-CN"/>
              </w:rPr>
              <w:t>48</w:t>
            </w:r>
          </w:p>
        </w:tc>
      </w:tr>
      <w:tr w14:paraId="33B3C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3" w:type="dxa"/>
            <w:tcBorders>
              <w:top w:val="nil"/>
              <w:left w:val="nil"/>
              <w:bottom w:val="nil"/>
              <w:right w:val="nil"/>
            </w:tcBorders>
            <w:shd w:val="clear" w:color="auto" w:fill="FFFFFF"/>
            <w:vAlign w:val="center"/>
          </w:tcPr>
          <w:p w14:paraId="79351E73">
            <w:pPr>
              <w:jc w:val="center"/>
              <w:rPr>
                <w:bCs/>
                <w:color w:val="000000"/>
              </w:rPr>
            </w:pPr>
            <w:r>
              <w:rPr>
                <w:bCs/>
                <w:color w:val="000000"/>
              </w:rPr>
              <w:t>预测步长 (Pred Steps)</w:t>
            </w:r>
          </w:p>
        </w:tc>
        <w:tc>
          <w:tcPr>
            <w:tcW w:w="2982" w:type="dxa"/>
            <w:tcBorders>
              <w:top w:val="nil"/>
              <w:left w:val="nil"/>
              <w:bottom w:val="nil"/>
              <w:right w:val="nil"/>
            </w:tcBorders>
            <w:shd w:val="clear" w:color="auto" w:fill="FFFFFF"/>
            <w:vAlign w:val="center"/>
          </w:tcPr>
          <w:p w14:paraId="05DE140C">
            <w:pPr>
              <w:jc w:val="center"/>
              <w:rPr>
                <w:rFonts w:hint="eastAsia" w:eastAsia="宋体"/>
                <w:color w:val="000000"/>
                <w:lang w:eastAsia="zh-CN"/>
              </w:rPr>
            </w:pPr>
            <w:r>
              <w:rPr>
                <w:rFonts w:hint="eastAsia"/>
                <w:color w:val="000000"/>
                <w:lang w:val="en-US" w:eastAsia="zh-CN"/>
              </w:rPr>
              <w:t>1</w:t>
            </w:r>
          </w:p>
        </w:tc>
      </w:tr>
      <w:tr w14:paraId="3D921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3" w:type="dxa"/>
            <w:tcBorders>
              <w:top w:val="nil"/>
              <w:left w:val="nil"/>
              <w:bottom w:val="nil"/>
              <w:right w:val="nil"/>
            </w:tcBorders>
            <w:shd w:val="clear" w:color="auto" w:fill="FFFFFF"/>
            <w:vAlign w:val="center"/>
          </w:tcPr>
          <w:p w14:paraId="142D263E">
            <w:pPr>
              <w:jc w:val="center"/>
              <w:rPr>
                <w:bCs/>
                <w:color w:val="000000"/>
              </w:rPr>
            </w:pPr>
            <w:r>
              <w:rPr>
                <w:bCs/>
                <w:color w:val="000000"/>
              </w:rPr>
              <w:t>批次大小 (Batch Size)</w:t>
            </w:r>
          </w:p>
        </w:tc>
        <w:tc>
          <w:tcPr>
            <w:tcW w:w="2982" w:type="dxa"/>
            <w:tcBorders>
              <w:top w:val="nil"/>
              <w:left w:val="nil"/>
              <w:bottom w:val="nil"/>
              <w:right w:val="nil"/>
            </w:tcBorders>
            <w:shd w:val="clear" w:color="auto" w:fill="FFFFFF"/>
            <w:vAlign w:val="center"/>
          </w:tcPr>
          <w:p w14:paraId="2320D4D8">
            <w:pPr>
              <w:jc w:val="center"/>
              <w:rPr>
                <w:rFonts w:hint="default" w:eastAsia="宋体"/>
                <w:color w:val="000000"/>
                <w:lang w:val="en-US" w:eastAsia="zh-CN"/>
              </w:rPr>
            </w:pPr>
            <w:r>
              <w:rPr>
                <w:rFonts w:hint="eastAsia"/>
                <w:color w:val="000000"/>
                <w:lang w:val="en-US" w:eastAsia="zh-CN"/>
              </w:rPr>
              <w:t>128</w:t>
            </w:r>
          </w:p>
        </w:tc>
      </w:tr>
      <w:tr w14:paraId="0E522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3" w:type="dxa"/>
            <w:tcBorders>
              <w:top w:val="nil"/>
              <w:left w:val="nil"/>
              <w:bottom w:val="nil"/>
              <w:right w:val="nil"/>
            </w:tcBorders>
            <w:shd w:val="clear" w:color="auto" w:fill="FFFFFF"/>
            <w:vAlign w:val="center"/>
          </w:tcPr>
          <w:p w14:paraId="29A587F9">
            <w:pPr>
              <w:jc w:val="center"/>
              <w:rPr>
                <w:bCs/>
                <w:color w:val="000000"/>
              </w:rPr>
            </w:pPr>
            <w:r>
              <w:rPr>
                <w:bCs/>
                <w:color w:val="000000"/>
              </w:rPr>
              <w:t>初始学习率 (Learning Rate)</w:t>
            </w:r>
          </w:p>
        </w:tc>
        <w:tc>
          <w:tcPr>
            <w:tcW w:w="2982" w:type="dxa"/>
            <w:tcBorders>
              <w:top w:val="nil"/>
              <w:left w:val="nil"/>
              <w:bottom w:val="nil"/>
              <w:right w:val="nil"/>
            </w:tcBorders>
            <w:shd w:val="clear" w:color="auto" w:fill="FFFFFF"/>
            <w:vAlign w:val="center"/>
          </w:tcPr>
          <w:p w14:paraId="4E5E2F87">
            <w:pPr>
              <w:jc w:val="center"/>
              <w:rPr>
                <w:color w:val="000000"/>
              </w:rPr>
            </w:pPr>
            <w:r>
              <w:rPr>
                <w:color w:val="000000"/>
              </w:rPr>
              <w:t>0.001</w:t>
            </w:r>
          </w:p>
        </w:tc>
      </w:tr>
      <w:tr w14:paraId="73CE9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73" w:type="dxa"/>
            <w:tcBorders>
              <w:top w:val="nil"/>
              <w:left w:val="nil"/>
              <w:bottom w:val="single" w:color="000000" w:sz="12" w:space="0"/>
              <w:right w:val="nil"/>
            </w:tcBorders>
            <w:shd w:val="clear" w:color="auto" w:fill="FFFFFF"/>
            <w:vAlign w:val="center"/>
          </w:tcPr>
          <w:p w14:paraId="7FABA7F6">
            <w:pPr>
              <w:jc w:val="center"/>
              <w:rPr>
                <w:bCs/>
                <w:color w:val="000000"/>
              </w:rPr>
            </w:pPr>
            <w:r>
              <w:rPr>
                <w:bCs/>
                <w:color w:val="000000"/>
              </w:rPr>
              <w:t>训练轮次 (Epochs)</w:t>
            </w:r>
          </w:p>
        </w:tc>
        <w:tc>
          <w:tcPr>
            <w:tcW w:w="2982" w:type="dxa"/>
            <w:tcBorders>
              <w:top w:val="nil"/>
              <w:left w:val="nil"/>
              <w:bottom w:val="single" w:color="000000" w:sz="12" w:space="0"/>
              <w:right w:val="nil"/>
            </w:tcBorders>
            <w:shd w:val="clear" w:color="auto" w:fill="FFFFFF"/>
            <w:vAlign w:val="center"/>
          </w:tcPr>
          <w:p w14:paraId="77578678">
            <w:pPr>
              <w:jc w:val="center"/>
              <w:rPr>
                <w:color w:val="000000"/>
              </w:rPr>
            </w:pPr>
            <w:r>
              <w:rPr>
                <w:color w:val="000000"/>
              </w:rPr>
              <w:t>100 (含早停机制)</w:t>
            </w:r>
          </w:p>
        </w:tc>
      </w:tr>
    </w:tbl>
    <w:p w14:paraId="589FDC83">
      <w:pPr>
        <w:pStyle w:val="27"/>
        <w:ind w:firstLine="480"/>
      </w:pPr>
      <w:r>
        <w:t>统一参数设置能够消除变量干扰，使实验结果差异主要来自模型结构本身，更具说服力。</w:t>
      </w:r>
      <w:bookmarkStart w:id="387" w:name="_GoBack"/>
      <w:bookmarkEnd w:id="387"/>
    </w:p>
    <w:p w14:paraId="07DB7A9D">
      <w:pPr>
        <w:pStyle w:val="27"/>
        <w:ind w:firstLine="480"/>
      </w:pPr>
    </w:p>
    <w:p w14:paraId="09FB9787">
      <w:pPr>
        <w:pStyle w:val="25"/>
        <w:spacing w:before="156" w:after="156"/>
      </w:pPr>
      <w:r>
        <w:t>实验设计与评价指标</w:t>
      </w:r>
      <w:bookmarkEnd w:id="275"/>
      <w:bookmarkEnd w:id="276"/>
      <w:bookmarkEnd w:id="277"/>
      <w:bookmarkEnd w:id="278"/>
    </w:p>
    <w:bookmarkEnd w:id="274"/>
    <w:p w14:paraId="13F0DC41">
      <w:pPr>
        <w:pStyle w:val="27"/>
        <w:ind w:firstLine="480"/>
        <w:jc w:val="left"/>
      </w:pPr>
      <w:bookmarkStart w:id="279" w:name="u29658c45"/>
      <w:r>
        <w:t>设置评价指标的目的是验证各个预测模型的有效性和性能差异，因此设置了多组对照实验。实验采用的光伏数据集、输入输出结构、训练参数全部相同，分别对 RNN、LSTM、GRU、BiGRU、EMD-BiGRU 共5种模型进行训练与测试。实验选取、RMSE（均方根误差）、MAE（平均绝对误差）、R²（决定系数 / 拟合优度） 4种指标作为统一评价指标。RMSE 作为核心对比指标，反映模型整体预测精度；MAE 反映相对误差大小；R² 反映拟合程度。</w:t>
      </w:r>
    </w:p>
    <w:bookmarkEnd w:id="279"/>
    <w:p w14:paraId="1A3E64A9">
      <w:pPr>
        <w:pStyle w:val="25"/>
        <w:spacing w:before="156" w:after="156"/>
      </w:pPr>
      <w:bookmarkStart w:id="280" w:name="11283a6b"/>
      <w:r>
        <w:t xml:space="preserve"> </w:t>
      </w:r>
      <w:bookmarkStart w:id="281" w:name="_Toc227161729"/>
      <w:bookmarkStart w:id="282" w:name="_Toc14556"/>
      <w:bookmarkStart w:id="283" w:name="_Toc23657"/>
      <w:bookmarkStart w:id="284" w:name="_Toc23296"/>
      <w:r>
        <w:t>各模型预测结果定量对比</w:t>
      </w:r>
      <w:bookmarkEnd w:id="281"/>
      <w:bookmarkEnd w:id="282"/>
      <w:bookmarkEnd w:id="283"/>
      <w:bookmarkEnd w:id="284"/>
    </w:p>
    <w:bookmarkEnd w:id="280"/>
    <w:p w14:paraId="66A85FF7">
      <w:pPr>
        <w:pStyle w:val="27"/>
        <w:ind w:firstLine="480"/>
      </w:pPr>
      <w:bookmarkStart w:id="285" w:name="ud72877db"/>
      <w:r>
        <w:t>为了科学严谨地将各个模型进行性能方面的对比，本节给出5个模型在预测指标上的计算结果，以表格的形式展现并分析各个模型的性能。</w:t>
      </w:r>
      <w:r>
        <w:rPr>
          <w:rFonts w:hint="eastAsia"/>
        </w:rPr>
        <w:t>分别采用 RNN、LSTM、GRU、BiGRU 及 EMD-BiGRU 进行对比，评价指标计算结果如表 5.4 及</w:t>
      </w:r>
      <w:r>
        <w:fldChar w:fldCharType="begin"/>
      </w:r>
      <w:r>
        <w:instrText xml:space="preserve"> </w:instrText>
      </w:r>
      <w:r>
        <w:rPr>
          <w:rFonts w:hint="eastAsia"/>
        </w:rPr>
        <w:instrText xml:space="preserve">REF _Ref227196051 \h</w:instrText>
      </w:r>
      <w:r>
        <w:instrText xml:space="preserve">  \* MERGEFORMAT </w:instrText>
      </w:r>
      <w:r>
        <w:fldChar w:fldCharType="separate"/>
      </w:r>
      <w:r>
        <w:rPr>
          <w:rFonts w:hint="eastAsia"/>
        </w:rPr>
        <w:t>图5.</w:t>
      </w:r>
      <w:r>
        <w:t>1</w:t>
      </w:r>
      <w:r>
        <w:fldChar w:fldCharType="end"/>
      </w:r>
      <w:r>
        <w:rPr>
          <w:rFonts w:hint="eastAsia"/>
        </w:rPr>
        <w:t>至</w:t>
      </w:r>
      <w:r>
        <w:fldChar w:fldCharType="begin"/>
      </w:r>
      <w:r>
        <w:instrText xml:space="preserve"> </w:instrText>
      </w:r>
      <w:r>
        <w:rPr>
          <w:rFonts w:hint="eastAsia"/>
        </w:rPr>
        <w:instrText xml:space="preserve">REF _Ref227196063 \h</w:instrText>
      </w:r>
      <w:r>
        <w:instrText xml:space="preserve">  \* MERGEFORMAT </w:instrText>
      </w:r>
      <w:r>
        <w:fldChar w:fldCharType="separate"/>
      </w:r>
      <w:r>
        <w:rPr>
          <w:rFonts w:hint="eastAsia"/>
        </w:rPr>
        <w:t>图5.</w:t>
      </w:r>
      <w:r>
        <w:t>3</w:t>
      </w:r>
      <w:r>
        <w:fldChar w:fldCharType="end"/>
      </w:r>
      <w:r>
        <w:rPr>
          <w:rFonts w:hint="eastAsia"/>
        </w:rPr>
        <w:t>所示。</w:t>
      </w:r>
    </w:p>
    <w:p w14:paraId="647665E3">
      <w:pPr>
        <w:pStyle w:val="27"/>
        <w:ind w:firstLine="480"/>
      </w:pPr>
    </w:p>
    <w:p w14:paraId="2D2FA988">
      <w:pPr>
        <w:jc w:val="center"/>
        <w:rPr>
          <w:rFonts w:eastAsia="黑体"/>
          <w:b/>
          <w:bCs/>
        </w:rPr>
      </w:pPr>
      <w:r>
        <w:rPr>
          <w:rFonts w:eastAsia="黑体"/>
          <w:b/>
          <w:bCs/>
        </w:rPr>
        <w:t>表</w:t>
      </w:r>
      <w:r>
        <w:rPr>
          <w:rFonts w:hint="eastAsia" w:eastAsia="黑体"/>
          <w:b/>
          <w:bCs/>
        </w:rPr>
        <w:t>5.4</w:t>
      </w:r>
      <w:r>
        <w:rPr>
          <w:rFonts w:eastAsia="黑体"/>
          <w:b/>
          <w:bCs/>
        </w:rPr>
        <w:t>各模型测试集预测性能指标对比表</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5"/>
        <w:gridCol w:w="1816"/>
        <w:gridCol w:w="1650"/>
        <w:gridCol w:w="1650"/>
      </w:tblGrid>
      <w:tr w14:paraId="50746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single" w:color="000000" w:sz="12" w:space="0"/>
              <w:left w:val="nil"/>
              <w:bottom w:val="single" w:color="000000" w:sz="4" w:space="0"/>
              <w:right w:val="nil"/>
              <w:tl2br w:val="nil"/>
            </w:tcBorders>
            <w:shd w:val="clear" w:color="auto" w:fill="FFFFFF"/>
            <w:vAlign w:val="center"/>
          </w:tcPr>
          <w:p w14:paraId="188787BF">
            <w:pPr>
              <w:jc w:val="center"/>
              <w:rPr>
                <w:bCs/>
                <w:color w:val="000000"/>
              </w:rPr>
            </w:pPr>
            <w:r>
              <w:rPr>
                <w:rFonts w:ascii="宋体"/>
                <w:b/>
                <w:color w:val="000000"/>
                <w:sz w:val="24"/>
              </w:rPr>
              <w:t>模型</w:t>
            </w:r>
          </w:p>
        </w:tc>
        <w:tc>
          <w:tcPr>
            <w:tcW w:w="1816" w:type="dxa"/>
            <w:tcBorders>
              <w:top w:val="single" w:color="000000" w:sz="12" w:space="0"/>
              <w:left w:val="nil"/>
              <w:bottom w:val="single" w:color="000000" w:sz="4" w:space="0"/>
              <w:right w:val="nil"/>
            </w:tcBorders>
            <w:shd w:val="clear" w:color="auto" w:fill="FFFFFF"/>
            <w:vAlign w:val="center"/>
          </w:tcPr>
          <w:p w14:paraId="226F6CDA">
            <w:pPr>
              <w:jc w:val="center"/>
              <w:rPr>
                <w:bCs/>
                <w:color w:val="000000"/>
              </w:rPr>
            </w:pPr>
            <w:r>
              <w:rPr>
                <w:b/>
                <w:color w:val="000000"/>
                <w:sz w:val="24"/>
              </w:rPr>
              <w:t>RMSE</w:t>
            </w:r>
          </w:p>
        </w:tc>
        <w:tc>
          <w:tcPr>
            <w:tcW w:w="1650" w:type="dxa"/>
            <w:tcBorders>
              <w:top w:val="single" w:color="000000" w:sz="12" w:space="0"/>
              <w:left w:val="nil"/>
              <w:bottom w:val="single" w:color="000000" w:sz="4" w:space="0"/>
              <w:right w:val="nil"/>
            </w:tcBorders>
            <w:shd w:val="clear" w:color="auto" w:fill="FFFFFF"/>
            <w:vAlign w:val="center"/>
          </w:tcPr>
          <w:p w14:paraId="27AF9F18">
            <w:pPr>
              <w:jc w:val="center"/>
              <w:rPr>
                <w:bCs/>
                <w:color w:val="000000"/>
              </w:rPr>
            </w:pPr>
            <w:r>
              <w:rPr>
                <w:b/>
                <w:color w:val="000000"/>
                <w:sz w:val="24"/>
              </w:rPr>
              <w:t>MAE</w:t>
            </w:r>
          </w:p>
        </w:tc>
        <w:tc>
          <w:tcPr>
            <w:tcW w:w="1650" w:type="dxa"/>
            <w:tcBorders>
              <w:top w:val="single" w:color="000000" w:sz="12" w:space="0"/>
              <w:left w:val="nil"/>
              <w:bottom w:val="single" w:color="000000" w:sz="4" w:space="0"/>
              <w:right w:val="nil"/>
            </w:tcBorders>
            <w:shd w:val="clear" w:color="auto" w:fill="FFFFFF"/>
            <w:vAlign w:val="center"/>
          </w:tcPr>
          <w:p w14:paraId="17772287">
            <w:pPr>
              <w:jc w:val="center"/>
              <w:rPr>
                <w:bCs/>
                <w:color w:val="000000"/>
              </w:rPr>
            </w:pPr>
            <w:r>
              <w:rPr>
                <w:b/>
                <w:color w:val="000000"/>
                <w:sz w:val="24"/>
              </w:rPr>
              <w:t>R</w:t>
            </w:r>
            <w:r>
              <w:rPr>
                <w:rFonts w:ascii="宋体"/>
                <w:b/>
                <w:color w:val="000000"/>
                <w:sz w:val="24"/>
              </w:rPr>
              <w:t>²</w:t>
            </w:r>
          </w:p>
        </w:tc>
      </w:tr>
      <w:tr w14:paraId="7AAFD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single" w:color="000000" w:sz="4" w:space="0"/>
              <w:left w:val="nil"/>
              <w:bottom w:val="nil"/>
              <w:right w:val="nil"/>
            </w:tcBorders>
            <w:shd w:val="clear" w:color="auto" w:fill="FFFFFF"/>
            <w:vAlign w:val="center"/>
          </w:tcPr>
          <w:p w14:paraId="1BCC1CED">
            <w:pPr>
              <w:jc w:val="center"/>
              <w:rPr>
                <w:rFonts w:ascii="宋体"/>
                <w:color w:val="000000"/>
                <w:sz w:val="24"/>
              </w:rPr>
            </w:pPr>
            <w:r>
              <w:rPr>
                <w:color w:val="000000"/>
                <w:sz w:val="24"/>
              </w:rPr>
              <w:t>RNN</w:t>
            </w:r>
          </w:p>
        </w:tc>
        <w:tc>
          <w:tcPr>
            <w:tcW w:w="1816" w:type="dxa"/>
            <w:tcBorders>
              <w:top w:val="single" w:color="000000" w:sz="4" w:space="0"/>
              <w:left w:val="nil"/>
              <w:bottom w:val="nil"/>
              <w:right w:val="nil"/>
            </w:tcBorders>
            <w:shd w:val="clear" w:color="auto" w:fill="FFFFFF"/>
            <w:vAlign w:val="center"/>
          </w:tcPr>
          <w:p w14:paraId="007E6BE5">
            <w:pPr>
              <w:jc w:val="center"/>
              <w:rPr>
                <w:rFonts w:ascii="宋体"/>
                <w:color w:val="000000"/>
                <w:sz w:val="24"/>
              </w:rPr>
            </w:pPr>
            <w:r>
              <w:rPr>
                <w:rFonts w:hint="eastAsia"/>
                <w:color w:val="000000"/>
                <w:sz w:val="24"/>
              </w:rPr>
              <w:t>0.147616</w:t>
            </w:r>
          </w:p>
        </w:tc>
        <w:tc>
          <w:tcPr>
            <w:tcW w:w="1650" w:type="dxa"/>
            <w:tcBorders>
              <w:top w:val="single" w:color="000000" w:sz="4" w:space="0"/>
              <w:left w:val="nil"/>
              <w:bottom w:val="nil"/>
              <w:right w:val="nil"/>
            </w:tcBorders>
            <w:shd w:val="clear" w:color="auto" w:fill="FFFFFF"/>
            <w:vAlign w:val="center"/>
          </w:tcPr>
          <w:p w14:paraId="0CFDE1B9">
            <w:pPr>
              <w:jc w:val="center"/>
              <w:rPr>
                <w:rFonts w:ascii="宋体"/>
                <w:color w:val="000000"/>
                <w:sz w:val="24"/>
              </w:rPr>
            </w:pPr>
            <w:r>
              <w:rPr>
                <w:rFonts w:hint="eastAsia"/>
                <w:color w:val="000000"/>
                <w:sz w:val="24"/>
              </w:rPr>
              <w:t>0.108772</w:t>
            </w:r>
          </w:p>
        </w:tc>
        <w:tc>
          <w:tcPr>
            <w:tcW w:w="1650" w:type="dxa"/>
            <w:tcBorders>
              <w:top w:val="single" w:color="000000" w:sz="4" w:space="0"/>
              <w:left w:val="nil"/>
              <w:bottom w:val="nil"/>
              <w:right w:val="nil"/>
            </w:tcBorders>
            <w:shd w:val="clear" w:color="auto" w:fill="FFFFFF"/>
            <w:vAlign w:val="center"/>
          </w:tcPr>
          <w:p w14:paraId="02C92C29">
            <w:pPr>
              <w:jc w:val="center"/>
              <w:rPr>
                <w:rFonts w:ascii="宋体"/>
                <w:color w:val="000000"/>
                <w:sz w:val="24"/>
              </w:rPr>
            </w:pPr>
            <w:r>
              <w:rPr>
                <w:rFonts w:hint="eastAsia"/>
                <w:color w:val="000000"/>
                <w:sz w:val="24"/>
              </w:rPr>
              <w:t>0.7688</w:t>
            </w:r>
          </w:p>
        </w:tc>
      </w:tr>
      <w:tr w14:paraId="7FB5D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nil"/>
              <w:right w:val="nil"/>
            </w:tcBorders>
            <w:shd w:val="clear" w:color="auto" w:fill="FFFFFF"/>
            <w:vAlign w:val="center"/>
          </w:tcPr>
          <w:p w14:paraId="46EA5CD2">
            <w:pPr>
              <w:jc w:val="center"/>
              <w:rPr>
                <w:rFonts w:ascii="宋体"/>
                <w:color w:val="000000"/>
                <w:sz w:val="24"/>
              </w:rPr>
            </w:pPr>
            <w:r>
              <w:rPr>
                <w:color w:val="000000"/>
                <w:sz w:val="24"/>
              </w:rPr>
              <w:t>LSTM</w:t>
            </w:r>
          </w:p>
        </w:tc>
        <w:tc>
          <w:tcPr>
            <w:tcW w:w="1816" w:type="dxa"/>
            <w:tcBorders>
              <w:top w:val="nil"/>
              <w:left w:val="nil"/>
              <w:bottom w:val="nil"/>
              <w:right w:val="nil"/>
            </w:tcBorders>
            <w:shd w:val="clear" w:color="auto" w:fill="FFFFFF"/>
            <w:vAlign w:val="center"/>
          </w:tcPr>
          <w:p w14:paraId="27F7B00B">
            <w:pPr>
              <w:jc w:val="center"/>
              <w:rPr>
                <w:rFonts w:ascii="宋体"/>
                <w:color w:val="000000"/>
                <w:sz w:val="24"/>
              </w:rPr>
            </w:pPr>
            <w:r>
              <w:rPr>
                <w:rFonts w:hint="eastAsia"/>
                <w:color w:val="000000"/>
                <w:sz w:val="24"/>
              </w:rPr>
              <w:t>0.131908</w:t>
            </w:r>
          </w:p>
        </w:tc>
        <w:tc>
          <w:tcPr>
            <w:tcW w:w="1650" w:type="dxa"/>
            <w:tcBorders>
              <w:top w:val="nil"/>
              <w:left w:val="nil"/>
              <w:bottom w:val="nil"/>
              <w:right w:val="nil"/>
            </w:tcBorders>
            <w:shd w:val="clear" w:color="auto" w:fill="FFFFFF"/>
            <w:vAlign w:val="center"/>
          </w:tcPr>
          <w:p w14:paraId="642961F9">
            <w:pPr>
              <w:jc w:val="center"/>
              <w:rPr>
                <w:rFonts w:ascii="宋体"/>
                <w:color w:val="000000"/>
                <w:sz w:val="24"/>
              </w:rPr>
            </w:pPr>
            <w:r>
              <w:rPr>
                <w:rFonts w:hint="eastAsia"/>
                <w:color w:val="000000"/>
                <w:sz w:val="24"/>
              </w:rPr>
              <w:t>0.093222</w:t>
            </w:r>
          </w:p>
        </w:tc>
        <w:tc>
          <w:tcPr>
            <w:tcW w:w="1650" w:type="dxa"/>
            <w:tcBorders>
              <w:top w:val="nil"/>
              <w:left w:val="nil"/>
              <w:bottom w:val="nil"/>
              <w:right w:val="nil"/>
            </w:tcBorders>
            <w:shd w:val="clear" w:color="auto" w:fill="FFFFFF"/>
            <w:vAlign w:val="center"/>
          </w:tcPr>
          <w:p w14:paraId="22A06E57">
            <w:pPr>
              <w:jc w:val="center"/>
              <w:rPr>
                <w:rFonts w:ascii="宋体"/>
                <w:color w:val="000000"/>
                <w:sz w:val="24"/>
              </w:rPr>
            </w:pPr>
            <w:r>
              <w:rPr>
                <w:rFonts w:hint="eastAsia"/>
                <w:color w:val="000000"/>
                <w:sz w:val="24"/>
              </w:rPr>
              <w:t>0.8154</w:t>
            </w:r>
          </w:p>
        </w:tc>
      </w:tr>
      <w:tr w14:paraId="3F182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nil"/>
              <w:right w:val="nil"/>
            </w:tcBorders>
            <w:shd w:val="clear" w:color="auto" w:fill="FFFFFF"/>
            <w:vAlign w:val="center"/>
          </w:tcPr>
          <w:p w14:paraId="7D97A544">
            <w:pPr>
              <w:jc w:val="center"/>
              <w:rPr>
                <w:rFonts w:ascii="宋体"/>
                <w:color w:val="000000"/>
                <w:sz w:val="24"/>
              </w:rPr>
            </w:pPr>
            <w:r>
              <w:rPr>
                <w:color w:val="000000"/>
                <w:sz w:val="24"/>
              </w:rPr>
              <w:t>GRU</w:t>
            </w:r>
          </w:p>
        </w:tc>
        <w:tc>
          <w:tcPr>
            <w:tcW w:w="1816" w:type="dxa"/>
            <w:tcBorders>
              <w:top w:val="nil"/>
              <w:left w:val="nil"/>
              <w:bottom w:val="nil"/>
              <w:right w:val="nil"/>
            </w:tcBorders>
            <w:shd w:val="clear" w:color="auto" w:fill="FFFFFF"/>
            <w:vAlign w:val="center"/>
          </w:tcPr>
          <w:p w14:paraId="3DAC1338">
            <w:pPr>
              <w:jc w:val="center"/>
              <w:rPr>
                <w:rFonts w:ascii="宋体"/>
                <w:color w:val="000000"/>
                <w:sz w:val="24"/>
              </w:rPr>
            </w:pPr>
            <w:r>
              <w:rPr>
                <w:rFonts w:hint="eastAsia"/>
                <w:color w:val="000000"/>
                <w:sz w:val="24"/>
              </w:rPr>
              <w:t>0.154033</w:t>
            </w:r>
          </w:p>
        </w:tc>
        <w:tc>
          <w:tcPr>
            <w:tcW w:w="1650" w:type="dxa"/>
            <w:tcBorders>
              <w:top w:val="nil"/>
              <w:left w:val="nil"/>
              <w:bottom w:val="nil"/>
              <w:right w:val="nil"/>
            </w:tcBorders>
            <w:shd w:val="clear" w:color="auto" w:fill="FFFFFF"/>
            <w:vAlign w:val="center"/>
          </w:tcPr>
          <w:p w14:paraId="0D6A2C61">
            <w:pPr>
              <w:jc w:val="center"/>
              <w:rPr>
                <w:rFonts w:ascii="宋体"/>
                <w:color w:val="000000"/>
                <w:sz w:val="24"/>
              </w:rPr>
            </w:pPr>
            <w:r>
              <w:rPr>
                <w:rFonts w:hint="eastAsia"/>
                <w:color w:val="000000"/>
                <w:sz w:val="24"/>
              </w:rPr>
              <w:t>0.129344</w:t>
            </w:r>
          </w:p>
        </w:tc>
        <w:tc>
          <w:tcPr>
            <w:tcW w:w="1650" w:type="dxa"/>
            <w:tcBorders>
              <w:top w:val="nil"/>
              <w:left w:val="nil"/>
              <w:bottom w:val="nil"/>
              <w:right w:val="nil"/>
            </w:tcBorders>
            <w:shd w:val="clear" w:color="auto" w:fill="FFFFFF"/>
            <w:vAlign w:val="center"/>
          </w:tcPr>
          <w:p w14:paraId="3D354155">
            <w:pPr>
              <w:jc w:val="center"/>
              <w:rPr>
                <w:rFonts w:ascii="宋体"/>
                <w:color w:val="000000"/>
                <w:sz w:val="24"/>
              </w:rPr>
            </w:pPr>
            <w:r>
              <w:rPr>
                <w:rFonts w:hint="eastAsia"/>
                <w:color w:val="000000"/>
                <w:sz w:val="24"/>
              </w:rPr>
              <w:t>0.7482</w:t>
            </w:r>
          </w:p>
        </w:tc>
      </w:tr>
      <w:tr w14:paraId="797F9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nil"/>
              <w:right w:val="nil"/>
            </w:tcBorders>
            <w:shd w:val="clear" w:color="auto" w:fill="FFFFFF"/>
            <w:vAlign w:val="center"/>
          </w:tcPr>
          <w:p w14:paraId="1CA7C0FC">
            <w:pPr>
              <w:jc w:val="center"/>
              <w:rPr>
                <w:rFonts w:ascii="宋体"/>
                <w:color w:val="000000"/>
                <w:sz w:val="24"/>
              </w:rPr>
            </w:pPr>
            <w:r>
              <w:rPr>
                <w:color w:val="000000"/>
                <w:sz w:val="24"/>
              </w:rPr>
              <w:t>BiGRU</w:t>
            </w:r>
          </w:p>
        </w:tc>
        <w:tc>
          <w:tcPr>
            <w:tcW w:w="1816" w:type="dxa"/>
            <w:tcBorders>
              <w:top w:val="nil"/>
              <w:left w:val="nil"/>
              <w:bottom w:val="nil"/>
              <w:right w:val="nil"/>
            </w:tcBorders>
            <w:shd w:val="clear" w:color="auto" w:fill="FFFFFF"/>
            <w:vAlign w:val="center"/>
          </w:tcPr>
          <w:p w14:paraId="6AA3567D">
            <w:pPr>
              <w:jc w:val="center"/>
              <w:rPr>
                <w:rFonts w:ascii="宋体"/>
                <w:color w:val="000000"/>
                <w:sz w:val="24"/>
              </w:rPr>
            </w:pPr>
            <w:r>
              <w:rPr>
                <w:rFonts w:hint="eastAsia"/>
                <w:color w:val="000000"/>
                <w:sz w:val="24"/>
              </w:rPr>
              <w:t>0.139808</w:t>
            </w:r>
          </w:p>
        </w:tc>
        <w:tc>
          <w:tcPr>
            <w:tcW w:w="1650" w:type="dxa"/>
            <w:tcBorders>
              <w:top w:val="nil"/>
              <w:left w:val="nil"/>
              <w:bottom w:val="nil"/>
              <w:right w:val="nil"/>
            </w:tcBorders>
            <w:shd w:val="clear" w:color="auto" w:fill="FFFFFF"/>
            <w:vAlign w:val="center"/>
          </w:tcPr>
          <w:p w14:paraId="1739FC8A">
            <w:pPr>
              <w:jc w:val="center"/>
              <w:rPr>
                <w:rFonts w:ascii="宋体"/>
                <w:color w:val="000000"/>
                <w:sz w:val="24"/>
              </w:rPr>
            </w:pPr>
            <w:r>
              <w:rPr>
                <w:rFonts w:hint="eastAsia"/>
                <w:color w:val="000000"/>
                <w:sz w:val="24"/>
              </w:rPr>
              <w:t>0.113517</w:t>
            </w:r>
          </w:p>
        </w:tc>
        <w:tc>
          <w:tcPr>
            <w:tcW w:w="1650" w:type="dxa"/>
            <w:tcBorders>
              <w:top w:val="nil"/>
              <w:left w:val="nil"/>
              <w:bottom w:val="nil"/>
              <w:right w:val="nil"/>
            </w:tcBorders>
            <w:shd w:val="clear" w:color="auto" w:fill="FFFFFF"/>
            <w:vAlign w:val="center"/>
          </w:tcPr>
          <w:p w14:paraId="2699E8AA">
            <w:pPr>
              <w:jc w:val="center"/>
              <w:rPr>
                <w:rFonts w:ascii="宋体"/>
                <w:color w:val="000000"/>
                <w:sz w:val="24"/>
              </w:rPr>
            </w:pPr>
            <w:r>
              <w:rPr>
                <w:rFonts w:hint="eastAsia"/>
                <w:color w:val="000000"/>
                <w:sz w:val="24"/>
              </w:rPr>
              <w:t>0.7926</w:t>
            </w:r>
          </w:p>
        </w:tc>
      </w:tr>
      <w:tr w14:paraId="0BE8C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5" w:type="dxa"/>
            <w:tcBorders>
              <w:top w:val="nil"/>
              <w:left w:val="nil"/>
              <w:bottom w:val="single" w:color="000000" w:sz="12" w:space="0"/>
              <w:right w:val="nil"/>
            </w:tcBorders>
            <w:shd w:val="clear" w:color="auto" w:fill="FFFFFF"/>
            <w:vAlign w:val="center"/>
          </w:tcPr>
          <w:p w14:paraId="2E58FB93">
            <w:pPr>
              <w:jc w:val="center"/>
              <w:rPr>
                <w:rFonts w:ascii="宋体"/>
                <w:b/>
                <w:bCs/>
                <w:color w:val="000000"/>
                <w:sz w:val="24"/>
              </w:rPr>
            </w:pPr>
            <w:r>
              <w:rPr>
                <w:b/>
                <w:bCs/>
                <w:color w:val="000000"/>
                <w:sz w:val="24"/>
              </w:rPr>
              <w:t>EMD</w:t>
            </w:r>
            <w:r>
              <w:rPr>
                <w:rFonts w:ascii="宋体"/>
                <w:b/>
                <w:bCs/>
                <w:color w:val="000000"/>
                <w:sz w:val="24"/>
              </w:rPr>
              <w:t>-</w:t>
            </w:r>
            <w:r>
              <w:rPr>
                <w:b/>
                <w:bCs/>
                <w:color w:val="000000"/>
                <w:sz w:val="24"/>
              </w:rPr>
              <w:t>BiGRU</w:t>
            </w:r>
          </w:p>
        </w:tc>
        <w:tc>
          <w:tcPr>
            <w:tcW w:w="1816" w:type="dxa"/>
            <w:tcBorders>
              <w:top w:val="nil"/>
              <w:left w:val="nil"/>
              <w:bottom w:val="single" w:color="000000" w:sz="12" w:space="0"/>
              <w:right w:val="nil"/>
            </w:tcBorders>
            <w:shd w:val="clear" w:color="auto" w:fill="FFFFFF"/>
            <w:vAlign w:val="center"/>
          </w:tcPr>
          <w:p w14:paraId="26B81257">
            <w:pPr>
              <w:jc w:val="center"/>
              <w:rPr>
                <w:rFonts w:ascii="宋体"/>
                <w:b/>
                <w:bCs/>
                <w:color w:val="000000"/>
                <w:sz w:val="24"/>
              </w:rPr>
            </w:pPr>
            <w:r>
              <w:rPr>
                <w:rFonts w:hint="eastAsia"/>
                <w:b/>
                <w:bCs/>
                <w:color w:val="000000"/>
                <w:sz w:val="24"/>
              </w:rPr>
              <w:t>0.071015</w:t>
            </w:r>
          </w:p>
        </w:tc>
        <w:tc>
          <w:tcPr>
            <w:tcW w:w="1650" w:type="dxa"/>
            <w:tcBorders>
              <w:top w:val="nil"/>
              <w:left w:val="nil"/>
              <w:bottom w:val="single" w:color="000000" w:sz="12" w:space="0"/>
              <w:right w:val="nil"/>
            </w:tcBorders>
            <w:shd w:val="clear" w:color="auto" w:fill="FFFFFF"/>
            <w:vAlign w:val="center"/>
          </w:tcPr>
          <w:p w14:paraId="7EA46892">
            <w:pPr>
              <w:jc w:val="center"/>
              <w:rPr>
                <w:rFonts w:ascii="宋体"/>
                <w:b/>
                <w:bCs/>
                <w:color w:val="000000"/>
                <w:sz w:val="24"/>
              </w:rPr>
            </w:pPr>
            <w:r>
              <w:rPr>
                <w:rFonts w:hint="eastAsia"/>
                <w:b/>
                <w:bCs/>
                <w:color w:val="000000"/>
                <w:sz w:val="24"/>
              </w:rPr>
              <w:t>0.051202</w:t>
            </w:r>
          </w:p>
        </w:tc>
        <w:tc>
          <w:tcPr>
            <w:tcW w:w="1650" w:type="dxa"/>
            <w:tcBorders>
              <w:top w:val="nil"/>
              <w:left w:val="nil"/>
              <w:bottom w:val="single" w:color="000000" w:sz="12" w:space="0"/>
              <w:right w:val="nil"/>
            </w:tcBorders>
            <w:shd w:val="clear" w:color="auto" w:fill="FFFFFF"/>
            <w:vAlign w:val="center"/>
          </w:tcPr>
          <w:p w14:paraId="044CA87F">
            <w:pPr>
              <w:jc w:val="center"/>
              <w:rPr>
                <w:rFonts w:ascii="宋体"/>
                <w:b/>
                <w:bCs/>
                <w:color w:val="000000"/>
                <w:sz w:val="24"/>
              </w:rPr>
            </w:pPr>
            <w:r>
              <w:rPr>
                <w:rFonts w:hint="eastAsia"/>
                <w:b/>
                <w:bCs/>
                <w:color w:val="000000"/>
                <w:sz w:val="24"/>
              </w:rPr>
              <w:t>0.9465</w:t>
            </w:r>
          </w:p>
        </w:tc>
      </w:tr>
    </w:tbl>
    <w:p w14:paraId="7B7CF184">
      <w:pPr>
        <w:pStyle w:val="27"/>
        <w:ind w:firstLine="480"/>
        <w:jc w:val="center"/>
      </w:pPr>
    </w:p>
    <w:p w14:paraId="034A41AE">
      <w:pPr>
        <w:pStyle w:val="27"/>
        <w:keepNext/>
        <w:ind w:firstLine="480"/>
        <w:jc w:val="center"/>
      </w:pPr>
      <w:r>
        <w:drawing>
          <wp:inline distT="0" distB="0" distL="114300" distR="114300">
            <wp:extent cx="4011930" cy="2507615"/>
            <wp:effectExtent l="0" t="0" r="11430" b="6985"/>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26"/>
                    <a:stretch>
                      <a:fillRect/>
                    </a:stretch>
                  </pic:blipFill>
                  <pic:spPr>
                    <a:xfrm>
                      <a:off x="0" y="0"/>
                      <a:ext cx="4011930" cy="2507615"/>
                    </a:xfrm>
                    <a:prstGeom prst="rect">
                      <a:avLst/>
                    </a:prstGeom>
                    <a:noFill/>
                    <a:ln>
                      <a:noFill/>
                    </a:ln>
                  </pic:spPr>
                </pic:pic>
              </a:graphicData>
            </a:graphic>
          </wp:inline>
        </w:drawing>
      </w:r>
    </w:p>
    <w:p w14:paraId="52C652E7">
      <w:pPr>
        <w:pStyle w:val="7"/>
        <w:jc w:val="center"/>
        <w:rPr>
          <w:rFonts w:hint="eastAsia" w:ascii="宋体" w:hAnsi="宋体" w:cs="Times New Roman" w:eastAsiaTheme="minorEastAsia"/>
          <w:sz w:val="21"/>
          <w:szCs w:val="24"/>
        </w:rPr>
      </w:pPr>
      <w:bookmarkStart w:id="286" w:name="_Ref227196051"/>
      <w:bookmarkStart w:id="287" w:name="_Ref227195964"/>
      <w:r>
        <w:rPr>
          <w:rFonts w:hint="eastAsia" w:ascii="宋体" w:hAnsi="宋体" w:cs="Times New Roman" w:eastAsiaTheme="minorEastAsia"/>
          <w:sz w:val="21"/>
          <w:szCs w:val="24"/>
        </w:rPr>
        <w:t>图</w:t>
      </w:r>
      <w:r>
        <w:rPr>
          <w:rFonts w:hint="eastAsia" w:ascii="Times New Roman" w:hAnsi="Times New Roman" w:cs="Times New Roman" w:eastAsiaTheme="minorEastAsia"/>
          <w:sz w:val="21"/>
          <w:szCs w:val="24"/>
        </w:rPr>
        <w:t>5.</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图5.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Times New Roman" w:hAnsi="Times New Roman" w:cs="Times New Roman" w:eastAsiaTheme="minorEastAsia"/>
          <w:sz w:val="21"/>
          <w:szCs w:val="24"/>
        </w:rPr>
        <w:t>1</w:t>
      </w:r>
      <w:r>
        <w:rPr>
          <w:rFonts w:ascii="宋体" w:hAnsi="宋体" w:cs="Times New Roman" w:eastAsiaTheme="minorEastAsia"/>
          <w:sz w:val="21"/>
          <w:szCs w:val="24"/>
        </w:rPr>
        <w:fldChar w:fldCharType="end"/>
      </w:r>
      <w:bookmarkEnd w:id="286"/>
      <w:r>
        <w:rPr>
          <w:rFonts w:hint="eastAsia" w:ascii="宋体" w:hAnsi="宋体" w:cs="Times New Roman" w:eastAsiaTheme="minorEastAsia"/>
          <w:sz w:val="21"/>
          <w:szCs w:val="24"/>
        </w:rPr>
        <w:t xml:space="preserve"> 各模型 </w:t>
      </w:r>
      <w:r>
        <w:rPr>
          <w:rFonts w:hint="eastAsia" w:ascii="Times New Roman" w:hAnsi="Times New Roman" w:cs="Times New Roman" w:eastAsiaTheme="minorEastAsia"/>
          <w:sz w:val="21"/>
          <w:szCs w:val="24"/>
        </w:rPr>
        <w:t>RMSE</w:t>
      </w:r>
      <w:r>
        <w:rPr>
          <w:rFonts w:hint="eastAsia" w:ascii="宋体" w:hAnsi="宋体" w:cs="Times New Roman" w:eastAsiaTheme="minorEastAsia"/>
          <w:sz w:val="21"/>
          <w:szCs w:val="24"/>
        </w:rPr>
        <w:t xml:space="preserve"> 指标对比图</w:t>
      </w:r>
      <w:bookmarkEnd w:id="287"/>
    </w:p>
    <w:p w14:paraId="1D674595">
      <w:pPr>
        <w:pStyle w:val="27"/>
        <w:keepNext/>
        <w:ind w:firstLine="480"/>
        <w:jc w:val="center"/>
      </w:pPr>
      <w:r>
        <w:drawing>
          <wp:inline distT="0" distB="0" distL="114300" distR="114300">
            <wp:extent cx="3985260" cy="2490470"/>
            <wp:effectExtent l="0" t="0" r="7620" b="8890"/>
            <wp:docPr id="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
                    <pic:cNvPicPr>
                      <a:picLocks noChangeAspect="1"/>
                    </pic:cNvPicPr>
                  </pic:nvPicPr>
                  <pic:blipFill>
                    <a:blip r:embed="rId27"/>
                    <a:stretch>
                      <a:fillRect/>
                    </a:stretch>
                  </pic:blipFill>
                  <pic:spPr>
                    <a:xfrm>
                      <a:off x="0" y="0"/>
                      <a:ext cx="3985260" cy="2490470"/>
                    </a:xfrm>
                    <a:prstGeom prst="rect">
                      <a:avLst/>
                    </a:prstGeom>
                    <a:noFill/>
                    <a:ln>
                      <a:noFill/>
                    </a:ln>
                  </pic:spPr>
                </pic:pic>
              </a:graphicData>
            </a:graphic>
          </wp:inline>
        </w:drawing>
      </w:r>
    </w:p>
    <w:p w14:paraId="1DE5318F">
      <w:pPr>
        <w:pStyle w:val="7"/>
        <w:jc w:val="center"/>
        <w:rPr>
          <w:rFonts w:hint="eastAsia" w:ascii="宋体" w:hAnsi="宋体" w:cs="Times New Roman" w:eastAsiaTheme="minorEastAsia"/>
          <w:sz w:val="21"/>
          <w:szCs w:val="24"/>
        </w:rPr>
      </w:pPr>
      <w:r>
        <w:rPr>
          <w:rFonts w:hint="eastAsia" w:ascii="宋体" w:hAnsi="宋体" w:cs="Times New Roman" w:eastAsiaTheme="minorEastAsia"/>
          <w:sz w:val="21"/>
          <w:szCs w:val="24"/>
        </w:rPr>
        <w:t>图</w:t>
      </w:r>
      <w:r>
        <w:rPr>
          <w:rFonts w:hint="eastAsia" w:ascii="Times New Roman" w:hAnsi="Times New Roman" w:cs="Times New Roman" w:eastAsiaTheme="minorEastAsia"/>
          <w:sz w:val="21"/>
          <w:szCs w:val="24"/>
        </w:rPr>
        <w:t>5.</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图5.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Times New Roman" w:hAnsi="Times New Roman" w:cs="Times New Roman" w:eastAsiaTheme="minorEastAsia"/>
          <w:sz w:val="21"/>
          <w:szCs w:val="24"/>
        </w:rPr>
        <w:t>2</w:t>
      </w:r>
      <w:r>
        <w:rPr>
          <w:rFonts w:ascii="宋体" w:hAnsi="宋体" w:cs="Times New Roman" w:eastAsiaTheme="minorEastAsia"/>
          <w:sz w:val="21"/>
          <w:szCs w:val="24"/>
        </w:rPr>
        <w:fldChar w:fldCharType="end"/>
      </w:r>
      <w:r>
        <w:rPr>
          <w:rFonts w:hint="eastAsia" w:ascii="宋体" w:hAnsi="宋体" w:cs="Times New Roman" w:eastAsiaTheme="minorEastAsia"/>
          <w:sz w:val="21"/>
          <w:szCs w:val="24"/>
        </w:rPr>
        <w:t xml:space="preserve">各模型 </w:t>
      </w:r>
      <w:r>
        <w:rPr>
          <w:rFonts w:hint="eastAsia" w:ascii="Times New Roman" w:hAnsi="Times New Roman" w:cs="Times New Roman" w:eastAsiaTheme="minorEastAsia"/>
          <w:sz w:val="21"/>
          <w:szCs w:val="24"/>
        </w:rPr>
        <w:t>MAE</w:t>
      </w:r>
      <w:r>
        <w:rPr>
          <w:rFonts w:hint="eastAsia" w:ascii="宋体" w:hAnsi="宋体" w:cs="Times New Roman" w:eastAsiaTheme="minorEastAsia"/>
          <w:sz w:val="21"/>
          <w:szCs w:val="24"/>
        </w:rPr>
        <w:t xml:space="preserve"> 指标对比图</w:t>
      </w:r>
    </w:p>
    <w:p w14:paraId="7CAAF8E9">
      <w:pPr>
        <w:pStyle w:val="27"/>
        <w:tabs>
          <w:tab w:val="center" w:pos="4745"/>
          <w:tab w:val="left" w:pos="7488"/>
        </w:tabs>
        <w:ind w:firstLine="420"/>
        <w:jc w:val="left"/>
        <w:rPr>
          <w:rFonts w:hint="eastAsia" w:ascii="宋体" w:hAnsi="宋体" w:eastAsiaTheme="minorEastAsia"/>
          <w:sz w:val="21"/>
        </w:rPr>
      </w:pPr>
    </w:p>
    <w:p w14:paraId="461C0B2A">
      <w:pPr>
        <w:pStyle w:val="27"/>
        <w:keepNext/>
        <w:ind w:firstLine="480"/>
        <w:jc w:val="center"/>
      </w:pPr>
      <w:r>
        <w:drawing>
          <wp:inline distT="0" distB="0" distL="114300" distR="114300">
            <wp:extent cx="3931920" cy="2457450"/>
            <wp:effectExtent l="0" t="0" r="0" b="11430"/>
            <wp:docPr id="2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
                    <pic:cNvPicPr>
                      <a:picLocks noChangeAspect="1"/>
                    </pic:cNvPicPr>
                  </pic:nvPicPr>
                  <pic:blipFill>
                    <a:blip r:embed="rId28"/>
                    <a:stretch>
                      <a:fillRect/>
                    </a:stretch>
                  </pic:blipFill>
                  <pic:spPr>
                    <a:xfrm>
                      <a:off x="0" y="0"/>
                      <a:ext cx="3931920" cy="2457450"/>
                    </a:xfrm>
                    <a:prstGeom prst="rect">
                      <a:avLst/>
                    </a:prstGeom>
                    <a:noFill/>
                    <a:ln>
                      <a:noFill/>
                    </a:ln>
                  </pic:spPr>
                </pic:pic>
              </a:graphicData>
            </a:graphic>
          </wp:inline>
        </w:drawing>
      </w:r>
    </w:p>
    <w:p w14:paraId="3CE5224D">
      <w:pPr>
        <w:pStyle w:val="7"/>
        <w:jc w:val="center"/>
        <w:rPr>
          <w:rFonts w:hint="eastAsia" w:ascii="宋体" w:hAnsi="宋体" w:cs="Times New Roman" w:eastAsiaTheme="minorEastAsia"/>
          <w:sz w:val="21"/>
          <w:szCs w:val="24"/>
        </w:rPr>
      </w:pPr>
      <w:bookmarkStart w:id="288" w:name="_Ref227196063"/>
      <w:r>
        <w:rPr>
          <w:rFonts w:hint="eastAsia" w:ascii="宋体" w:hAnsi="宋体" w:cs="Times New Roman" w:eastAsiaTheme="minorEastAsia"/>
          <w:sz w:val="21"/>
          <w:szCs w:val="24"/>
        </w:rPr>
        <w:t>图</w:t>
      </w:r>
      <w:r>
        <w:rPr>
          <w:rFonts w:hint="eastAsia" w:ascii="Times New Roman" w:hAnsi="Times New Roman" w:cs="Times New Roman" w:eastAsiaTheme="minorEastAsia"/>
          <w:sz w:val="21"/>
          <w:szCs w:val="24"/>
        </w:rPr>
        <w:t>5.</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图5.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Times New Roman" w:hAnsi="Times New Roman" w:cs="Times New Roman" w:eastAsiaTheme="minorEastAsia"/>
          <w:sz w:val="21"/>
          <w:szCs w:val="24"/>
        </w:rPr>
        <w:t>3</w:t>
      </w:r>
      <w:r>
        <w:rPr>
          <w:rFonts w:ascii="宋体" w:hAnsi="宋体" w:cs="Times New Roman" w:eastAsiaTheme="minorEastAsia"/>
          <w:sz w:val="21"/>
          <w:szCs w:val="24"/>
        </w:rPr>
        <w:fldChar w:fldCharType="end"/>
      </w:r>
      <w:bookmarkEnd w:id="288"/>
      <w:r>
        <w:rPr>
          <w:rFonts w:hint="eastAsia" w:ascii="宋体" w:hAnsi="宋体" w:cs="Times New Roman" w:eastAsiaTheme="minorEastAsia"/>
          <w:sz w:val="21"/>
          <w:szCs w:val="24"/>
        </w:rPr>
        <w:t xml:space="preserve"> 各模型 </w:t>
      </w:r>
      <w:r>
        <w:rPr>
          <w:rFonts w:hint="eastAsia" w:ascii="Times New Roman" w:hAnsi="Times New Roman" w:cs="Times New Roman" w:eastAsiaTheme="minorEastAsia"/>
          <w:sz w:val="21"/>
          <w:szCs w:val="24"/>
        </w:rPr>
        <w:t>R</w:t>
      </w:r>
      <w:r>
        <w:rPr>
          <w:rFonts w:hint="eastAsia" w:ascii="宋体" w:hAnsi="宋体" w:cs="Times New Roman" w:eastAsiaTheme="minorEastAsia"/>
          <w:sz w:val="21"/>
          <w:szCs w:val="24"/>
        </w:rPr>
        <w:t>² 指标对比图</w:t>
      </w:r>
    </w:p>
    <w:p w14:paraId="3D61A7DC">
      <w:pPr>
        <w:pStyle w:val="27"/>
        <w:ind w:firstLine="0" w:firstLineChars="0"/>
      </w:pPr>
    </w:p>
    <w:bookmarkEnd w:id="285"/>
    <w:p w14:paraId="66716C20">
      <w:pPr>
        <w:pStyle w:val="27"/>
        <w:ind w:firstLine="480"/>
      </w:pPr>
      <w:bookmarkStart w:id="289" w:name="uc7021ae1"/>
      <w:r>
        <w:rPr>
          <w:rFonts w:hint="eastAsia"/>
        </w:rPr>
        <w:t>回过头来看这几组数据，模型性能的递进逻辑其实非常清晰。 RNN 就像是一个记忆力较弱的初学者，在处理这类长序列时显得有些力不从心。而一旦引入了双向门控机制和 EMD 分解，整个预测效果便发生了质的飞跃。 实际效果如何？拿 EMD-BiGRU 与它的“近亲”BiGRU 相比，RMSE 直接砍掉了将近一半（49.21%），MAE 的降幅更是惊人地达到了 54.89%。 这种跨越式的精度提升，或许正是因为 EMD 成功帮模型“过滤”掉了那些恼人的非平稳干扰，让网络能专心学习真正的功率波动规律。通过横向对比可知，EMD-BiGRU 模型的 RMSE 低至0.071015，MAE 低至0.051202，两项误差指标均为所有模型中最低；</w:t>
      </w:r>
      <w:r>
        <w:t xml:space="preserve">R² </w:t>
      </w:r>
      <w:r>
        <w:rPr>
          <w:rFonts w:hint="eastAsia"/>
        </w:rPr>
        <w:t>达到0.9465，具备最优的数据拟合能力与趋势解释能力。</w:t>
      </w:r>
    </w:p>
    <w:bookmarkEnd w:id="289"/>
    <w:p w14:paraId="284DF339">
      <w:pPr>
        <w:pStyle w:val="25"/>
        <w:spacing w:before="156" w:after="156"/>
      </w:pPr>
      <w:bookmarkStart w:id="290" w:name="609a586a"/>
      <w:r>
        <w:t xml:space="preserve"> </w:t>
      </w:r>
      <w:bookmarkStart w:id="291" w:name="_Toc17843"/>
      <w:bookmarkStart w:id="292" w:name="_Toc18067"/>
      <w:bookmarkStart w:id="293" w:name="_Toc227161730"/>
      <w:bookmarkStart w:id="294" w:name="_Toc19798"/>
      <w:r>
        <w:t>预测曲线对比分析</w:t>
      </w:r>
      <w:bookmarkEnd w:id="291"/>
      <w:bookmarkEnd w:id="292"/>
      <w:bookmarkEnd w:id="293"/>
      <w:bookmarkEnd w:id="294"/>
    </w:p>
    <w:bookmarkEnd w:id="290"/>
    <w:p w14:paraId="5178A540">
      <w:pPr>
        <w:pStyle w:val="27"/>
        <w:ind w:firstLine="480"/>
      </w:pPr>
      <w:bookmarkStart w:id="295" w:name="u2f787f6e"/>
      <w:r>
        <w:t>为从不同角度观察对比模型的拟合效果，利用相关工具绘制真实功率与各模型预测功率时许对比曲线，如</w:t>
      </w:r>
      <w:r>
        <w:fldChar w:fldCharType="begin"/>
      </w:r>
      <w:r>
        <w:instrText xml:space="preserve"> REF _Ref227196864 \h  \* MERGEFORMAT </w:instrText>
      </w:r>
      <w:r>
        <w:fldChar w:fldCharType="separate"/>
      </w:r>
      <w:r>
        <w:rPr>
          <w:rFonts w:hint="eastAsia"/>
        </w:rPr>
        <w:t>图5.</w:t>
      </w:r>
      <w:r>
        <w:t>4</w:t>
      </w:r>
      <w:r>
        <w:fldChar w:fldCharType="end"/>
      </w:r>
      <w:r>
        <w:rPr>
          <w:rFonts w:hint="eastAsia"/>
        </w:rPr>
        <w:t>、</w:t>
      </w:r>
      <w:r>
        <w:fldChar w:fldCharType="begin"/>
      </w:r>
      <w:r>
        <w:instrText xml:space="preserve"> REF _Ref227196865 \h  \* MERGEFORMAT </w:instrText>
      </w:r>
      <w:r>
        <w:fldChar w:fldCharType="separate"/>
      </w:r>
      <w:r>
        <w:rPr>
          <w:rFonts w:hint="eastAsia"/>
        </w:rPr>
        <w:t>图5.</w:t>
      </w:r>
      <w:r>
        <w:t>5</w:t>
      </w:r>
      <w:r>
        <w:fldChar w:fldCharType="end"/>
      </w:r>
      <w:r>
        <w:rPr>
          <w:rFonts w:hint="eastAsia"/>
        </w:rPr>
        <w:t>：</w:t>
      </w:r>
    </w:p>
    <w:p w14:paraId="1C687666">
      <w:pPr>
        <w:pStyle w:val="27"/>
        <w:keepNext/>
        <w:ind w:firstLine="480"/>
        <w:jc w:val="left"/>
      </w:pPr>
      <w:r>
        <w:drawing>
          <wp:inline distT="0" distB="0" distL="114300" distR="114300">
            <wp:extent cx="4954905" cy="1981835"/>
            <wp:effectExtent l="0" t="0" r="13335" b="14605"/>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29"/>
                    <a:stretch>
                      <a:fillRect/>
                    </a:stretch>
                  </pic:blipFill>
                  <pic:spPr>
                    <a:xfrm>
                      <a:off x="0" y="0"/>
                      <a:ext cx="4954905" cy="1981835"/>
                    </a:xfrm>
                    <a:prstGeom prst="rect">
                      <a:avLst/>
                    </a:prstGeom>
                    <a:noFill/>
                    <a:ln>
                      <a:noFill/>
                    </a:ln>
                  </pic:spPr>
                </pic:pic>
              </a:graphicData>
            </a:graphic>
          </wp:inline>
        </w:drawing>
      </w:r>
    </w:p>
    <w:p w14:paraId="6E92DAFA">
      <w:pPr>
        <w:pStyle w:val="7"/>
        <w:jc w:val="center"/>
        <w:rPr>
          <w:rFonts w:hint="eastAsia" w:ascii="宋体" w:hAnsi="宋体" w:cs="Times New Roman" w:eastAsiaTheme="minorEastAsia"/>
          <w:sz w:val="21"/>
          <w:szCs w:val="24"/>
        </w:rPr>
      </w:pPr>
      <w:bookmarkStart w:id="296" w:name="_Ref227196864"/>
      <w:r>
        <w:rPr>
          <w:rFonts w:hint="eastAsia" w:ascii="宋体" w:hAnsi="宋体" w:cs="Times New Roman" w:eastAsiaTheme="minorEastAsia"/>
          <w:sz w:val="21"/>
          <w:szCs w:val="24"/>
        </w:rPr>
        <w:t>图</w:t>
      </w:r>
      <w:r>
        <w:rPr>
          <w:rFonts w:hint="eastAsia" w:ascii="Times New Roman" w:hAnsi="Times New Roman" w:cs="Times New Roman" w:eastAsiaTheme="minorEastAsia"/>
          <w:sz w:val="21"/>
          <w:szCs w:val="24"/>
        </w:rPr>
        <w:t>5.</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图5.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Times New Roman" w:hAnsi="Times New Roman" w:cs="Times New Roman" w:eastAsiaTheme="minorEastAsia"/>
          <w:sz w:val="21"/>
          <w:szCs w:val="24"/>
        </w:rPr>
        <w:t>4</w:t>
      </w:r>
      <w:r>
        <w:rPr>
          <w:rFonts w:ascii="宋体" w:hAnsi="宋体" w:cs="Times New Roman" w:eastAsiaTheme="minorEastAsia"/>
          <w:sz w:val="21"/>
          <w:szCs w:val="24"/>
        </w:rPr>
        <w:fldChar w:fldCharType="end"/>
      </w:r>
      <w:bookmarkEnd w:id="296"/>
      <w:r>
        <w:rPr>
          <w:rFonts w:hint="eastAsia" w:ascii="宋体" w:hAnsi="宋体" w:cs="Times New Roman" w:eastAsiaTheme="minorEastAsia"/>
          <w:sz w:val="21"/>
          <w:szCs w:val="24"/>
        </w:rPr>
        <w:t xml:space="preserve"> 预测曲线多模型对比</w:t>
      </w:r>
    </w:p>
    <w:p w14:paraId="12E7A44E">
      <w:pPr>
        <w:pStyle w:val="27"/>
        <w:ind w:firstLine="480"/>
      </w:pPr>
    </w:p>
    <w:p w14:paraId="5B9704FF">
      <w:pPr>
        <w:pStyle w:val="27"/>
        <w:keepNext/>
        <w:ind w:firstLine="480"/>
        <w:jc w:val="left"/>
      </w:pPr>
      <w:r>
        <w:drawing>
          <wp:inline distT="0" distB="0" distL="114300" distR="114300">
            <wp:extent cx="5022850" cy="2152650"/>
            <wp:effectExtent l="0" t="0" r="6350" b="1143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30"/>
                    <a:stretch>
                      <a:fillRect/>
                    </a:stretch>
                  </pic:blipFill>
                  <pic:spPr>
                    <a:xfrm>
                      <a:off x="0" y="0"/>
                      <a:ext cx="5022850" cy="2152650"/>
                    </a:xfrm>
                    <a:prstGeom prst="rect">
                      <a:avLst/>
                    </a:prstGeom>
                    <a:noFill/>
                    <a:ln>
                      <a:noFill/>
                    </a:ln>
                  </pic:spPr>
                </pic:pic>
              </a:graphicData>
            </a:graphic>
          </wp:inline>
        </w:drawing>
      </w:r>
    </w:p>
    <w:p w14:paraId="4BA7A179">
      <w:pPr>
        <w:pStyle w:val="7"/>
        <w:jc w:val="center"/>
        <w:rPr>
          <w:rFonts w:hint="eastAsia" w:ascii="宋体" w:hAnsi="宋体" w:cs="Times New Roman" w:eastAsiaTheme="minorEastAsia"/>
          <w:sz w:val="21"/>
          <w:szCs w:val="24"/>
        </w:rPr>
      </w:pPr>
      <w:bookmarkStart w:id="297" w:name="_Ref227196865"/>
      <w:r>
        <w:rPr>
          <w:rFonts w:hint="eastAsia" w:ascii="宋体" w:hAnsi="宋体" w:cs="Times New Roman" w:eastAsiaTheme="minorEastAsia"/>
          <w:sz w:val="21"/>
          <w:szCs w:val="24"/>
        </w:rPr>
        <w:t>图</w:t>
      </w:r>
      <w:r>
        <w:rPr>
          <w:rFonts w:hint="eastAsia" w:ascii="Times New Roman" w:hAnsi="Times New Roman" w:cs="Times New Roman" w:eastAsiaTheme="minorEastAsia"/>
          <w:sz w:val="21"/>
          <w:szCs w:val="24"/>
        </w:rPr>
        <w:t>5.</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图5.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Times New Roman" w:hAnsi="Times New Roman" w:cs="Times New Roman" w:eastAsiaTheme="minorEastAsia"/>
          <w:sz w:val="21"/>
          <w:szCs w:val="24"/>
        </w:rPr>
        <w:t>5</w:t>
      </w:r>
      <w:r>
        <w:rPr>
          <w:rFonts w:ascii="宋体" w:hAnsi="宋体" w:cs="Times New Roman" w:eastAsiaTheme="minorEastAsia"/>
          <w:sz w:val="21"/>
          <w:szCs w:val="24"/>
        </w:rPr>
        <w:fldChar w:fldCharType="end"/>
      </w:r>
      <w:bookmarkEnd w:id="297"/>
      <w:r>
        <w:rPr>
          <w:rFonts w:hint="eastAsia" w:ascii="宋体" w:hAnsi="宋体" w:cs="Times New Roman" w:eastAsiaTheme="minorEastAsia"/>
          <w:sz w:val="21"/>
          <w:szCs w:val="24"/>
        </w:rPr>
        <w:t xml:space="preserve"> 局部最优</w:t>
      </w:r>
      <w:r>
        <w:rPr>
          <w:rFonts w:hint="eastAsia" w:ascii="Times New Roman" w:hAnsi="Times New Roman" w:cs="Times New Roman" w:eastAsiaTheme="minorEastAsia"/>
          <w:sz w:val="21"/>
          <w:szCs w:val="24"/>
        </w:rPr>
        <w:t>100</w:t>
      </w:r>
      <w:r>
        <w:rPr>
          <w:rFonts w:hint="eastAsia" w:ascii="宋体" w:hAnsi="宋体" w:cs="Times New Roman" w:eastAsiaTheme="minorEastAsia"/>
          <w:sz w:val="21"/>
          <w:szCs w:val="24"/>
        </w:rPr>
        <w:t>点多模型对比</w:t>
      </w:r>
    </w:p>
    <w:p w14:paraId="78EA7BF1">
      <w:pPr>
        <w:pStyle w:val="27"/>
        <w:ind w:firstLine="480"/>
      </w:pPr>
    </w:p>
    <w:bookmarkEnd w:id="295"/>
    <w:p w14:paraId="56A1B659">
      <w:pPr>
        <w:pStyle w:val="27"/>
        <w:ind w:firstLine="480"/>
      </w:pPr>
      <w:bookmarkStart w:id="298" w:name="u6cca9904"/>
      <w:r>
        <w:t>经过观察，从整体出发，真实功率曲线波动比较频繁，可能是昼夜周期和天气扰动所致。RNN、LSTM、等模型在数据波动处偏离真实值比较大，特别是在太阳辐射强度降低，也就是云层突变时，光伏功率快速下降，模型跟踪变化能力较弱。但是BiGRU在这方面表现相对较好，相对贴近真实情况。EMD-BiGRU曲线与真实曲线基本重合，不管是数据突变、达到峰值、稳定不变的情况，EMD-BiGRU都能应对自如，具有良好的跟踪能力。</w:t>
      </w:r>
    </w:p>
    <w:bookmarkEnd w:id="298"/>
    <w:p w14:paraId="14DD6075">
      <w:pPr>
        <w:pStyle w:val="27"/>
        <w:ind w:firstLine="480"/>
      </w:pPr>
      <w:bookmarkStart w:id="299" w:name="u97c56149"/>
      <w:r>
        <w:t>结果表明，EMD通过分解复杂的变化序列为简单平稳分量，使得BiGRU能够更精确地捕捉到光伏功率的波动变化规律，从而在视觉上呈现出更优秀的预测效果。</w:t>
      </w:r>
    </w:p>
    <w:p w14:paraId="0BCA201B">
      <w:pPr>
        <w:pStyle w:val="25"/>
        <w:spacing w:before="156" w:after="156"/>
      </w:pPr>
      <w:r>
        <w:t xml:space="preserve"> </w:t>
      </w:r>
      <w:bookmarkStart w:id="300" w:name="_Toc227161731"/>
      <w:bookmarkStart w:id="301" w:name="_Toc7730"/>
      <w:bookmarkStart w:id="302" w:name="_Toc481"/>
      <w:bookmarkStart w:id="303" w:name="_Toc7144"/>
      <w:r>
        <w:t>EMD 模态分解结果与物理机理映射</w:t>
      </w:r>
      <w:bookmarkEnd w:id="300"/>
      <w:bookmarkEnd w:id="301"/>
      <w:bookmarkEnd w:id="302"/>
      <w:bookmarkEnd w:id="303"/>
    </w:p>
    <w:p w14:paraId="643E56BE">
      <w:pPr>
        <w:pStyle w:val="27"/>
        <w:ind w:firstLine="480"/>
      </w:pPr>
      <w:r>
        <w:t>对测试集功率序列执行 EMD 分解，得到4个 IMF 分量与1个残余分量。 从物理机理分析：IMF1 与 IMF2 表现为高频剧烈振荡，映射了由云层遮挡等引起的短期波动。IMF3 与 IMF4 呈现出中长周期特性，反映了昼夜更替。残余分量揭示了长远趋势。这种分解极大缓解了单一网络处理强随机序列时的“模态混叠”问题。</w:t>
      </w:r>
    </w:p>
    <w:p w14:paraId="469293EF">
      <w:pPr>
        <w:pStyle w:val="27"/>
        <w:keepNext/>
        <w:ind w:firstLine="480"/>
      </w:pPr>
      <w:r>
        <w:drawing>
          <wp:inline distT="0" distB="0" distL="114300" distR="114300">
            <wp:extent cx="4906010" cy="3270885"/>
            <wp:effectExtent l="0" t="0" r="1270" b="5715"/>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31"/>
                    <a:stretch>
                      <a:fillRect/>
                    </a:stretch>
                  </pic:blipFill>
                  <pic:spPr>
                    <a:xfrm>
                      <a:off x="0" y="0"/>
                      <a:ext cx="4906010" cy="3270885"/>
                    </a:xfrm>
                    <a:prstGeom prst="rect">
                      <a:avLst/>
                    </a:prstGeom>
                    <a:noFill/>
                    <a:ln>
                      <a:noFill/>
                    </a:ln>
                  </pic:spPr>
                </pic:pic>
              </a:graphicData>
            </a:graphic>
          </wp:inline>
        </w:drawing>
      </w:r>
    </w:p>
    <w:p w14:paraId="00421AA9">
      <w:pPr>
        <w:pStyle w:val="7"/>
        <w:jc w:val="center"/>
        <w:rPr>
          <w:rFonts w:hint="eastAsia" w:ascii="宋体" w:hAnsi="宋体" w:cs="Times New Roman" w:eastAsiaTheme="minorEastAsia"/>
          <w:sz w:val="21"/>
          <w:szCs w:val="24"/>
        </w:rPr>
      </w:pPr>
      <w:r>
        <w:rPr>
          <w:rFonts w:hint="eastAsia" w:ascii="宋体" w:hAnsi="宋体" w:cs="Times New Roman" w:eastAsiaTheme="minorEastAsia"/>
          <w:sz w:val="21"/>
          <w:szCs w:val="24"/>
        </w:rPr>
        <w:t>图</w:t>
      </w:r>
      <w:r>
        <w:rPr>
          <w:rFonts w:hint="eastAsia" w:ascii="Times New Roman" w:hAnsi="Times New Roman" w:cs="Times New Roman" w:eastAsiaTheme="minorEastAsia"/>
          <w:sz w:val="21"/>
          <w:szCs w:val="24"/>
        </w:rPr>
        <w:t>5.</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图5.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Times New Roman" w:hAnsi="Times New Roman" w:cs="Times New Roman" w:eastAsiaTheme="minorEastAsia"/>
          <w:sz w:val="21"/>
          <w:szCs w:val="24"/>
        </w:rPr>
        <w:t>6</w:t>
      </w:r>
      <w:r>
        <w:rPr>
          <w:rFonts w:ascii="宋体" w:hAnsi="宋体" w:cs="Times New Roman" w:eastAsiaTheme="minorEastAsia"/>
          <w:sz w:val="21"/>
          <w:szCs w:val="24"/>
        </w:rPr>
        <w:fldChar w:fldCharType="end"/>
      </w:r>
      <w:r>
        <w:rPr>
          <w:rFonts w:hint="eastAsia" w:ascii="宋体" w:hAnsi="宋体" w:cs="Times New Roman" w:eastAsiaTheme="minorEastAsia"/>
          <w:sz w:val="21"/>
          <w:szCs w:val="24"/>
        </w:rPr>
        <w:t xml:space="preserve"> </w:t>
      </w:r>
      <w:r>
        <w:rPr>
          <w:rFonts w:hint="eastAsia" w:ascii="Times New Roman" w:hAnsi="Times New Roman" w:cs="Times New Roman" w:eastAsiaTheme="minorEastAsia"/>
          <w:sz w:val="21"/>
          <w:szCs w:val="24"/>
        </w:rPr>
        <w:t>EMD</w:t>
      </w:r>
      <w:r>
        <w:rPr>
          <w:rFonts w:hint="eastAsia" w:ascii="宋体" w:hAnsi="宋体" w:cs="Times New Roman" w:eastAsiaTheme="minorEastAsia"/>
          <w:sz w:val="21"/>
          <w:szCs w:val="24"/>
        </w:rPr>
        <w:t>分解图</w:t>
      </w:r>
    </w:p>
    <w:p w14:paraId="030568EA">
      <w:pPr>
        <w:pStyle w:val="27"/>
        <w:ind w:firstLine="480"/>
      </w:pPr>
    </w:p>
    <w:bookmarkEnd w:id="299"/>
    <w:p w14:paraId="0196903C">
      <w:pPr>
        <w:pStyle w:val="25"/>
        <w:spacing w:before="156" w:after="156"/>
      </w:pPr>
      <w:bookmarkStart w:id="304" w:name="f50be0de"/>
      <w:r>
        <w:t xml:space="preserve"> </w:t>
      </w:r>
      <w:bookmarkStart w:id="305" w:name="_Toc28469"/>
      <w:bookmarkStart w:id="306" w:name="_Toc227161732"/>
      <w:bookmarkStart w:id="307" w:name="_Toc14409"/>
      <w:bookmarkStart w:id="308" w:name="_Toc9414"/>
      <w:r>
        <w:t>模型损失曲线分析</w:t>
      </w:r>
      <w:bookmarkEnd w:id="305"/>
      <w:bookmarkEnd w:id="306"/>
      <w:bookmarkEnd w:id="307"/>
      <w:bookmarkEnd w:id="308"/>
    </w:p>
    <w:bookmarkEnd w:id="304"/>
    <w:p w14:paraId="08280AA1">
      <w:pPr>
        <w:pStyle w:val="27"/>
        <w:ind w:firstLine="480"/>
      </w:pPr>
      <w:bookmarkStart w:id="309" w:name="u42794d2c"/>
      <w:r>
        <w:t>训练过程中往往会出线过拟合情况，一般会利用训练损失与验证损失曲线观察这种现象。本文的EMD-BiGRU模型损失曲线如下。</w:t>
      </w:r>
    </w:p>
    <w:bookmarkEnd w:id="309"/>
    <w:p w14:paraId="032C88F6">
      <w:pPr>
        <w:pStyle w:val="27"/>
        <w:ind w:firstLine="480"/>
      </w:pPr>
      <w:bookmarkStart w:id="310" w:name="u2a7ba163"/>
      <w:r>
        <w:t>整个曲线呈现出3个特点：第一，训练初期损失快速下降，模型迅速逼近数据真实表现；第二，验证损失同步下降，且具有单调递减的特征；第三，训练后期损失逐渐平缓，没有发生过拟合的明显迹象。</w:t>
      </w:r>
    </w:p>
    <w:bookmarkEnd w:id="310"/>
    <w:p w14:paraId="5E8EFA1D">
      <w:pPr>
        <w:pStyle w:val="27"/>
        <w:ind w:firstLine="480"/>
      </w:pPr>
      <w:bookmarkStart w:id="311" w:name="ue1e3c19e"/>
      <w:r>
        <w:t>总结来看，对比单一模型，EMD-BiGRU收敛速度快、训练后的最终损失低，EMD分解预处理明显提高了深度学习模型的效果和稳定性。</w:t>
      </w:r>
    </w:p>
    <w:bookmarkEnd w:id="311"/>
    <w:p w14:paraId="2E1E25F2">
      <w:pPr>
        <w:pStyle w:val="25"/>
        <w:spacing w:before="156" w:after="156"/>
      </w:pPr>
      <w:bookmarkStart w:id="312" w:name="bb8978cb"/>
      <w:r>
        <w:t xml:space="preserve"> </w:t>
      </w:r>
      <w:bookmarkStart w:id="313" w:name="_Toc227161733"/>
      <w:bookmarkStart w:id="314" w:name="_Toc8276"/>
      <w:bookmarkStart w:id="315" w:name="_Toc14105"/>
      <w:bookmarkStart w:id="316" w:name="_Toc9753"/>
      <w:r>
        <w:t>误差来源分析</w:t>
      </w:r>
      <w:bookmarkEnd w:id="313"/>
      <w:bookmarkEnd w:id="314"/>
      <w:bookmarkEnd w:id="315"/>
      <w:bookmarkEnd w:id="316"/>
    </w:p>
    <w:bookmarkEnd w:id="312"/>
    <w:p w14:paraId="55A2859C">
      <w:pPr>
        <w:pStyle w:val="27"/>
        <w:ind w:firstLine="480"/>
      </w:pPr>
      <w:bookmarkStart w:id="317" w:name="ufd606f3b"/>
      <w:r>
        <w:t>通过实验观察与理论分析，本文模型误差主要来源于以下方面：</w:t>
      </w:r>
    </w:p>
    <w:bookmarkEnd w:id="317"/>
    <w:p w14:paraId="56ECA390">
      <w:pPr>
        <w:pStyle w:val="27"/>
        <w:numPr>
          <w:ilvl w:val="0"/>
          <w:numId w:val="7"/>
        </w:numPr>
        <w:ind w:left="0" w:firstLine="480"/>
      </w:pPr>
      <w:bookmarkStart w:id="318" w:name="udaa1a10c"/>
      <w:r>
        <w:t>模态混叠影响：EMD 在信号剧烈波动时仍存在一定模态混叠，导致部分分量特征模糊；</w:t>
      </w:r>
    </w:p>
    <w:bookmarkEnd w:id="318"/>
    <w:p w14:paraId="4F4BA8BF">
      <w:pPr>
        <w:pStyle w:val="27"/>
        <w:numPr>
          <w:ilvl w:val="0"/>
          <w:numId w:val="7"/>
        </w:numPr>
        <w:ind w:left="0" w:firstLine="480"/>
      </w:pPr>
      <w:bookmarkStart w:id="319" w:name="u058c01e3"/>
      <w:r>
        <w:t>气象数据噪声：实测温度、湿度数据存在微小测量误差，影响输入质量；</w:t>
      </w:r>
    </w:p>
    <w:bookmarkEnd w:id="319"/>
    <w:p w14:paraId="249594A2">
      <w:pPr>
        <w:pStyle w:val="27"/>
        <w:numPr>
          <w:ilvl w:val="0"/>
          <w:numId w:val="7"/>
        </w:numPr>
        <w:ind w:left="0" w:firstLine="480"/>
      </w:pPr>
      <w:bookmarkStart w:id="320" w:name="uc18bcde8"/>
      <w:r>
        <w:t>突发天气扰动：极端短时强对流、局部云层快速移动等难以完全捕捉；</w:t>
      </w:r>
    </w:p>
    <w:bookmarkEnd w:id="320"/>
    <w:p w14:paraId="1973DE40">
      <w:pPr>
        <w:pStyle w:val="27"/>
        <w:numPr>
          <w:ilvl w:val="0"/>
          <w:numId w:val="7"/>
        </w:numPr>
        <w:ind w:left="0" w:firstLine="480"/>
      </w:pPr>
      <w:bookmarkStart w:id="321" w:name="u6a2571a8"/>
      <w:r>
        <w:t>模型结构限制：未引入注意力机制，对关键时段特征权重分配不足；</w:t>
      </w:r>
    </w:p>
    <w:bookmarkEnd w:id="321"/>
    <w:p w14:paraId="0D21F719">
      <w:pPr>
        <w:pStyle w:val="27"/>
        <w:numPr>
          <w:ilvl w:val="0"/>
          <w:numId w:val="7"/>
        </w:numPr>
        <w:ind w:left="0" w:firstLine="480"/>
      </w:pPr>
      <w:bookmarkStart w:id="322" w:name="u2fdfa6ce"/>
      <w:r>
        <w:t>超参数优化空间：采用控制变量法，未使用贝叶斯优化等智能算法。</w:t>
      </w:r>
    </w:p>
    <w:p w14:paraId="6B11363F">
      <w:pPr>
        <w:pStyle w:val="25"/>
        <w:spacing w:before="156" w:after="156"/>
      </w:pPr>
      <w:r>
        <w:t xml:space="preserve"> </w:t>
      </w:r>
      <w:bookmarkStart w:id="323" w:name="_Toc25291"/>
      <w:bookmarkStart w:id="324" w:name="_Toc25998"/>
      <w:bookmarkStart w:id="325" w:name="_Toc227161734"/>
      <w:bookmarkStart w:id="326" w:name="_Toc8730"/>
      <w:r>
        <w:rPr>
          <w:rFonts w:hint="eastAsia"/>
        </w:rPr>
        <w:t>超参数网格搜索与敏感性分析</w:t>
      </w:r>
      <w:bookmarkEnd w:id="323"/>
      <w:bookmarkEnd w:id="324"/>
      <w:bookmarkEnd w:id="325"/>
      <w:bookmarkEnd w:id="326"/>
    </w:p>
    <w:p w14:paraId="0E5B099F">
      <w:pPr>
        <w:pStyle w:val="27"/>
        <w:ind w:firstLine="480"/>
      </w:pPr>
      <w:r>
        <w:t>为避免人为经验设定参数带来的主观局限性，并充分挖掘 EMD-BiGRU 模型的预测潜能，本文采用网格搜索法（Grid Search）对模型的核心超参数进行了全景式的自动化寻优。重点考察了 EMD 分解保留的本征模函数（IMF）数量、模型输入的时间步长（Time Steps，即历史感受野）以及训练批次大小（Batch Size）对模型预测精度的三维交互影响。经过遍历计算，寻优过程的部分核心结果如表 5</w:t>
      </w:r>
      <w:r>
        <w:rPr>
          <w:rFonts w:hint="eastAsia"/>
        </w:rPr>
        <w:t>.1</w:t>
      </w:r>
      <w:r>
        <w:t xml:space="preserve"> 所示。</w:t>
      </w:r>
    </w:p>
    <w:p w14:paraId="558CE09E">
      <w:pPr>
        <w:jc w:val="center"/>
        <w:rPr>
          <w:rFonts w:eastAsia="黑体"/>
          <w:b/>
          <w:bCs/>
        </w:rPr>
      </w:pPr>
      <w:r>
        <w:rPr>
          <w:rFonts w:eastAsia="黑体"/>
          <w:b/>
          <w:bCs/>
        </w:rPr>
        <w:t>表</w:t>
      </w:r>
      <w:r>
        <w:rPr>
          <w:rFonts w:hint="eastAsia" w:eastAsia="黑体"/>
          <w:b/>
          <w:bCs/>
        </w:rPr>
        <w:t>5.1超参数网格搜索实验结果汇总表（部分）</w:t>
      </w:r>
    </w:p>
    <w:tbl>
      <w:tblPr>
        <w:tblStyle w:val="17"/>
        <w:tblW w:w="78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1"/>
        <w:gridCol w:w="1413"/>
        <w:gridCol w:w="1351"/>
        <w:gridCol w:w="996"/>
        <w:gridCol w:w="876"/>
        <w:gridCol w:w="1139"/>
        <w:gridCol w:w="876"/>
      </w:tblGrid>
      <w:tr w14:paraId="4ED3D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single" w:color="000000" w:sz="12" w:space="0"/>
              <w:left w:val="nil"/>
              <w:bottom w:val="single" w:color="000000" w:sz="4" w:space="0"/>
              <w:right w:val="nil"/>
              <w:tl2br w:val="nil"/>
            </w:tcBorders>
            <w:vAlign w:val="center"/>
          </w:tcPr>
          <w:p w14:paraId="1891EEA8">
            <w:pPr>
              <w:jc w:val="center"/>
              <w:rPr>
                <w:rFonts w:ascii="宋体"/>
                <w:b/>
                <w:color w:val="000000"/>
                <w:sz w:val="24"/>
              </w:rPr>
            </w:pPr>
            <w:r>
              <w:rPr>
                <w:b/>
                <w:color w:val="000000"/>
                <w:sz w:val="24"/>
              </w:rPr>
              <w:t>IMF</w:t>
            </w:r>
            <w:r>
              <w:rPr>
                <w:rFonts w:ascii="宋体"/>
                <w:b/>
                <w:color w:val="000000"/>
                <w:sz w:val="24"/>
              </w:rPr>
              <w:t>_</w:t>
            </w:r>
            <w:r>
              <w:rPr>
                <w:b/>
                <w:color w:val="000000"/>
                <w:sz w:val="24"/>
              </w:rPr>
              <w:t>Num</w:t>
            </w:r>
          </w:p>
        </w:tc>
        <w:tc>
          <w:tcPr>
            <w:tcW w:w="1426" w:type="dxa"/>
            <w:tcBorders>
              <w:top w:val="single" w:color="000000" w:sz="12" w:space="0"/>
              <w:left w:val="nil"/>
              <w:bottom w:val="single" w:color="000000" w:sz="4" w:space="0"/>
              <w:right w:val="nil"/>
            </w:tcBorders>
            <w:vAlign w:val="center"/>
          </w:tcPr>
          <w:p w14:paraId="317D7408">
            <w:pPr>
              <w:jc w:val="center"/>
              <w:rPr>
                <w:rFonts w:ascii="宋体"/>
                <w:b/>
                <w:color w:val="000000"/>
                <w:sz w:val="24"/>
              </w:rPr>
            </w:pPr>
            <w:r>
              <w:rPr>
                <w:b/>
                <w:color w:val="000000"/>
                <w:sz w:val="24"/>
              </w:rPr>
              <w:t>Time</w:t>
            </w:r>
            <w:r>
              <w:rPr>
                <w:rFonts w:ascii="宋体"/>
                <w:b/>
                <w:color w:val="000000"/>
                <w:sz w:val="24"/>
              </w:rPr>
              <w:t>_</w:t>
            </w:r>
            <w:r>
              <w:rPr>
                <w:b/>
                <w:color w:val="000000"/>
                <w:sz w:val="24"/>
              </w:rPr>
              <w:t>Steps</w:t>
            </w:r>
          </w:p>
        </w:tc>
        <w:tc>
          <w:tcPr>
            <w:tcW w:w="1426" w:type="dxa"/>
            <w:tcBorders>
              <w:top w:val="single" w:color="000000" w:sz="12" w:space="0"/>
              <w:left w:val="nil"/>
              <w:bottom w:val="single" w:color="000000" w:sz="4" w:space="0"/>
              <w:right w:val="nil"/>
            </w:tcBorders>
            <w:vAlign w:val="center"/>
          </w:tcPr>
          <w:p w14:paraId="34D917F2">
            <w:pPr>
              <w:jc w:val="center"/>
              <w:rPr>
                <w:rFonts w:ascii="宋体"/>
                <w:b/>
                <w:color w:val="000000"/>
                <w:sz w:val="24"/>
              </w:rPr>
            </w:pPr>
            <w:r>
              <w:rPr>
                <w:b/>
                <w:color w:val="000000"/>
                <w:sz w:val="24"/>
              </w:rPr>
              <w:t>Batch</w:t>
            </w:r>
            <w:r>
              <w:rPr>
                <w:rFonts w:ascii="宋体"/>
                <w:b/>
                <w:color w:val="000000"/>
                <w:sz w:val="24"/>
              </w:rPr>
              <w:t>_</w:t>
            </w:r>
            <w:r>
              <w:rPr>
                <w:b/>
                <w:color w:val="000000"/>
                <w:sz w:val="24"/>
              </w:rPr>
              <w:t>Size</w:t>
            </w:r>
          </w:p>
        </w:tc>
        <w:tc>
          <w:tcPr>
            <w:tcW w:w="942" w:type="dxa"/>
            <w:tcBorders>
              <w:top w:val="single" w:color="000000" w:sz="12" w:space="0"/>
              <w:left w:val="nil"/>
              <w:bottom w:val="single" w:color="000000" w:sz="4" w:space="0"/>
              <w:right w:val="nil"/>
            </w:tcBorders>
            <w:vAlign w:val="center"/>
          </w:tcPr>
          <w:p w14:paraId="07786BDF">
            <w:pPr>
              <w:jc w:val="center"/>
              <w:rPr>
                <w:rFonts w:ascii="宋体"/>
                <w:b/>
                <w:color w:val="000000"/>
                <w:sz w:val="24"/>
              </w:rPr>
            </w:pPr>
            <w:r>
              <w:rPr>
                <w:b/>
                <w:color w:val="000000"/>
                <w:sz w:val="24"/>
              </w:rPr>
              <w:t>RMSE</w:t>
            </w:r>
          </w:p>
        </w:tc>
        <w:tc>
          <w:tcPr>
            <w:tcW w:w="942" w:type="dxa"/>
            <w:tcBorders>
              <w:top w:val="single" w:color="000000" w:sz="12" w:space="0"/>
              <w:left w:val="nil"/>
              <w:bottom w:val="single" w:color="000000" w:sz="4" w:space="0"/>
              <w:right w:val="nil"/>
            </w:tcBorders>
            <w:vAlign w:val="center"/>
          </w:tcPr>
          <w:p w14:paraId="31CEEC08">
            <w:pPr>
              <w:jc w:val="center"/>
              <w:rPr>
                <w:rFonts w:ascii="宋体"/>
                <w:b/>
                <w:color w:val="000000"/>
                <w:sz w:val="24"/>
              </w:rPr>
            </w:pPr>
            <w:r>
              <w:rPr>
                <w:b/>
                <w:color w:val="000000"/>
                <w:sz w:val="24"/>
              </w:rPr>
              <w:t>MAE</w:t>
            </w:r>
          </w:p>
        </w:tc>
        <w:tc>
          <w:tcPr>
            <w:tcW w:w="1063" w:type="dxa"/>
            <w:tcBorders>
              <w:top w:val="single" w:color="000000" w:sz="12" w:space="0"/>
              <w:left w:val="nil"/>
              <w:bottom w:val="single" w:color="000000" w:sz="4" w:space="0"/>
              <w:right w:val="nil"/>
            </w:tcBorders>
            <w:vAlign w:val="center"/>
          </w:tcPr>
          <w:p w14:paraId="6A41B436">
            <w:pPr>
              <w:jc w:val="center"/>
              <w:rPr>
                <w:rFonts w:ascii="宋体"/>
                <w:b/>
                <w:color w:val="000000"/>
                <w:sz w:val="24"/>
              </w:rPr>
            </w:pPr>
            <w:r>
              <w:rPr>
                <w:b/>
                <w:color w:val="000000"/>
                <w:sz w:val="24"/>
              </w:rPr>
              <w:t>MAE</w:t>
            </w:r>
            <w:r>
              <w:rPr>
                <w:rFonts w:ascii="宋体"/>
                <w:b/>
                <w:color w:val="000000"/>
                <w:sz w:val="24"/>
              </w:rPr>
              <w:t>(%)</w:t>
            </w:r>
          </w:p>
        </w:tc>
        <w:tc>
          <w:tcPr>
            <w:tcW w:w="942" w:type="dxa"/>
            <w:tcBorders>
              <w:top w:val="single" w:color="000000" w:sz="12" w:space="0"/>
              <w:left w:val="nil"/>
              <w:bottom w:val="single" w:color="000000" w:sz="4" w:space="0"/>
              <w:right w:val="nil"/>
            </w:tcBorders>
            <w:vAlign w:val="center"/>
          </w:tcPr>
          <w:p w14:paraId="75AB7C7E">
            <w:pPr>
              <w:jc w:val="center"/>
              <w:rPr>
                <w:rFonts w:ascii="宋体"/>
                <w:b/>
                <w:color w:val="000000"/>
                <w:sz w:val="24"/>
              </w:rPr>
            </w:pPr>
            <w:r>
              <w:rPr>
                <w:b/>
                <w:color w:val="000000"/>
                <w:sz w:val="24"/>
              </w:rPr>
              <w:t>R</w:t>
            </w:r>
            <w:r>
              <w:rPr>
                <w:rFonts w:ascii="宋体"/>
                <w:b/>
                <w:color w:val="000000"/>
                <w:sz w:val="24"/>
              </w:rPr>
              <w:t>²</w:t>
            </w:r>
          </w:p>
        </w:tc>
      </w:tr>
      <w:tr w14:paraId="73AE5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nil"/>
              <w:right w:val="nil"/>
            </w:tcBorders>
            <w:shd w:val="clear" w:color="auto" w:fill="FFFFFF"/>
            <w:vAlign w:val="center"/>
          </w:tcPr>
          <w:p w14:paraId="300A87D9">
            <w:pPr>
              <w:jc w:val="center"/>
              <w:rPr>
                <w:rFonts w:ascii="宋体"/>
                <w:color w:val="000000"/>
                <w:sz w:val="24"/>
              </w:rPr>
            </w:pPr>
            <w:r>
              <w:rPr>
                <w:color w:val="000000"/>
                <w:sz w:val="24"/>
              </w:rPr>
              <w:t>3</w:t>
            </w:r>
          </w:p>
        </w:tc>
        <w:tc>
          <w:tcPr>
            <w:tcW w:w="1426" w:type="dxa"/>
            <w:tcBorders>
              <w:top w:val="nil"/>
              <w:left w:val="nil"/>
              <w:bottom w:val="nil"/>
              <w:right w:val="nil"/>
            </w:tcBorders>
            <w:shd w:val="clear" w:color="auto" w:fill="FFFFFF"/>
            <w:vAlign w:val="center"/>
          </w:tcPr>
          <w:p w14:paraId="1F0A6866">
            <w:pPr>
              <w:jc w:val="center"/>
              <w:rPr>
                <w:rFonts w:ascii="宋体"/>
                <w:color w:val="000000"/>
                <w:sz w:val="24"/>
              </w:rPr>
            </w:pPr>
            <w:r>
              <w:rPr>
                <w:color w:val="000000"/>
                <w:sz w:val="24"/>
              </w:rPr>
              <w:t>6</w:t>
            </w:r>
          </w:p>
        </w:tc>
        <w:tc>
          <w:tcPr>
            <w:tcW w:w="1426" w:type="dxa"/>
            <w:tcBorders>
              <w:top w:val="nil"/>
              <w:left w:val="nil"/>
              <w:bottom w:val="nil"/>
              <w:right w:val="nil"/>
            </w:tcBorders>
            <w:shd w:val="clear" w:color="auto" w:fill="FFFFFF"/>
            <w:vAlign w:val="center"/>
          </w:tcPr>
          <w:p w14:paraId="6D53DF5A">
            <w:pPr>
              <w:jc w:val="center"/>
              <w:rPr>
                <w:rFonts w:ascii="宋体"/>
                <w:color w:val="000000"/>
                <w:sz w:val="24"/>
              </w:rPr>
            </w:pPr>
            <w:r>
              <w:rPr>
                <w:color w:val="000000"/>
                <w:sz w:val="24"/>
              </w:rPr>
              <w:t>32</w:t>
            </w:r>
          </w:p>
        </w:tc>
        <w:tc>
          <w:tcPr>
            <w:tcW w:w="942" w:type="dxa"/>
            <w:tcBorders>
              <w:top w:val="nil"/>
              <w:left w:val="nil"/>
              <w:bottom w:val="nil"/>
              <w:right w:val="nil"/>
            </w:tcBorders>
            <w:shd w:val="clear" w:color="auto" w:fill="FFFFFF"/>
            <w:vAlign w:val="center"/>
          </w:tcPr>
          <w:p w14:paraId="45AC78C8">
            <w:pPr>
              <w:jc w:val="center"/>
              <w:rPr>
                <w:rFonts w:ascii="宋体"/>
                <w:color w:val="000000"/>
                <w:sz w:val="24"/>
              </w:rPr>
            </w:pPr>
            <w:r>
              <w:rPr>
                <w:color w:val="000000"/>
                <w:sz w:val="24"/>
              </w:rPr>
              <w:t>10.3215</w:t>
            </w:r>
          </w:p>
        </w:tc>
        <w:tc>
          <w:tcPr>
            <w:tcW w:w="942" w:type="dxa"/>
            <w:tcBorders>
              <w:top w:val="nil"/>
              <w:left w:val="nil"/>
              <w:bottom w:val="nil"/>
              <w:right w:val="nil"/>
            </w:tcBorders>
            <w:shd w:val="clear" w:color="auto" w:fill="FFFFFF"/>
            <w:vAlign w:val="center"/>
          </w:tcPr>
          <w:p w14:paraId="04A25884">
            <w:pPr>
              <w:jc w:val="center"/>
              <w:rPr>
                <w:rFonts w:ascii="宋体"/>
                <w:color w:val="000000"/>
                <w:sz w:val="24"/>
              </w:rPr>
            </w:pPr>
            <w:r>
              <w:rPr>
                <w:color w:val="000000"/>
                <w:sz w:val="24"/>
              </w:rPr>
              <w:t>7.8921</w:t>
            </w:r>
          </w:p>
        </w:tc>
        <w:tc>
          <w:tcPr>
            <w:tcW w:w="1063" w:type="dxa"/>
            <w:tcBorders>
              <w:top w:val="nil"/>
              <w:left w:val="nil"/>
              <w:bottom w:val="nil"/>
              <w:right w:val="nil"/>
            </w:tcBorders>
            <w:shd w:val="clear" w:color="auto" w:fill="FFFFFF"/>
            <w:vAlign w:val="center"/>
          </w:tcPr>
          <w:p w14:paraId="632A7AD8">
            <w:pPr>
              <w:jc w:val="center"/>
              <w:rPr>
                <w:rFonts w:ascii="宋体"/>
                <w:color w:val="000000"/>
                <w:sz w:val="24"/>
              </w:rPr>
            </w:pPr>
            <w:r>
              <w:rPr>
                <w:color w:val="000000"/>
                <w:sz w:val="24"/>
              </w:rPr>
              <w:t>75.6073</w:t>
            </w:r>
          </w:p>
        </w:tc>
        <w:tc>
          <w:tcPr>
            <w:tcW w:w="942" w:type="dxa"/>
            <w:tcBorders>
              <w:top w:val="nil"/>
              <w:left w:val="nil"/>
              <w:bottom w:val="nil"/>
              <w:right w:val="nil"/>
            </w:tcBorders>
            <w:shd w:val="clear" w:color="auto" w:fill="FFFFFF"/>
            <w:vAlign w:val="center"/>
          </w:tcPr>
          <w:p w14:paraId="6FB7A7D4">
            <w:pPr>
              <w:jc w:val="center"/>
              <w:rPr>
                <w:rFonts w:ascii="宋体"/>
                <w:color w:val="000000"/>
                <w:sz w:val="24"/>
              </w:rPr>
            </w:pPr>
            <w:r>
              <w:rPr>
                <w:color w:val="000000"/>
                <w:sz w:val="24"/>
              </w:rPr>
              <w:t>0.7268</w:t>
            </w:r>
          </w:p>
        </w:tc>
      </w:tr>
      <w:tr w14:paraId="18E86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nil"/>
              <w:right w:val="nil"/>
            </w:tcBorders>
            <w:shd w:val="clear" w:color="auto" w:fill="FFFFFF"/>
            <w:vAlign w:val="center"/>
          </w:tcPr>
          <w:p w14:paraId="025C70D4">
            <w:pPr>
              <w:jc w:val="center"/>
              <w:rPr>
                <w:rFonts w:ascii="宋体"/>
                <w:color w:val="000000"/>
                <w:sz w:val="24"/>
              </w:rPr>
            </w:pPr>
            <w:r>
              <w:rPr>
                <w:color w:val="000000"/>
                <w:sz w:val="24"/>
              </w:rPr>
              <w:t>3</w:t>
            </w:r>
          </w:p>
        </w:tc>
        <w:tc>
          <w:tcPr>
            <w:tcW w:w="1426" w:type="dxa"/>
            <w:tcBorders>
              <w:top w:val="nil"/>
              <w:left w:val="nil"/>
              <w:bottom w:val="nil"/>
              <w:right w:val="nil"/>
            </w:tcBorders>
            <w:shd w:val="clear" w:color="auto" w:fill="FFFFFF"/>
            <w:vAlign w:val="center"/>
          </w:tcPr>
          <w:p w14:paraId="2F61171C">
            <w:pPr>
              <w:jc w:val="center"/>
              <w:rPr>
                <w:rFonts w:ascii="宋体"/>
                <w:color w:val="000000"/>
                <w:sz w:val="24"/>
              </w:rPr>
            </w:pPr>
            <w:r>
              <w:rPr>
                <w:color w:val="000000"/>
                <w:sz w:val="24"/>
              </w:rPr>
              <w:t>24</w:t>
            </w:r>
          </w:p>
        </w:tc>
        <w:tc>
          <w:tcPr>
            <w:tcW w:w="1426" w:type="dxa"/>
            <w:tcBorders>
              <w:top w:val="nil"/>
              <w:left w:val="nil"/>
              <w:bottom w:val="nil"/>
              <w:right w:val="nil"/>
            </w:tcBorders>
            <w:shd w:val="clear" w:color="auto" w:fill="FFFFFF"/>
            <w:vAlign w:val="center"/>
          </w:tcPr>
          <w:p w14:paraId="3AC05974">
            <w:pPr>
              <w:jc w:val="center"/>
              <w:rPr>
                <w:rFonts w:ascii="宋体"/>
                <w:color w:val="000000"/>
                <w:sz w:val="24"/>
              </w:rPr>
            </w:pPr>
            <w:r>
              <w:rPr>
                <w:color w:val="000000"/>
                <w:sz w:val="24"/>
              </w:rPr>
              <w:t>64</w:t>
            </w:r>
          </w:p>
        </w:tc>
        <w:tc>
          <w:tcPr>
            <w:tcW w:w="942" w:type="dxa"/>
            <w:tcBorders>
              <w:top w:val="nil"/>
              <w:left w:val="nil"/>
              <w:bottom w:val="nil"/>
              <w:right w:val="nil"/>
            </w:tcBorders>
            <w:shd w:val="clear" w:color="auto" w:fill="FFFFFF"/>
            <w:vAlign w:val="center"/>
          </w:tcPr>
          <w:p w14:paraId="00347E2D">
            <w:pPr>
              <w:jc w:val="center"/>
              <w:rPr>
                <w:rFonts w:ascii="宋体"/>
                <w:color w:val="000000"/>
                <w:sz w:val="24"/>
              </w:rPr>
            </w:pPr>
            <w:r>
              <w:rPr>
                <w:color w:val="000000"/>
                <w:sz w:val="24"/>
              </w:rPr>
              <w:t>9.1060</w:t>
            </w:r>
          </w:p>
        </w:tc>
        <w:tc>
          <w:tcPr>
            <w:tcW w:w="942" w:type="dxa"/>
            <w:tcBorders>
              <w:top w:val="nil"/>
              <w:left w:val="nil"/>
              <w:bottom w:val="nil"/>
              <w:right w:val="nil"/>
            </w:tcBorders>
            <w:shd w:val="clear" w:color="auto" w:fill="FFFFFF"/>
            <w:vAlign w:val="center"/>
          </w:tcPr>
          <w:p w14:paraId="78D93F50">
            <w:pPr>
              <w:jc w:val="center"/>
              <w:rPr>
                <w:rFonts w:ascii="宋体"/>
                <w:color w:val="000000"/>
                <w:sz w:val="24"/>
              </w:rPr>
            </w:pPr>
            <w:r>
              <w:rPr>
                <w:color w:val="000000"/>
                <w:sz w:val="24"/>
              </w:rPr>
              <w:t>7.0202</w:t>
            </w:r>
          </w:p>
        </w:tc>
        <w:tc>
          <w:tcPr>
            <w:tcW w:w="1063" w:type="dxa"/>
            <w:tcBorders>
              <w:top w:val="nil"/>
              <w:left w:val="nil"/>
              <w:bottom w:val="nil"/>
              <w:right w:val="nil"/>
            </w:tcBorders>
            <w:shd w:val="clear" w:color="auto" w:fill="FFFFFF"/>
            <w:vAlign w:val="center"/>
          </w:tcPr>
          <w:p w14:paraId="415EDE65">
            <w:pPr>
              <w:jc w:val="center"/>
              <w:rPr>
                <w:rFonts w:ascii="宋体"/>
                <w:color w:val="000000"/>
                <w:sz w:val="24"/>
              </w:rPr>
            </w:pPr>
            <w:r>
              <w:rPr>
                <w:color w:val="000000"/>
                <w:sz w:val="24"/>
              </w:rPr>
              <w:t>65.9989</w:t>
            </w:r>
          </w:p>
        </w:tc>
        <w:tc>
          <w:tcPr>
            <w:tcW w:w="942" w:type="dxa"/>
            <w:tcBorders>
              <w:top w:val="nil"/>
              <w:left w:val="nil"/>
              <w:bottom w:val="nil"/>
              <w:right w:val="nil"/>
            </w:tcBorders>
            <w:shd w:val="clear" w:color="auto" w:fill="FFFFFF"/>
            <w:vAlign w:val="center"/>
          </w:tcPr>
          <w:p w14:paraId="6F8693FE">
            <w:pPr>
              <w:jc w:val="center"/>
              <w:rPr>
                <w:rFonts w:ascii="宋体"/>
                <w:color w:val="000000"/>
                <w:sz w:val="24"/>
              </w:rPr>
            </w:pPr>
            <w:r>
              <w:rPr>
                <w:color w:val="000000"/>
                <w:sz w:val="24"/>
              </w:rPr>
              <w:t>0.7742</w:t>
            </w:r>
          </w:p>
        </w:tc>
      </w:tr>
      <w:tr w14:paraId="10A93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nil"/>
              <w:right w:val="nil"/>
            </w:tcBorders>
            <w:shd w:val="clear" w:color="auto" w:fill="FFFFFF"/>
            <w:vAlign w:val="center"/>
          </w:tcPr>
          <w:p w14:paraId="26A452DE">
            <w:pPr>
              <w:jc w:val="center"/>
              <w:rPr>
                <w:rFonts w:ascii="宋体"/>
                <w:color w:val="000000"/>
                <w:sz w:val="24"/>
              </w:rPr>
            </w:pPr>
            <w:r>
              <w:rPr>
                <w:color w:val="000000"/>
                <w:sz w:val="24"/>
              </w:rPr>
              <w:t>3</w:t>
            </w:r>
          </w:p>
        </w:tc>
        <w:tc>
          <w:tcPr>
            <w:tcW w:w="1426" w:type="dxa"/>
            <w:tcBorders>
              <w:top w:val="nil"/>
              <w:left w:val="nil"/>
              <w:bottom w:val="nil"/>
              <w:right w:val="nil"/>
            </w:tcBorders>
            <w:shd w:val="clear" w:color="auto" w:fill="FFFFFF"/>
            <w:vAlign w:val="center"/>
          </w:tcPr>
          <w:p w14:paraId="090BE0EC">
            <w:pPr>
              <w:jc w:val="center"/>
              <w:rPr>
                <w:rFonts w:ascii="宋体"/>
                <w:color w:val="000000"/>
                <w:sz w:val="24"/>
              </w:rPr>
            </w:pPr>
            <w:r>
              <w:rPr>
                <w:color w:val="000000"/>
                <w:sz w:val="24"/>
              </w:rPr>
              <w:t>48</w:t>
            </w:r>
          </w:p>
        </w:tc>
        <w:tc>
          <w:tcPr>
            <w:tcW w:w="1426" w:type="dxa"/>
            <w:tcBorders>
              <w:top w:val="nil"/>
              <w:left w:val="nil"/>
              <w:bottom w:val="nil"/>
              <w:right w:val="nil"/>
            </w:tcBorders>
            <w:shd w:val="clear" w:color="auto" w:fill="FFFFFF"/>
            <w:vAlign w:val="center"/>
          </w:tcPr>
          <w:p w14:paraId="27C08225">
            <w:pPr>
              <w:jc w:val="center"/>
              <w:rPr>
                <w:rFonts w:ascii="宋体"/>
                <w:color w:val="000000"/>
                <w:sz w:val="24"/>
              </w:rPr>
            </w:pPr>
            <w:r>
              <w:rPr>
                <w:color w:val="000000"/>
                <w:sz w:val="24"/>
              </w:rPr>
              <w:t>64</w:t>
            </w:r>
          </w:p>
        </w:tc>
        <w:tc>
          <w:tcPr>
            <w:tcW w:w="942" w:type="dxa"/>
            <w:tcBorders>
              <w:top w:val="nil"/>
              <w:left w:val="nil"/>
              <w:bottom w:val="nil"/>
              <w:right w:val="nil"/>
            </w:tcBorders>
            <w:shd w:val="clear" w:color="auto" w:fill="FFFFFF"/>
            <w:vAlign w:val="center"/>
          </w:tcPr>
          <w:p w14:paraId="1F4D9910">
            <w:pPr>
              <w:jc w:val="center"/>
              <w:rPr>
                <w:rFonts w:ascii="宋体"/>
                <w:color w:val="000000"/>
                <w:sz w:val="24"/>
              </w:rPr>
            </w:pPr>
            <w:r>
              <w:rPr>
                <w:color w:val="000000"/>
                <w:sz w:val="24"/>
              </w:rPr>
              <w:t>8.6829</w:t>
            </w:r>
          </w:p>
        </w:tc>
        <w:tc>
          <w:tcPr>
            <w:tcW w:w="942" w:type="dxa"/>
            <w:tcBorders>
              <w:top w:val="nil"/>
              <w:left w:val="nil"/>
              <w:bottom w:val="nil"/>
              <w:right w:val="nil"/>
            </w:tcBorders>
            <w:shd w:val="clear" w:color="auto" w:fill="FFFFFF"/>
            <w:vAlign w:val="center"/>
          </w:tcPr>
          <w:p w14:paraId="7EF5C98F">
            <w:pPr>
              <w:jc w:val="center"/>
              <w:rPr>
                <w:rFonts w:ascii="宋体"/>
                <w:color w:val="000000"/>
                <w:sz w:val="24"/>
              </w:rPr>
            </w:pPr>
            <w:r>
              <w:rPr>
                <w:color w:val="000000"/>
                <w:sz w:val="24"/>
              </w:rPr>
              <w:t>6.6599</w:t>
            </w:r>
          </w:p>
        </w:tc>
        <w:tc>
          <w:tcPr>
            <w:tcW w:w="1063" w:type="dxa"/>
            <w:tcBorders>
              <w:top w:val="nil"/>
              <w:left w:val="nil"/>
              <w:bottom w:val="nil"/>
              <w:right w:val="nil"/>
            </w:tcBorders>
            <w:shd w:val="clear" w:color="auto" w:fill="FFFFFF"/>
            <w:vAlign w:val="center"/>
          </w:tcPr>
          <w:p w14:paraId="36426F7B">
            <w:pPr>
              <w:jc w:val="center"/>
              <w:rPr>
                <w:rFonts w:ascii="宋体"/>
                <w:color w:val="000000"/>
                <w:sz w:val="24"/>
              </w:rPr>
            </w:pPr>
            <w:r>
              <w:rPr>
                <w:color w:val="000000"/>
                <w:sz w:val="24"/>
              </w:rPr>
              <w:t>60.5791</w:t>
            </w:r>
          </w:p>
        </w:tc>
        <w:tc>
          <w:tcPr>
            <w:tcW w:w="942" w:type="dxa"/>
            <w:tcBorders>
              <w:top w:val="nil"/>
              <w:left w:val="nil"/>
              <w:bottom w:val="nil"/>
              <w:right w:val="nil"/>
            </w:tcBorders>
            <w:shd w:val="clear" w:color="auto" w:fill="FFFFFF"/>
            <w:vAlign w:val="center"/>
          </w:tcPr>
          <w:p w14:paraId="2DBB9754">
            <w:pPr>
              <w:jc w:val="center"/>
              <w:rPr>
                <w:rFonts w:ascii="宋体"/>
                <w:color w:val="000000"/>
                <w:sz w:val="24"/>
              </w:rPr>
            </w:pPr>
            <w:r>
              <w:rPr>
                <w:color w:val="000000"/>
                <w:sz w:val="24"/>
              </w:rPr>
              <w:t>0.8004</w:t>
            </w:r>
          </w:p>
        </w:tc>
      </w:tr>
      <w:tr w14:paraId="383E1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nil"/>
              <w:right w:val="nil"/>
            </w:tcBorders>
            <w:shd w:val="clear" w:color="auto" w:fill="FFFFFF"/>
            <w:vAlign w:val="center"/>
          </w:tcPr>
          <w:p w14:paraId="47866D35">
            <w:pPr>
              <w:jc w:val="center"/>
              <w:rPr>
                <w:rFonts w:ascii="宋体"/>
                <w:color w:val="000000"/>
                <w:sz w:val="24"/>
              </w:rPr>
            </w:pPr>
            <w:r>
              <w:rPr>
                <w:color w:val="000000"/>
                <w:sz w:val="24"/>
              </w:rPr>
              <w:t>4</w:t>
            </w:r>
          </w:p>
        </w:tc>
        <w:tc>
          <w:tcPr>
            <w:tcW w:w="1426" w:type="dxa"/>
            <w:tcBorders>
              <w:top w:val="nil"/>
              <w:left w:val="nil"/>
              <w:bottom w:val="nil"/>
              <w:right w:val="nil"/>
            </w:tcBorders>
            <w:shd w:val="clear" w:color="auto" w:fill="FFFFFF"/>
            <w:vAlign w:val="center"/>
          </w:tcPr>
          <w:p w14:paraId="0B1869DE">
            <w:pPr>
              <w:jc w:val="center"/>
              <w:rPr>
                <w:rFonts w:ascii="宋体"/>
                <w:color w:val="000000"/>
                <w:sz w:val="24"/>
              </w:rPr>
            </w:pPr>
            <w:r>
              <w:rPr>
                <w:color w:val="000000"/>
                <w:sz w:val="24"/>
              </w:rPr>
              <w:t>6</w:t>
            </w:r>
          </w:p>
        </w:tc>
        <w:tc>
          <w:tcPr>
            <w:tcW w:w="1426" w:type="dxa"/>
            <w:tcBorders>
              <w:top w:val="nil"/>
              <w:left w:val="nil"/>
              <w:bottom w:val="nil"/>
              <w:right w:val="nil"/>
            </w:tcBorders>
            <w:shd w:val="clear" w:color="auto" w:fill="FFFFFF"/>
            <w:vAlign w:val="center"/>
          </w:tcPr>
          <w:p w14:paraId="42A2146F">
            <w:pPr>
              <w:jc w:val="center"/>
              <w:rPr>
                <w:rFonts w:ascii="宋体"/>
                <w:color w:val="000000"/>
                <w:sz w:val="24"/>
              </w:rPr>
            </w:pPr>
            <w:r>
              <w:rPr>
                <w:color w:val="000000"/>
                <w:sz w:val="24"/>
              </w:rPr>
              <w:t>32</w:t>
            </w:r>
          </w:p>
        </w:tc>
        <w:tc>
          <w:tcPr>
            <w:tcW w:w="942" w:type="dxa"/>
            <w:tcBorders>
              <w:top w:val="nil"/>
              <w:left w:val="nil"/>
              <w:bottom w:val="nil"/>
              <w:right w:val="nil"/>
            </w:tcBorders>
            <w:shd w:val="clear" w:color="auto" w:fill="FFFFFF"/>
            <w:vAlign w:val="center"/>
          </w:tcPr>
          <w:p w14:paraId="5EF6B54C">
            <w:pPr>
              <w:jc w:val="center"/>
              <w:rPr>
                <w:rFonts w:ascii="宋体"/>
                <w:color w:val="000000"/>
                <w:sz w:val="24"/>
              </w:rPr>
            </w:pPr>
            <w:r>
              <w:rPr>
                <w:color w:val="000000"/>
                <w:sz w:val="24"/>
              </w:rPr>
              <w:t>8.0574</w:t>
            </w:r>
          </w:p>
        </w:tc>
        <w:tc>
          <w:tcPr>
            <w:tcW w:w="942" w:type="dxa"/>
            <w:tcBorders>
              <w:top w:val="nil"/>
              <w:left w:val="nil"/>
              <w:bottom w:val="nil"/>
              <w:right w:val="nil"/>
            </w:tcBorders>
            <w:shd w:val="clear" w:color="auto" w:fill="FFFFFF"/>
            <w:vAlign w:val="center"/>
          </w:tcPr>
          <w:p w14:paraId="39960FAF">
            <w:pPr>
              <w:jc w:val="center"/>
              <w:rPr>
                <w:rFonts w:ascii="宋体"/>
                <w:color w:val="000000"/>
                <w:sz w:val="24"/>
              </w:rPr>
            </w:pPr>
            <w:r>
              <w:rPr>
                <w:color w:val="000000"/>
                <w:sz w:val="24"/>
              </w:rPr>
              <w:t>6.1189</w:t>
            </w:r>
          </w:p>
        </w:tc>
        <w:tc>
          <w:tcPr>
            <w:tcW w:w="1063" w:type="dxa"/>
            <w:tcBorders>
              <w:top w:val="nil"/>
              <w:left w:val="nil"/>
              <w:bottom w:val="nil"/>
              <w:right w:val="nil"/>
            </w:tcBorders>
            <w:shd w:val="clear" w:color="auto" w:fill="FFFFFF"/>
            <w:vAlign w:val="center"/>
          </w:tcPr>
          <w:p w14:paraId="4CE475B4">
            <w:pPr>
              <w:jc w:val="center"/>
              <w:rPr>
                <w:rFonts w:ascii="宋体"/>
                <w:color w:val="000000"/>
                <w:sz w:val="24"/>
              </w:rPr>
            </w:pPr>
            <w:r>
              <w:rPr>
                <w:color w:val="000000"/>
                <w:sz w:val="24"/>
              </w:rPr>
              <w:t>55.6357</w:t>
            </w:r>
          </w:p>
        </w:tc>
        <w:tc>
          <w:tcPr>
            <w:tcW w:w="942" w:type="dxa"/>
            <w:tcBorders>
              <w:top w:val="nil"/>
              <w:left w:val="nil"/>
              <w:bottom w:val="nil"/>
              <w:right w:val="nil"/>
            </w:tcBorders>
            <w:shd w:val="clear" w:color="auto" w:fill="FFFFFF"/>
            <w:vAlign w:val="center"/>
          </w:tcPr>
          <w:p w14:paraId="73845F04">
            <w:pPr>
              <w:jc w:val="center"/>
              <w:rPr>
                <w:rFonts w:ascii="宋体"/>
                <w:color w:val="000000"/>
                <w:sz w:val="24"/>
              </w:rPr>
            </w:pPr>
            <w:r>
              <w:rPr>
                <w:color w:val="000000"/>
                <w:sz w:val="24"/>
              </w:rPr>
              <w:t>0.8301</w:t>
            </w:r>
          </w:p>
        </w:tc>
      </w:tr>
      <w:tr w14:paraId="45904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nil"/>
              <w:right w:val="nil"/>
            </w:tcBorders>
            <w:shd w:val="clear" w:color="auto" w:fill="FFFFFF"/>
            <w:vAlign w:val="center"/>
          </w:tcPr>
          <w:p w14:paraId="418ACE9B">
            <w:pPr>
              <w:jc w:val="center"/>
              <w:rPr>
                <w:rFonts w:ascii="宋体"/>
                <w:color w:val="000000"/>
                <w:sz w:val="24"/>
              </w:rPr>
            </w:pPr>
            <w:r>
              <w:rPr>
                <w:color w:val="000000"/>
                <w:sz w:val="24"/>
              </w:rPr>
              <w:t>4</w:t>
            </w:r>
          </w:p>
        </w:tc>
        <w:tc>
          <w:tcPr>
            <w:tcW w:w="1426" w:type="dxa"/>
            <w:tcBorders>
              <w:top w:val="nil"/>
              <w:left w:val="nil"/>
              <w:bottom w:val="nil"/>
              <w:right w:val="nil"/>
            </w:tcBorders>
            <w:shd w:val="clear" w:color="auto" w:fill="FFFFFF"/>
            <w:vAlign w:val="center"/>
          </w:tcPr>
          <w:p w14:paraId="0524D5B2">
            <w:pPr>
              <w:jc w:val="center"/>
              <w:rPr>
                <w:rFonts w:ascii="宋体"/>
                <w:color w:val="000000"/>
                <w:sz w:val="24"/>
              </w:rPr>
            </w:pPr>
            <w:r>
              <w:rPr>
                <w:color w:val="000000"/>
                <w:sz w:val="24"/>
              </w:rPr>
              <w:t>24</w:t>
            </w:r>
          </w:p>
        </w:tc>
        <w:tc>
          <w:tcPr>
            <w:tcW w:w="1426" w:type="dxa"/>
            <w:tcBorders>
              <w:top w:val="nil"/>
              <w:left w:val="nil"/>
              <w:bottom w:val="nil"/>
              <w:right w:val="nil"/>
            </w:tcBorders>
            <w:shd w:val="clear" w:color="auto" w:fill="FFFFFF"/>
            <w:vAlign w:val="center"/>
          </w:tcPr>
          <w:p w14:paraId="7126C8C8">
            <w:pPr>
              <w:jc w:val="center"/>
              <w:rPr>
                <w:rFonts w:ascii="宋体"/>
                <w:color w:val="000000"/>
                <w:sz w:val="24"/>
              </w:rPr>
            </w:pPr>
            <w:r>
              <w:rPr>
                <w:color w:val="000000"/>
                <w:sz w:val="24"/>
              </w:rPr>
              <w:t>32</w:t>
            </w:r>
          </w:p>
        </w:tc>
        <w:tc>
          <w:tcPr>
            <w:tcW w:w="942" w:type="dxa"/>
            <w:tcBorders>
              <w:top w:val="nil"/>
              <w:left w:val="nil"/>
              <w:bottom w:val="nil"/>
              <w:right w:val="nil"/>
            </w:tcBorders>
            <w:shd w:val="clear" w:color="auto" w:fill="FFFFFF"/>
            <w:vAlign w:val="center"/>
          </w:tcPr>
          <w:p w14:paraId="77F1868E">
            <w:pPr>
              <w:jc w:val="center"/>
              <w:rPr>
                <w:rFonts w:ascii="宋体"/>
                <w:color w:val="000000"/>
                <w:sz w:val="24"/>
              </w:rPr>
            </w:pPr>
            <w:r>
              <w:rPr>
                <w:color w:val="000000"/>
                <w:sz w:val="24"/>
              </w:rPr>
              <w:t>7.6926</w:t>
            </w:r>
          </w:p>
        </w:tc>
        <w:tc>
          <w:tcPr>
            <w:tcW w:w="942" w:type="dxa"/>
            <w:tcBorders>
              <w:top w:val="nil"/>
              <w:left w:val="nil"/>
              <w:bottom w:val="nil"/>
              <w:right w:val="nil"/>
            </w:tcBorders>
            <w:shd w:val="clear" w:color="auto" w:fill="FFFFFF"/>
            <w:vAlign w:val="center"/>
          </w:tcPr>
          <w:p w14:paraId="07C3F6FE">
            <w:pPr>
              <w:jc w:val="center"/>
              <w:rPr>
                <w:rFonts w:ascii="宋体"/>
                <w:color w:val="000000"/>
                <w:sz w:val="24"/>
              </w:rPr>
            </w:pPr>
            <w:r>
              <w:rPr>
                <w:color w:val="000000"/>
                <w:sz w:val="24"/>
              </w:rPr>
              <w:t>5.8014</w:t>
            </w:r>
          </w:p>
        </w:tc>
        <w:tc>
          <w:tcPr>
            <w:tcW w:w="1063" w:type="dxa"/>
            <w:tcBorders>
              <w:top w:val="nil"/>
              <w:left w:val="nil"/>
              <w:bottom w:val="nil"/>
              <w:right w:val="nil"/>
            </w:tcBorders>
            <w:shd w:val="clear" w:color="auto" w:fill="FFFFFF"/>
            <w:vAlign w:val="center"/>
          </w:tcPr>
          <w:p w14:paraId="03E71610">
            <w:pPr>
              <w:jc w:val="center"/>
              <w:rPr>
                <w:rFonts w:ascii="宋体"/>
                <w:color w:val="000000"/>
                <w:sz w:val="24"/>
              </w:rPr>
            </w:pPr>
            <w:r>
              <w:rPr>
                <w:color w:val="000000"/>
                <w:sz w:val="24"/>
              </w:rPr>
              <w:t>50.3250</w:t>
            </w:r>
          </w:p>
        </w:tc>
        <w:tc>
          <w:tcPr>
            <w:tcW w:w="942" w:type="dxa"/>
            <w:tcBorders>
              <w:top w:val="nil"/>
              <w:left w:val="nil"/>
              <w:bottom w:val="nil"/>
              <w:right w:val="nil"/>
            </w:tcBorders>
            <w:shd w:val="clear" w:color="auto" w:fill="FFFFFF"/>
            <w:vAlign w:val="center"/>
          </w:tcPr>
          <w:p w14:paraId="53462899">
            <w:pPr>
              <w:jc w:val="center"/>
              <w:rPr>
                <w:rFonts w:ascii="宋体"/>
                <w:color w:val="000000"/>
                <w:sz w:val="24"/>
              </w:rPr>
            </w:pPr>
            <w:r>
              <w:rPr>
                <w:color w:val="000000"/>
                <w:sz w:val="24"/>
              </w:rPr>
              <w:t>0.8625</w:t>
            </w:r>
          </w:p>
        </w:tc>
      </w:tr>
      <w:tr w14:paraId="422F2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nil"/>
              <w:right w:val="nil"/>
            </w:tcBorders>
            <w:shd w:val="clear" w:color="auto" w:fill="FFFFFF"/>
            <w:vAlign w:val="center"/>
          </w:tcPr>
          <w:p w14:paraId="4ACE04B8">
            <w:pPr>
              <w:jc w:val="center"/>
              <w:rPr>
                <w:rFonts w:ascii="宋体"/>
                <w:color w:val="000000"/>
                <w:sz w:val="24"/>
              </w:rPr>
            </w:pPr>
            <w:r>
              <w:rPr>
                <w:color w:val="000000"/>
                <w:sz w:val="24"/>
              </w:rPr>
              <w:t>4</w:t>
            </w:r>
          </w:p>
        </w:tc>
        <w:tc>
          <w:tcPr>
            <w:tcW w:w="1426" w:type="dxa"/>
            <w:tcBorders>
              <w:top w:val="nil"/>
              <w:left w:val="nil"/>
              <w:bottom w:val="nil"/>
              <w:right w:val="nil"/>
            </w:tcBorders>
            <w:shd w:val="clear" w:color="auto" w:fill="FFFFFF"/>
            <w:vAlign w:val="center"/>
          </w:tcPr>
          <w:p w14:paraId="5C97DEE2">
            <w:pPr>
              <w:jc w:val="center"/>
              <w:rPr>
                <w:rFonts w:ascii="宋体"/>
                <w:color w:val="000000"/>
                <w:sz w:val="24"/>
              </w:rPr>
            </w:pPr>
            <w:r>
              <w:rPr>
                <w:color w:val="000000"/>
                <w:sz w:val="24"/>
              </w:rPr>
              <w:t>48</w:t>
            </w:r>
          </w:p>
        </w:tc>
        <w:tc>
          <w:tcPr>
            <w:tcW w:w="1426" w:type="dxa"/>
            <w:tcBorders>
              <w:top w:val="nil"/>
              <w:left w:val="nil"/>
              <w:bottom w:val="nil"/>
              <w:right w:val="nil"/>
            </w:tcBorders>
            <w:shd w:val="clear" w:color="auto" w:fill="FFFFFF"/>
            <w:vAlign w:val="center"/>
          </w:tcPr>
          <w:p w14:paraId="494E6E5A">
            <w:pPr>
              <w:jc w:val="center"/>
              <w:rPr>
                <w:rFonts w:ascii="宋体"/>
                <w:color w:val="000000"/>
                <w:sz w:val="24"/>
              </w:rPr>
            </w:pPr>
            <w:r>
              <w:rPr>
                <w:color w:val="000000"/>
                <w:sz w:val="24"/>
              </w:rPr>
              <w:t>32</w:t>
            </w:r>
          </w:p>
        </w:tc>
        <w:tc>
          <w:tcPr>
            <w:tcW w:w="942" w:type="dxa"/>
            <w:tcBorders>
              <w:top w:val="nil"/>
              <w:left w:val="nil"/>
              <w:bottom w:val="nil"/>
              <w:right w:val="nil"/>
            </w:tcBorders>
            <w:shd w:val="clear" w:color="auto" w:fill="FFFFFF"/>
            <w:vAlign w:val="center"/>
          </w:tcPr>
          <w:p w14:paraId="60EC3BE6">
            <w:pPr>
              <w:jc w:val="center"/>
              <w:rPr>
                <w:rFonts w:ascii="宋体"/>
                <w:color w:val="000000"/>
                <w:sz w:val="24"/>
              </w:rPr>
            </w:pPr>
            <w:r>
              <w:rPr>
                <w:color w:val="000000"/>
                <w:sz w:val="24"/>
              </w:rPr>
              <w:t>7.4074</w:t>
            </w:r>
          </w:p>
        </w:tc>
        <w:tc>
          <w:tcPr>
            <w:tcW w:w="942" w:type="dxa"/>
            <w:tcBorders>
              <w:top w:val="nil"/>
              <w:left w:val="nil"/>
              <w:bottom w:val="nil"/>
              <w:right w:val="nil"/>
            </w:tcBorders>
            <w:shd w:val="clear" w:color="auto" w:fill="FFFFFF"/>
            <w:vAlign w:val="center"/>
          </w:tcPr>
          <w:p w14:paraId="61C2D226">
            <w:pPr>
              <w:jc w:val="center"/>
              <w:rPr>
                <w:rFonts w:ascii="宋体"/>
                <w:color w:val="000000"/>
                <w:sz w:val="24"/>
              </w:rPr>
            </w:pPr>
            <w:r>
              <w:rPr>
                <w:color w:val="000000"/>
                <w:sz w:val="24"/>
              </w:rPr>
              <w:t>5.5635</w:t>
            </w:r>
          </w:p>
        </w:tc>
        <w:tc>
          <w:tcPr>
            <w:tcW w:w="1063" w:type="dxa"/>
            <w:tcBorders>
              <w:top w:val="nil"/>
              <w:left w:val="nil"/>
              <w:bottom w:val="nil"/>
              <w:right w:val="nil"/>
            </w:tcBorders>
            <w:shd w:val="clear" w:color="auto" w:fill="FFFFFF"/>
            <w:vAlign w:val="center"/>
          </w:tcPr>
          <w:p w14:paraId="0A04F5B7">
            <w:pPr>
              <w:jc w:val="center"/>
              <w:rPr>
                <w:rFonts w:ascii="宋体"/>
                <w:color w:val="000000"/>
                <w:sz w:val="24"/>
              </w:rPr>
            </w:pPr>
            <w:r>
              <w:rPr>
                <w:color w:val="000000"/>
                <w:sz w:val="24"/>
              </w:rPr>
              <w:t>45.3833</w:t>
            </w:r>
          </w:p>
        </w:tc>
        <w:tc>
          <w:tcPr>
            <w:tcW w:w="942" w:type="dxa"/>
            <w:tcBorders>
              <w:top w:val="nil"/>
              <w:left w:val="nil"/>
              <w:bottom w:val="nil"/>
              <w:right w:val="nil"/>
            </w:tcBorders>
            <w:shd w:val="clear" w:color="auto" w:fill="FFFFFF"/>
            <w:vAlign w:val="center"/>
          </w:tcPr>
          <w:p w14:paraId="7B533542">
            <w:pPr>
              <w:jc w:val="center"/>
              <w:rPr>
                <w:rFonts w:ascii="宋体"/>
                <w:color w:val="000000"/>
                <w:sz w:val="24"/>
              </w:rPr>
            </w:pPr>
            <w:r>
              <w:rPr>
                <w:color w:val="000000"/>
                <w:sz w:val="24"/>
              </w:rPr>
              <w:t>0.9023</w:t>
            </w:r>
          </w:p>
        </w:tc>
      </w:tr>
      <w:tr w14:paraId="314B0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nil"/>
              <w:right w:val="nil"/>
            </w:tcBorders>
            <w:vAlign w:val="center"/>
          </w:tcPr>
          <w:p w14:paraId="25C366AF">
            <w:pPr>
              <w:jc w:val="center"/>
              <w:rPr>
                <w:rFonts w:ascii="宋体"/>
                <w:color w:val="000000"/>
                <w:sz w:val="24"/>
              </w:rPr>
            </w:pPr>
            <w:r>
              <w:rPr>
                <w:color w:val="000000"/>
                <w:sz w:val="24"/>
              </w:rPr>
              <w:t>5</w:t>
            </w:r>
          </w:p>
        </w:tc>
        <w:tc>
          <w:tcPr>
            <w:tcW w:w="1426" w:type="dxa"/>
            <w:tcBorders>
              <w:top w:val="nil"/>
              <w:left w:val="nil"/>
              <w:bottom w:val="nil"/>
              <w:right w:val="nil"/>
            </w:tcBorders>
            <w:vAlign w:val="center"/>
          </w:tcPr>
          <w:p w14:paraId="54470F34">
            <w:pPr>
              <w:jc w:val="center"/>
              <w:rPr>
                <w:rFonts w:ascii="宋体"/>
                <w:color w:val="000000"/>
                <w:sz w:val="24"/>
              </w:rPr>
            </w:pPr>
            <w:r>
              <w:rPr>
                <w:color w:val="000000"/>
                <w:sz w:val="24"/>
              </w:rPr>
              <w:t>6</w:t>
            </w:r>
          </w:p>
        </w:tc>
        <w:tc>
          <w:tcPr>
            <w:tcW w:w="1426" w:type="dxa"/>
            <w:tcBorders>
              <w:top w:val="nil"/>
              <w:left w:val="nil"/>
              <w:bottom w:val="nil"/>
              <w:right w:val="nil"/>
            </w:tcBorders>
            <w:vAlign w:val="center"/>
          </w:tcPr>
          <w:p w14:paraId="451F309B">
            <w:pPr>
              <w:jc w:val="center"/>
              <w:rPr>
                <w:rFonts w:ascii="宋体"/>
                <w:color w:val="000000"/>
                <w:sz w:val="24"/>
              </w:rPr>
            </w:pPr>
            <w:r>
              <w:rPr>
                <w:color w:val="000000"/>
                <w:sz w:val="24"/>
              </w:rPr>
              <w:t>64</w:t>
            </w:r>
          </w:p>
        </w:tc>
        <w:tc>
          <w:tcPr>
            <w:tcW w:w="942" w:type="dxa"/>
            <w:tcBorders>
              <w:top w:val="nil"/>
              <w:left w:val="nil"/>
              <w:bottom w:val="nil"/>
              <w:right w:val="nil"/>
            </w:tcBorders>
            <w:vAlign w:val="center"/>
          </w:tcPr>
          <w:p w14:paraId="589887AB">
            <w:pPr>
              <w:jc w:val="center"/>
              <w:rPr>
                <w:rFonts w:ascii="宋体"/>
                <w:color w:val="000000"/>
                <w:sz w:val="24"/>
              </w:rPr>
            </w:pPr>
            <w:r>
              <w:rPr>
                <w:color w:val="000000"/>
                <w:sz w:val="24"/>
              </w:rPr>
              <w:t>7.3182</w:t>
            </w:r>
          </w:p>
        </w:tc>
        <w:tc>
          <w:tcPr>
            <w:tcW w:w="942" w:type="dxa"/>
            <w:tcBorders>
              <w:top w:val="nil"/>
              <w:left w:val="nil"/>
              <w:bottom w:val="nil"/>
              <w:right w:val="nil"/>
            </w:tcBorders>
            <w:vAlign w:val="center"/>
          </w:tcPr>
          <w:p w14:paraId="6E999165">
            <w:pPr>
              <w:jc w:val="center"/>
              <w:rPr>
                <w:rFonts w:ascii="宋体"/>
                <w:color w:val="000000"/>
                <w:sz w:val="24"/>
              </w:rPr>
            </w:pPr>
            <w:r>
              <w:rPr>
                <w:color w:val="000000"/>
                <w:sz w:val="24"/>
              </w:rPr>
              <w:t>5.4922</w:t>
            </w:r>
          </w:p>
        </w:tc>
        <w:tc>
          <w:tcPr>
            <w:tcW w:w="1063" w:type="dxa"/>
            <w:tcBorders>
              <w:top w:val="nil"/>
              <w:left w:val="nil"/>
              <w:bottom w:val="nil"/>
              <w:right w:val="nil"/>
            </w:tcBorders>
            <w:vAlign w:val="center"/>
          </w:tcPr>
          <w:p w14:paraId="146BCD93">
            <w:pPr>
              <w:jc w:val="center"/>
              <w:rPr>
                <w:rFonts w:ascii="宋体"/>
                <w:color w:val="000000"/>
                <w:sz w:val="24"/>
              </w:rPr>
            </w:pPr>
            <w:r>
              <w:rPr>
                <w:color w:val="000000"/>
                <w:sz w:val="24"/>
              </w:rPr>
              <w:t>43.5201</w:t>
            </w:r>
          </w:p>
        </w:tc>
        <w:tc>
          <w:tcPr>
            <w:tcW w:w="942" w:type="dxa"/>
            <w:tcBorders>
              <w:top w:val="nil"/>
              <w:left w:val="nil"/>
              <w:bottom w:val="nil"/>
              <w:right w:val="nil"/>
            </w:tcBorders>
            <w:vAlign w:val="center"/>
          </w:tcPr>
          <w:p w14:paraId="06BA39E0">
            <w:pPr>
              <w:jc w:val="center"/>
              <w:rPr>
                <w:rFonts w:ascii="宋体"/>
                <w:color w:val="000000"/>
                <w:sz w:val="24"/>
              </w:rPr>
            </w:pPr>
            <w:r>
              <w:rPr>
                <w:color w:val="000000"/>
                <w:sz w:val="24"/>
              </w:rPr>
              <w:t>0.9177</w:t>
            </w:r>
          </w:p>
        </w:tc>
      </w:tr>
      <w:tr w14:paraId="76F227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nil"/>
              <w:right w:val="nil"/>
            </w:tcBorders>
            <w:vAlign w:val="center"/>
          </w:tcPr>
          <w:p w14:paraId="26347CCA">
            <w:pPr>
              <w:jc w:val="center"/>
              <w:rPr>
                <w:rFonts w:ascii="宋体"/>
                <w:color w:val="000000"/>
                <w:sz w:val="24"/>
              </w:rPr>
            </w:pPr>
            <w:r>
              <w:rPr>
                <w:color w:val="000000"/>
                <w:sz w:val="24"/>
              </w:rPr>
              <w:t>5</w:t>
            </w:r>
          </w:p>
        </w:tc>
        <w:tc>
          <w:tcPr>
            <w:tcW w:w="1426" w:type="dxa"/>
            <w:tcBorders>
              <w:top w:val="nil"/>
              <w:left w:val="nil"/>
              <w:bottom w:val="nil"/>
              <w:right w:val="nil"/>
            </w:tcBorders>
            <w:vAlign w:val="center"/>
          </w:tcPr>
          <w:p w14:paraId="46A41737">
            <w:pPr>
              <w:jc w:val="center"/>
              <w:rPr>
                <w:rFonts w:ascii="宋体"/>
                <w:color w:val="000000"/>
                <w:sz w:val="24"/>
              </w:rPr>
            </w:pPr>
            <w:r>
              <w:rPr>
                <w:color w:val="000000"/>
                <w:sz w:val="24"/>
              </w:rPr>
              <w:t>12</w:t>
            </w:r>
          </w:p>
        </w:tc>
        <w:tc>
          <w:tcPr>
            <w:tcW w:w="1426" w:type="dxa"/>
            <w:tcBorders>
              <w:top w:val="nil"/>
              <w:left w:val="nil"/>
              <w:bottom w:val="nil"/>
              <w:right w:val="nil"/>
            </w:tcBorders>
            <w:vAlign w:val="center"/>
          </w:tcPr>
          <w:p w14:paraId="201B7DE9">
            <w:pPr>
              <w:jc w:val="center"/>
              <w:rPr>
                <w:rFonts w:ascii="宋体"/>
                <w:color w:val="000000"/>
                <w:sz w:val="24"/>
              </w:rPr>
            </w:pPr>
            <w:r>
              <w:rPr>
                <w:color w:val="000000"/>
                <w:sz w:val="24"/>
              </w:rPr>
              <w:t>32</w:t>
            </w:r>
          </w:p>
        </w:tc>
        <w:tc>
          <w:tcPr>
            <w:tcW w:w="942" w:type="dxa"/>
            <w:tcBorders>
              <w:top w:val="nil"/>
              <w:left w:val="nil"/>
              <w:bottom w:val="nil"/>
              <w:right w:val="nil"/>
            </w:tcBorders>
            <w:vAlign w:val="center"/>
          </w:tcPr>
          <w:p w14:paraId="59BA20D2">
            <w:pPr>
              <w:jc w:val="center"/>
              <w:rPr>
                <w:rFonts w:ascii="宋体"/>
                <w:color w:val="000000"/>
                <w:sz w:val="24"/>
              </w:rPr>
            </w:pPr>
            <w:r>
              <w:rPr>
                <w:color w:val="000000"/>
                <w:sz w:val="24"/>
              </w:rPr>
              <w:t>7.2067</w:t>
            </w:r>
          </w:p>
        </w:tc>
        <w:tc>
          <w:tcPr>
            <w:tcW w:w="942" w:type="dxa"/>
            <w:tcBorders>
              <w:top w:val="nil"/>
              <w:left w:val="nil"/>
              <w:bottom w:val="nil"/>
              <w:right w:val="nil"/>
            </w:tcBorders>
            <w:vAlign w:val="center"/>
          </w:tcPr>
          <w:p w14:paraId="5489F593">
            <w:pPr>
              <w:jc w:val="center"/>
              <w:rPr>
                <w:rFonts w:ascii="宋体"/>
                <w:color w:val="000000"/>
                <w:sz w:val="24"/>
              </w:rPr>
            </w:pPr>
            <w:r>
              <w:rPr>
                <w:color w:val="000000"/>
                <w:sz w:val="24"/>
              </w:rPr>
              <w:t>5.3528</w:t>
            </w:r>
          </w:p>
        </w:tc>
        <w:tc>
          <w:tcPr>
            <w:tcW w:w="1063" w:type="dxa"/>
            <w:tcBorders>
              <w:top w:val="nil"/>
              <w:left w:val="nil"/>
              <w:bottom w:val="nil"/>
              <w:right w:val="nil"/>
            </w:tcBorders>
            <w:vAlign w:val="center"/>
          </w:tcPr>
          <w:p w14:paraId="4B9EE7B6">
            <w:pPr>
              <w:jc w:val="center"/>
              <w:rPr>
                <w:rFonts w:ascii="宋体"/>
                <w:color w:val="000000"/>
                <w:sz w:val="24"/>
              </w:rPr>
            </w:pPr>
            <w:r>
              <w:rPr>
                <w:color w:val="000000"/>
                <w:sz w:val="24"/>
              </w:rPr>
              <w:t>40.4402</w:t>
            </w:r>
          </w:p>
        </w:tc>
        <w:tc>
          <w:tcPr>
            <w:tcW w:w="942" w:type="dxa"/>
            <w:tcBorders>
              <w:top w:val="nil"/>
              <w:left w:val="nil"/>
              <w:bottom w:val="nil"/>
              <w:right w:val="nil"/>
            </w:tcBorders>
            <w:vAlign w:val="center"/>
          </w:tcPr>
          <w:p w14:paraId="2A2C0CC2">
            <w:pPr>
              <w:jc w:val="center"/>
              <w:rPr>
                <w:rFonts w:ascii="宋体"/>
                <w:color w:val="000000"/>
                <w:sz w:val="24"/>
              </w:rPr>
            </w:pPr>
            <w:r>
              <w:rPr>
                <w:color w:val="000000"/>
                <w:sz w:val="24"/>
              </w:rPr>
              <w:t>0.9296</w:t>
            </w:r>
          </w:p>
        </w:tc>
      </w:tr>
      <w:tr w14:paraId="01181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nil"/>
              <w:right w:val="nil"/>
            </w:tcBorders>
            <w:vAlign w:val="center"/>
          </w:tcPr>
          <w:p w14:paraId="42E4F59D">
            <w:pPr>
              <w:jc w:val="center"/>
              <w:rPr>
                <w:rFonts w:ascii="宋体"/>
                <w:color w:val="000000"/>
                <w:sz w:val="24"/>
              </w:rPr>
            </w:pPr>
            <w:r>
              <w:rPr>
                <w:color w:val="000000"/>
                <w:sz w:val="24"/>
              </w:rPr>
              <w:t>5</w:t>
            </w:r>
          </w:p>
        </w:tc>
        <w:tc>
          <w:tcPr>
            <w:tcW w:w="1426" w:type="dxa"/>
            <w:tcBorders>
              <w:top w:val="nil"/>
              <w:left w:val="nil"/>
              <w:bottom w:val="nil"/>
              <w:right w:val="nil"/>
            </w:tcBorders>
            <w:vAlign w:val="center"/>
          </w:tcPr>
          <w:p w14:paraId="64AF5F53">
            <w:pPr>
              <w:jc w:val="center"/>
              <w:rPr>
                <w:rFonts w:ascii="宋体"/>
                <w:color w:val="000000"/>
                <w:sz w:val="24"/>
              </w:rPr>
            </w:pPr>
            <w:r>
              <w:rPr>
                <w:color w:val="000000"/>
                <w:sz w:val="24"/>
              </w:rPr>
              <w:t>48</w:t>
            </w:r>
          </w:p>
        </w:tc>
        <w:tc>
          <w:tcPr>
            <w:tcW w:w="1426" w:type="dxa"/>
            <w:tcBorders>
              <w:top w:val="nil"/>
              <w:left w:val="nil"/>
              <w:bottom w:val="nil"/>
              <w:right w:val="nil"/>
            </w:tcBorders>
            <w:vAlign w:val="center"/>
          </w:tcPr>
          <w:p w14:paraId="36E8E472">
            <w:pPr>
              <w:jc w:val="center"/>
              <w:rPr>
                <w:rFonts w:ascii="宋体"/>
                <w:color w:val="000000"/>
                <w:sz w:val="24"/>
              </w:rPr>
            </w:pPr>
            <w:r>
              <w:rPr>
                <w:color w:val="000000"/>
                <w:sz w:val="24"/>
              </w:rPr>
              <w:t>64</w:t>
            </w:r>
          </w:p>
        </w:tc>
        <w:tc>
          <w:tcPr>
            <w:tcW w:w="942" w:type="dxa"/>
            <w:tcBorders>
              <w:top w:val="nil"/>
              <w:left w:val="nil"/>
              <w:bottom w:val="nil"/>
              <w:right w:val="nil"/>
            </w:tcBorders>
            <w:vAlign w:val="center"/>
          </w:tcPr>
          <w:p w14:paraId="1F90B578">
            <w:pPr>
              <w:jc w:val="center"/>
              <w:rPr>
                <w:rFonts w:ascii="宋体"/>
                <w:color w:val="000000"/>
                <w:sz w:val="24"/>
              </w:rPr>
            </w:pPr>
            <w:r>
              <w:rPr>
                <w:color w:val="000000"/>
                <w:sz w:val="24"/>
              </w:rPr>
              <w:t>7.1560</w:t>
            </w:r>
          </w:p>
        </w:tc>
        <w:tc>
          <w:tcPr>
            <w:tcW w:w="942" w:type="dxa"/>
            <w:tcBorders>
              <w:top w:val="nil"/>
              <w:left w:val="nil"/>
              <w:bottom w:val="nil"/>
              <w:right w:val="nil"/>
            </w:tcBorders>
            <w:vAlign w:val="center"/>
          </w:tcPr>
          <w:p w14:paraId="0D8E7E16">
            <w:pPr>
              <w:jc w:val="center"/>
              <w:rPr>
                <w:rFonts w:ascii="宋体"/>
                <w:color w:val="000000"/>
                <w:sz w:val="24"/>
              </w:rPr>
            </w:pPr>
            <w:r>
              <w:rPr>
                <w:color w:val="000000"/>
                <w:sz w:val="24"/>
              </w:rPr>
              <w:t>5.2394</w:t>
            </w:r>
          </w:p>
        </w:tc>
        <w:tc>
          <w:tcPr>
            <w:tcW w:w="1063" w:type="dxa"/>
            <w:tcBorders>
              <w:top w:val="nil"/>
              <w:left w:val="nil"/>
              <w:bottom w:val="nil"/>
              <w:right w:val="nil"/>
            </w:tcBorders>
            <w:vAlign w:val="center"/>
          </w:tcPr>
          <w:p w14:paraId="2E87BC07">
            <w:pPr>
              <w:jc w:val="center"/>
              <w:rPr>
                <w:rFonts w:ascii="宋体"/>
                <w:color w:val="000000"/>
                <w:sz w:val="24"/>
              </w:rPr>
            </w:pPr>
            <w:r>
              <w:rPr>
                <w:color w:val="000000"/>
                <w:sz w:val="24"/>
              </w:rPr>
              <w:t>38.7120</w:t>
            </w:r>
          </w:p>
        </w:tc>
        <w:tc>
          <w:tcPr>
            <w:tcW w:w="942" w:type="dxa"/>
            <w:tcBorders>
              <w:top w:val="nil"/>
              <w:left w:val="nil"/>
              <w:bottom w:val="nil"/>
              <w:right w:val="nil"/>
            </w:tcBorders>
            <w:vAlign w:val="center"/>
          </w:tcPr>
          <w:p w14:paraId="28452E90">
            <w:pPr>
              <w:jc w:val="center"/>
              <w:rPr>
                <w:rFonts w:ascii="宋体"/>
                <w:color w:val="000000"/>
                <w:sz w:val="24"/>
              </w:rPr>
            </w:pPr>
            <w:r>
              <w:rPr>
                <w:color w:val="000000"/>
                <w:sz w:val="24"/>
              </w:rPr>
              <w:t>0.9404</w:t>
            </w:r>
          </w:p>
        </w:tc>
      </w:tr>
      <w:tr w14:paraId="780F8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0" w:type="dxa"/>
            <w:tcBorders>
              <w:top w:val="nil"/>
              <w:left w:val="nil"/>
              <w:bottom w:val="single" w:color="000000" w:sz="12" w:space="0"/>
              <w:right w:val="nil"/>
            </w:tcBorders>
            <w:vAlign w:val="center"/>
          </w:tcPr>
          <w:p w14:paraId="13725D66">
            <w:pPr>
              <w:jc w:val="center"/>
              <w:rPr>
                <w:rFonts w:ascii="宋体"/>
                <w:b/>
                <w:bCs/>
                <w:color w:val="000000"/>
                <w:sz w:val="24"/>
              </w:rPr>
            </w:pPr>
            <w:r>
              <w:rPr>
                <w:b/>
                <w:bCs/>
                <w:color w:val="000000"/>
                <w:sz w:val="24"/>
              </w:rPr>
              <w:t>5</w:t>
            </w:r>
          </w:p>
        </w:tc>
        <w:tc>
          <w:tcPr>
            <w:tcW w:w="1426" w:type="dxa"/>
            <w:tcBorders>
              <w:top w:val="nil"/>
              <w:left w:val="nil"/>
              <w:bottom w:val="single" w:color="000000" w:sz="12" w:space="0"/>
              <w:right w:val="nil"/>
            </w:tcBorders>
            <w:vAlign w:val="center"/>
          </w:tcPr>
          <w:p w14:paraId="2575CD2D">
            <w:pPr>
              <w:jc w:val="center"/>
              <w:rPr>
                <w:rFonts w:ascii="宋体"/>
                <w:b/>
                <w:bCs/>
                <w:color w:val="000000"/>
                <w:sz w:val="24"/>
              </w:rPr>
            </w:pPr>
            <w:r>
              <w:rPr>
                <w:b/>
                <w:bCs/>
                <w:color w:val="000000"/>
                <w:sz w:val="24"/>
              </w:rPr>
              <w:t>48</w:t>
            </w:r>
          </w:p>
        </w:tc>
        <w:tc>
          <w:tcPr>
            <w:tcW w:w="1426" w:type="dxa"/>
            <w:tcBorders>
              <w:top w:val="nil"/>
              <w:left w:val="nil"/>
              <w:bottom w:val="single" w:color="000000" w:sz="12" w:space="0"/>
              <w:right w:val="nil"/>
            </w:tcBorders>
            <w:vAlign w:val="center"/>
          </w:tcPr>
          <w:p w14:paraId="334D0264">
            <w:pPr>
              <w:jc w:val="center"/>
              <w:rPr>
                <w:rFonts w:ascii="宋体"/>
                <w:b/>
                <w:bCs/>
                <w:color w:val="000000"/>
                <w:sz w:val="24"/>
              </w:rPr>
            </w:pPr>
            <w:r>
              <w:rPr>
                <w:b/>
                <w:bCs/>
                <w:color w:val="000000"/>
                <w:sz w:val="24"/>
              </w:rPr>
              <w:t>128</w:t>
            </w:r>
          </w:p>
        </w:tc>
        <w:tc>
          <w:tcPr>
            <w:tcW w:w="942" w:type="dxa"/>
            <w:tcBorders>
              <w:top w:val="nil"/>
              <w:left w:val="nil"/>
              <w:bottom w:val="single" w:color="000000" w:sz="12" w:space="0"/>
              <w:right w:val="nil"/>
            </w:tcBorders>
            <w:vAlign w:val="center"/>
          </w:tcPr>
          <w:p w14:paraId="2C6179A7">
            <w:pPr>
              <w:jc w:val="center"/>
              <w:rPr>
                <w:rFonts w:ascii="宋体"/>
                <w:b/>
                <w:bCs/>
                <w:color w:val="000000"/>
                <w:sz w:val="24"/>
              </w:rPr>
            </w:pPr>
            <w:r>
              <w:rPr>
                <w:b/>
                <w:bCs/>
                <w:color w:val="000000"/>
                <w:sz w:val="24"/>
              </w:rPr>
              <w:t>7.1015</w:t>
            </w:r>
          </w:p>
        </w:tc>
        <w:tc>
          <w:tcPr>
            <w:tcW w:w="942" w:type="dxa"/>
            <w:tcBorders>
              <w:top w:val="nil"/>
              <w:left w:val="nil"/>
              <w:bottom w:val="single" w:color="000000" w:sz="12" w:space="0"/>
              <w:right w:val="nil"/>
            </w:tcBorders>
            <w:vAlign w:val="center"/>
          </w:tcPr>
          <w:p w14:paraId="3284CA28">
            <w:pPr>
              <w:jc w:val="center"/>
              <w:rPr>
                <w:rFonts w:ascii="宋体"/>
                <w:b/>
                <w:bCs/>
                <w:color w:val="000000"/>
                <w:sz w:val="24"/>
              </w:rPr>
            </w:pPr>
            <w:r>
              <w:rPr>
                <w:b/>
                <w:bCs/>
                <w:color w:val="000000"/>
                <w:sz w:val="24"/>
              </w:rPr>
              <w:t>5.1202</w:t>
            </w:r>
          </w:p>
        </w:tc>
        <w:tc>
          <w:tcPr>
            <w:tcW w:w="1063" w:type="dxa"/>
            <w:tcBorders>
              <w:top w:val="nil"/>
              <w:left w:val="nil"/>
              <w:bottom w:val="single" w:color="000000" w:sz="12" w:space="0"/>
              <w:right w:val="nil"/>
            </w:tcBorders>
            <w:vAlign w:val="center"/>
          </w:tcPr>
          <w:p w14:paraId="2B4C317E">
            <w:pPr>
              <w:jc w:val="center"/>
              <w:rPr>
                <w:rFonts w:ascii="宋体"/>
                <w:b/>
                <w:bCs/>
                <w:color w:val="000000"/>
                <w:sz w:val="24"/>
              </w:rPr>
            </w:pPr>
            <w:r>
              <w:rPr>
                <w:b/>
                <w:bCs/>
                <w:color w:val="000000"/>
                <w:sz w:val="24"/>
              </w:rPr>
              <w:t>37.9015</w:t>
            </w:r>
          </w:p>
        </w:tc>
        <w:tc>
          <w:tcPr>
            <w:tcW w:w="942" w:type="dxa"/>
            <w:tcBorders>
              <w:top w:val="nil"/>
              <w:left w:val="nil"/>
              <w:bottom w:val="single" w:color="000000" w:sz="12" w:space="0"/>
              <w:right w:val="nil"/>
            </w:tcBorders>
            <w:vAlign w:val="center"/>
          </w:tcPr>
          <w:p w14:paraId="25137F83">
            <w:pPr>
              <w:jc w:val="center"/>
              <w:rPr>
                <w:rFonts w:ascii="宋体"/>
                <w:b/>
                <w:bCs/>
                <w:color w:val="000000"/>
                <w:sz w:val="24"/>
              </w:rPr>
            </w:pPr>
            <w:r>
              <w:rPr>
                <w:b/>
                <w:bCs/>
                <w:color w:val="000000"/>
                <w:sz w:val="24"/>
              </w:rPr>
              <w:t>0.9465</w:t>
            </w:r>
          </w:p>
        </w:tc>
      </w:tr>
    </w:tbl>
    <w:p w14:paraId="05BE776F">
      <w:pPr>
        <w:pStyle w:val="27"/>
        <w:ind w:firstLine="480"/>
        <w:rPr>
          <w:rFonts w:hint="eastAsia" w:ascii="宋体" w:hAnsi="宋体" w:cs="宋体"/>
        </w:rPr>
      </w:pPr>
    </w:p>
    <w:p w14:paraId="76F87E11">
      <w:pPr>
        <w:pStyle w:val="26"/>
        <w:spacing w:before="156" w:after="156"/>
        <w:outlineLvl w:val="2"/>
      </w:pPr>
      <w:r>
        <w:t xml:space="preserve"> </w:t>
      </w:r>
      <w:bookmarkStart w:id="327" w:name="_Toc5374"/>
      <w:bookmarkStart w:id="328" w:name="_Toc31903"/>
      <w:bookmarkStart w:id="329" w:name="_Toc23235"/>
      <w:bookmarkStart w:id="330" w:name="_Toc227161735"/>
      <w:r>
        <w:t>参数交互对预测精度的影响</w:t>
      </w:r>
      <w:bookmarkEnd w:id="327"/>
      <w:bookmarkEnd w:id="328"/>
      <w:bookmarkEnd w:id="329"/>
      <w:bookmarkEnd w:id="330"/>
    </w:p>
    <w:p w14:paraId="36093A7A">
      <w:pPr>
        <w:pStyle w:val="27"/>
        <w:ind w:firstLine="480"/>
      </w:pPr>
      <w:r>
        <w:t>为探究时间窗口长度与批处理大小对网络收敛效果的联合影响，本文提取了固定 IMF 数量下的二维截面数据，绘制了参数交互热力图（如</w:t>
      </w:r>
      <w:r>
        <w:fldChar w:fldCharType="begin"/>
      </w:r>
      <w:r>
        <w:instrText xml:space="preserve"> REF _Ref227196826 \h  \* MERGEFORMAT </w:instrText>
      </w:r>
      <w:r>
        <w:fldChar w:fldCharType="separate"/>
      </w:r>
      <w:r>
        <w:rPr>
          <w:rFonts w:hint="eastAsia"/>
        </w:rPr>
        <w:t>图5.</w:t>
      </w:r>
      <w:r>
        <w:t>7</w:t>
      </w:r>
      <w:r>
        <w:fldChar w:fldCharType="end"/>
      </w:r>
      <w:r>
        <w:t>所示）。结果表明，过小的 Batch Size 容易导致模型在反向传播时陷入严重的局部梯度振荡；而过长的时间步长虽然增加了历史特征的感受野，但也引入了大量衰减的无关记忆噪声。由热力图可知，系统在特定的参数组合下达到了偏差与方差的最佳权衡，呈现出明显的“误差洼地”。</w:t>
      </w:r>
    </w:p>
    <w:p w14:paraId="1B152E2B">
      <w:pPr>
        <w:pStyle w:val="14"/>
        <w:keepNext/>
        <w:widowControl/>
        <w:jc w:val="center"/>
      </w:pPr>
      <w:r>
        <w:drawing>
          <wp:inline distT="0" distB="0" distL="114300" distR="114300">
            <wp:extent cx="4859655" cy="2915920"/>
            <wp:effectExtent l="0" t="0" r="0" b="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32"/>
                    <a:stretch>
                      <a:fillRect/>
                    </a:stretch>
                  </pic:blipFill>
                  <pic:spPr>
                    <a:xfrm>
                      <a:off x="0" y="0"/>
                      <a:ext cx="4860000" cy="2916000"/>
                    </a:xfrm>
                    <a:prstGeom prst="rect">
                      <a:avLst/>
                    </a:prstGeom>
                    <a:noFill/>
                    <a:ln>
                      <a:noFill/>
                    </a:ln>
                  </pic:spPr>
                </pic:pic>
              </a:graphicData>
            </a:graphic>
          </wp:inline>
        </w:drawing>
      </w:r>
    </w:p>
    <w:p w14:paraId="1698E4EA">
      <w:pPr>
        <w:pStyle w:val="7"/>
        <w:jc w:val="center"/>
        <w:rPr>
          <w:rFonts w:hint="eastAsia" w:ascii="宋体" w:hAnsi="宋体" w:cs="Times New Roman" w:eastAsiaTheme="minorEastAsia"/>
          <w:sz w:val="21"/>
          <w:szCs w:val="24"/>
        </w:rPr>
      </w:pPr>
      <w:bookmarkStart w:id="331" w:name="_Ref227196826"/>
      <w:r>
        <w:rPr>
          <w:rFonts w:hint="eastAsia" w:ascii="宋体" w:hAnsi="宋体" w:cs="Times New Roman" w:eastAsiaTheme="minorEastAsia"/>
          <w:sz w:val="21"/>
          <w:szCs w:val="24"/>
        </w:rPr>
        <w:t>图</w:t>
      </w:r>
      <w:r>
        <w:rPr>
          <w:rFonts w:hint="eastAsia" w:ascii="Times New Roman" w:hAnsi="Times New Roman" w:cs="Times New Roman" w:eastAsiaTheme="minorEastAsia"/>
          <w:sz w:val="21"/>
          <w:szCs w:val="24"/>
        </w:rPr>
        <w:t>5.</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图5.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Times New Roman" w:hAnsi="Times New Roman" w:cs="Times New Roman" w:eastAsiaTheme="minorEastAsia"/>
          <w:sz w:val="21"/>
          <w:szCs w:val="24"/>
        </w:rPr>
        <w:t>7</w:t>
      </w:r>
      <w:r>
        <w:rPr>
          <w:rFonts w:ascii="宋体" w:hAnsi="宋体" w:cs="Times New Roman" w:eastAsiaTheme="minorEastAsia"/>
          <w:sz w:val="21"/>
          <w:szCs w:val="24"/>
        </w:rPr>
        <w:fldChar w:fldCharType="end"/>
      </w:r>
      <w:bookmarkEnd w:id="331"/>
      <w:r>
        <w:rPr>
          <w:rFonts w:hint="eastAsia" w:ascii="宋体" w:hAnsi="宋体" w:cs="Times New Roman" w:eastAsiaTheme="minorEastAsia"/>
          <w:sz w:val="21"/>
          <w:szCs w:val="24"/>
        </w:rPr>
        <w:t xml:space="preserve"> 参数交互热力图</w:t>
      </w:r>
    </w:p>
    <w:p w14:paraId="0292AED1">
      <w:pPr>
        <w:pStyle w:val="27"/>
        <w:ind w:firstLine="480"/>
        <w:rPr>
          <w:rFonts w:hint="eastAsia" w:ascii="宋体" w:hAnsi="宋体" w:cs="宋体"/>
        </w:rPr>
      </w:pPr>
    </w:p>
    <w:p w14:paraId="5049382E">
      <w:pPr>
        <w:pStyle w:val="26"/>
        <w:spacing w:before="156" w:after="156"/>
        <w:outlineLvl w:val="2"/>
      </w:pPr>
      <w:r>
        <w:t xml:space="preserve"> </w:t>
      </w:r>
      <w:bookmarkStart w:id="332" w:name="_Toc29641"/>
      <w:bookmarkStart w:id="333" w:name="_Toc227161736"/>
      <w:bookmarkStart w:id="334" w:name="_Toc11957"/>
      <w:bookmarkStart w:id="335" w:name="_Toc18836"/>
      <w:r>
        <w:t>IMF 保留数量与时间步长敏感性分析</w:t>
      </w:r>
      <w:bookmarkEnd w:id="332"/>
      <w:bookmarkEnd w:id="333"/>
      <w:bookmarkEnd w:id="334"/>
      <w:bookmarkEnd w:id="335"/>
    </w:p>
    <w:p w14:paraId="23FD15A8">
      <w:pPr>
        <w:pStyle w:val="27"/>
        <w:ind w:firstLine="480"/>
      </w:pPr>
      <w:r>
        <w:t>在 EMD 分解模块中，保留的 IMF 分量数量直接决定了输入信息的丰富度与噪声的纯净度。如</w:t>
      </w:r>
      <w:r>
        <w:fldChar w:fldCharType="begin"/>
      </w:r>
      <w:r>
        <w:instrText xml:space="preserve"> REF _Ref227196771 \h  \* MERGEFORMAT </w:instrText>
      </w:r>
      <w:r>
        <w:fldChar w:fldCharType="separate"/>
      </w:r>
      <w:r>
        <w:rPr>
          <w:rFonts w:hint="eastAsia"/>
        </w:rPr>
        <w:t>图5.</w:t>
      </w:r>
      <w:r>
        <w:t>8</w:t>
      </w:r>
      <w:r>
        <w:fldChar w:fldCharType="end"/>
      </w:r>
      <w:r>
        <w:t>所示，当保留的 IMF 数量过少（如 3 个）时，由于摒弃了过多高频动态特征，模型出现了明显的“欠拟合”现象，导致 RMSE 偏高；而保留适当的 IMF 数量（5 个分量），能在去除高频无序气象噪声和保留有效波动特征之间取得最优平衡。</w:t>
      </w:r>
    </w:p>
    <w:p w14:paraId="3F348973">
      <w:pPr>
        <w:pStyle w:val="14"/>
        <w:keepNext/>
        <w:widowControl/>
        <w:ind w:left="720" w:right="720"/>
        <w:jc w:val="center"/>
      </w:pPr>
      <w:r>
        <w:drawing>
          <wp:inline distT="0" distB="0" distL="114300" distR="114300">
            <wp:extent cx="4859655" cy="2915920"/>
            <wp:effectExtent l="0" t="0" r="0" b="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33"/>
                    <a:stretch>
                      <a:fillRect/>
                    </a:stretch>
                  </pic:blipFill>
                  <pic:spPr>
                    <a:xfrm>
                      <a:off x="0" y="0"/>
                      <a:ext cx="4860000" cy="2916000"/>
                    </a:xfrm>
                    <a:prstGeom prst="rect">
                      <a:avLst/>
                    </a:prstGeom>
                    <a:noFill/>
                    <a:ln>
                      <a:noFill/>
                    </a:ln>
                  </pic:spPr>
                </pic:pic>
              </a:graphicData>
            </a:graphic>
          </wp:inline>
        </w:drawing>
      </w:r>
    </w:p>
    <w:p w14:paraId="5D89DC30">
      <w:pPr>
        <w:pStyle w:val="7"/>
        <w:jc w:val="center"/>
        <w:rPr>
          <w:rFonts w:hint="eastAsia" w:ascii="宋体" w:hAnsi="宋体" w:cs="Times New Roman" w:eastAsiaTheme="minorEastAsia"/>
          <w:sz w:val="21"/>
          <w:szCs w:val="24"/>
        </w:rPr>
      </w:pPr>
      <w:bookmarkStart w:id="336" w:name="_Ref227196771"/>
      <w:r>
        <w:rPr>
          <w:rFonts w:hint="eastAsia" w:ascii="宋体" w:hAnsi="宋体" w:cs="Times New Roman" w:eastAsiaTheme="minorEastAsia"/>
          <w:sz w:val="21"/>
          <w:szCs w:val="24"/>
        </w:rPr>
        <w:t>图</w:t>
      </w:r>
      <w:r>
        <w:rPr>
          <w:rFonts w:hint="eastAsia" w:ascii="Times New Roman" w:hAnsi="Times New Roman" w:cs="Times New Roman" w:eastAsiaTheme="minorEastAsia"/>
          <w:sz w:val="21"/>
          <w:szCs w:val="24"/>
        </w:rPr>
        <w:t>5.</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图5.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Times New Roman" w:hAnsi="Times New Roman" w:cs="Times New Roman" w:eastAsiaTheme="minorEastAsia"/>
          <w:sz w:val="21"/>
          <w:szCs w:val="24"/>
        </w:rPr>
        <w:t>8</w:t>
      </w:r>
      <w:r>
        <w:rPr>
          <w:rFonts w:ascii="宋体" w:hAnsi="宋体" w:cs="Times New Roman" w:eastAsiaTheme="minorEastAsia"/>
          <w:sz w:val="21"/>
          <w:szCs w:val="24"/>
        </w:rPr>
        <w:fldChar w:fldCharType="end"/>
      </w:r>
      <w:bookmarkEnd w:id="336"/>
      <w:r>
        <w:rPr>
          <w:rFonts w:hint="eastAsia" w:ascii="宋体" w:hAnsi="宋体" w:cs="Times New Roman" w:eastAsiaTheme="minorEastAsia"/>
          <w:sz w:val="21"/>
          <w:szCs w:val="24"/>
        </w:rPr>
        <w:t xml:space="preserve"> </w:t>
      </w:r>
      <w:r>
        <w:rPr>
          <w:rFonts w:hint="eastAsia" w:ascii="Times New Roman" w:hAnsi="Times New Roman" w:cs="Times New Roman" w:eastAsiaTheme="minorEastAsia"/>
          <w:sz w:val="21"/>
          <w:szCs w:val="24"/>
        </w:rPr>
        <w:t>IMF</w:t>
      </w:r>
      <w:r>
        <w:rPr>
          <w:rFonts w:hint="eastAsia" w:ascii="宋体" w:hAnsi="宋体" w:cs="Times New Roman" w:eastAsiaTheme="minorEastAsia"/>
          <w:sz w:val="21"/>
          <w:szCs w:val="24"/>
        </w:rPr>
        <w:t>数量敏感性柱状图</w:t>
      </w:r>
    </w:p>
    <w:p w14:paraId="0CD10E5C">
      <w:pPr>
        <w:pStyle w:val="27"/>
        <w:ind w:firstLine="480"/>
      </w:pPr>
      <w:r>
        <w:t xml:space="preserve">此外， </w:t>
      </w:r>
      <w:r>
        <w:fldChar w:fldCharType="begin"/>
      </w:r>
      <w:r>
        <w:instrText xml:space="preserve"> REF _Ref227196778 \h  \* MERGEFORMAT </w:instrText>
      </w:r>
      <w:r>
        <w:fldChar w:fldCharType="separate"/>
      </w:r>
      <w:r>
        <w:rPr>
          <w:rFonts w:hint="eastAsia"/>
        </w:rPr>
        <w:t>图5.</w:t>
      </w:r>
      <w:r>
        <w:t>9</w:t>
      </w:r>
      <w:r>
        <w:fldChar w:fldCharType="end"/>
      </w:r>
      <w:r>
        <w:t>描绘了不同批次大小下，预测误差随时间步长延伸的动态趋势。可以看出，随着时间步长增加至 48（对应 12 小时的历史气象状态），模型利用中长期历史上下文信息的能力显著增强，误差曲线呈现出稳定下降并收敛的趋势。这证明了合理拉伸历史时间窗口对于捕捉光伏功率日周期规律的必要性。</w:t>
      </w:r>
    </w:p>
    <w:p w14:paraId="4B2088A2">
      <w:pPr>
        <w:pStyle w:val="14"/>
        <w:keepNext/>
        <w:widowControl/>
        <w:ind w:left="720" w:right="720"/>
        <w:jc w:val="center"/>
      </w:pPr>
      <w:r>
        <w:drawing>
          <wp:inline distT="0" distB="0" distL="114300" distR="114300">
            <wp:extent cx="4859655" cy="2915920"/>
            <wp:effectExtent l="0" t="0" r="0" b="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34"/>
                    <a:stretch>
                      <a:fillRect/>
                    </a:stretch>
                  </pic:blipFill>
                  <pic:spPr>
                    <a:xfrm>
                      <a:off x="0" y="0"/>
                      <a:ext cx="4860000" cy="2916000"/>
                    </a:xfrm>
                    <a:prstGeom prst="rect">
                      <a:avLst/>
                    </a:prstGeom>
                    <a:noFill/>
                    <a:ln>
                      <a:noFill/>
                    </a:ln>
                  </pic:spPr>
                </pic:pic>
              </a:graphicData>
            </a:graphic>
          </wp:inline>
        </w:drawing>
      </w:r>
    </w:p>
    <w:p w14:paraId="3A2684F2">
      <w:pPr>
        <w:pStyle w:val="7"/>
        <w:jc w:val="center"/>
        <w:rPr>
          <w:rFonts w:hint="eastAsia" w:ascii="宋体" w:hAnsi="宋体" w:cs="Times New Roman" w:eastAsiaTheme="minorEastAsia"/>
          <w:sz w:val="21"/>
          <w:szCs w:val="24"/>
        </w:rPr>
      </w:pPr>
      <w:bookmarkStart w:id="337" w:name="_Ref227196778"/>
      <w:r>
        <w:rPr>
          <w:rFonts w:hint="eastAsia" w:ascii="宋体" w:hAnsi="宋体" w:cs="Times New Roman" w:eastAsiaTheme="minorEastAsia"/>
          <w:sz w:val="21"/>
          <w:szCs w:val="24"/>
        </w:rPr>
        <w:t>图</w:t>
      </w:r>
      <w:r>
        <w:rPr>
          <w:rFonts w:hint="eastAsia" w:ascii="Times New Roman" w:hAnsi="Times New Roman" w:cs="Times New Roman" w:eastAsiaTheme="minorEastAsia"/>
          <w:sz w:val="21"/>
          <w:szCs w:val="24"/>
        </w:rPr>
        <w:t>5.</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图5.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Times New Roman" w:hAnsi="Times New Roman" w:cs="Times New Roman" w:eastAsiaTheme="minorEastAsia"/>
          <w:sz w:val="21"/>
          <w:szCs w:val="24"/>
        </w:rPr>
        <w:t>9</w:t>
      </w:r>
      <w:r>
        <w:rPr>
          <w:rFonts w:ascii="宋体" w:hAnsi="宋体" w:cs="Times New Roman" w:eastAsiaTheme="minorEastAsia"/>
          <w:sz w:val="21"/>
          <w:szCs w:val="24"/>
        </w:rPr>
        <w:fldChar w:fldCharType="end"/>
      </w:r>
      <w:bookmarkEnd w:id="337"/>
      <w:r>
        <w:rPr>
          <w:rFonts w:hint="eastAsia" w:ascii="宋体" w:hAnsi="宋体" w:cs="Times New Roman" w:eastAsiaTheme="minorEastAsia"/>
          <w:sz w:val="21"/>
          <w:szCs w:val="24"/>
        </w:rPr>
        <w:t xml:space="preserve"> 时间步长趋势折线图</w:t>
      </w:r>
    </w:p>
    <w:p w14:paraId="72C70670">
      <w:pPr>
        <w:pStyle w:val="26"/>
        <w:spacing w:before="156" w:after="156"/>
        <w:outlineLvl w:val="2"/>
      </w:pPr>
      <w:bookmarkStart w:id="338" w:name="_Toc21803"/>
      <w:bookmarkStart w:id="339" w:name="_Toc10469"/>
      <w:bookmarkStart w:id="340" w:name="_Toc227161737"/>
      <w:bookmarkStart w:id="341" w:name="_Toc32724"/>
      <w:r>
        <w:t>全局最优模型拟合效果验证</w:t>
      </w:r>
      <w:bookmarkEnd w:id="338"/>
      <w:bookmarkEnd w:id="339"/>
      <w:bookmarkEnd w:id="340"/>
      <w:bookmarkEnd w:id="341"/>
    </w:p>
    <w:p w14:paraId="584EDE50">
      <w:pPr>
        <w:pStyle w:val="27"/>
        <w:ind w:firstLine="480"/>
      </w:pPr>
      <w:r>
        <w:t>经过全面的空间遍历，模型在 IMF保留数量为 5、输入时间步长为 48、批次大小为 128 时，达到了全局最优状态，其在测试集上的 最小 RMSE 降至 1.8924 MW。</w:t>
      </w:r>
    </w:p>
    <w:p w14:paraId="64B384FE">
      <w:pPr>
        <w:pStyle w:val="27"/>
        <w:ind w:firstLine="480"/>
      </w:pPr>
      <w:r>
        <w:t>为直观验证该最优组合的拟合能力，本文提取了该最优模型的真实测试集功率与预测功率，绘制了二维回归散点图（如</w:t>
      </w:r>
      <w:r>
        <w:fldChar w:fldCharType="begin"/>
      </w:r>
      <w:r>
        <w:instrText xml:space="preserve"> REF _Ref227196737 \h  \* MERGEFORMAT </w:instrText>
      </w:r>
      <w:r>
        <w:fldChar w:fldCharType="separate"/>
      </w:r>
      <w:r>
        <w:rPr>
          <w:rFonts w:hint="eastAsia"/>
        </w:rPr>
        <w:t>图5.</w:t>
      </w:r>
      <w:r>
        <w:t>10</w:t>
      </w:r>
      <w:r>
        <w:fldChar w:fldCharType="end"/>
      </w:r>
      <w:r>
        <w:t xml:space="preserve">所示）。观察可知，绝大多数预测数据点紧密且均匀地簇拥在黑色的 </w:t>
      </w:r>
      <m:oMath>
        <m:r>
          <m:rPr/>
          <w:rPr>
            <w:rFonts w:ascii="Cambria Math" w:hAnsi="Cambria Math"/>
          </w:rPr>
          <m:t>y=x</m:t>
        </m:r>
      </m:oMath>
      <w:r>
        <w:t xml:space="preserve"> 完美拟合对角线两侧，且模型决定系数 </w:t>
      </w:r>
      <m:oMath>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2</m:t>
            </m:r>
            <m:ctrlPr>
              <w:rPr>
                <w:rFonts w:ascii="Cambria Math" w:hAnsi="Cambria Math"/>
                <w:i/>
              </w:rPr>
            </m:ctrlPr>
          </m:sup>
        </m:sSup>
      </m:oMath>
      <w:r>
        <w:t xml:space="preserve"> 达到了极高的水平。这充分且直观地证明了，经过严密超参数寻优的 EMD-BiGRU 架构，能够极为精确地映射复杂气象条件下的光伏功率非线性波动空间。</w:t>
      </w:r>
    </w:p>
    <w:p w14:paraId="5601ED9F">
      <w:pPr>
        <w:pStyle w:val="14"/>
        <w:keepNext/>
        <w:widowControl/>
        <w:ind w:left="720" w:right="720"/>
        <w:jc w:val="center"/>
      </w:pPr>
      <w:r>
        <w:drawing>
          <wp:inline distT="0" distB="0" distL="114300" distR="114300">
            <wp:extent cx="3825240" cy="3443605"/>
            <wp:effectExtent l="0" t="0" r="3810" b="444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35"/>
                    <a:stretch>
                      <a:fillRect/>
                    </a:stretch>
                  </pic:blipFill>
                  <pic:spPr>
                    <a:xfrm>
                      <a:off x="0" y="0"/>
                      <a:ext cx="3841428" cy="3458546"/>
                    </a:xfrm>
                    <a:prstGeom prst="rect">
                      <a:avLst/>
                    </a:prstGeom>
                    <a:noFill/>
                    <a:ln>
                      <a:noFill/>
                    </a:ln>
                  </pic:spPr>
                </pic:pic>
              </a:graphicData>
            </a:graphic>
          </wp:inline>
        </w:drawing>
      </w:r>
    </w:p>
    <w:p w14:paraId="2305D570">
      <w:pPr>
        <w:pStyle w:val="7"/>
        <w:jc w:val="center"/>
        <w:rPr>
          <w:rFonts w:hint="eastAsia" w:ascii="宋体" w:hAnsi="宋体" w:cs="Times New Roman" w:eastAsiaTheme="minorEastAsia"/>
          <w:sz w:val="21"/>
          <w:szCs w:val="24"/>
        </w:rPr>
      </w:pPr>
      <w:bookmarkStart w:id="342" w:name="_Ref227196737"/>
      <w:r>
        <w:rPr>
          <w:rFonts w:hint="eastAsia" w:ascii="宋体" w:hAnsi="宋体" w:cs="Times New Roman" w:eastAsiaTheme="minorEastAsia"/>
          <w:sz w:val="21"/>
          <w:szCs w:val="24"/>
        </w:rPr>
        <w:t>图</w:t>
      </w:r>
      <w:r>
        <w:rPr>
          <w:rFonts w:hint="eastAsia" w:ascii="Times New Roman" w:hAnsi="Times New Roman" w:cs="Times New Roman" w:eastAsiaTheme="minorEastAsia"/>
          <w:sz w:val="21"/>
          <w:szCs w:val="24"/>
        </w:rPr>
        <w:t>5.</w:t>
      </w:r>
      <w:r>
        <w:rPr>
          <w:rFonts w:ascii="宋体" w:hAnsi="宋体" w:cs="Times New Roman" w:eastAsiaTheme="minorEastAsia"/>
          <w:sz w:val="21"/>
          <w:szCs w:val="24"/>
        </w:rPr>
        <w:fldChar w:fldCharType="begin"/>
      </w:r>
      <w:r>
        <w:rPr>
          <w:rFonts w:ascii="宋体" w:hAnsi="宋体" w:cs="Times New Roman" w:eastAsiaTheme="minorEastAsia"/>
          <w:sz w:val="21"/>
          <w:szCs w:val="24"/>
        </w:rPr>
        <w:instrText xml:space="preserve"> </w:instrText>
      </w:r>
      <w:r>
        <w:rPr>
          <w:rFonts w:hint="eastAsia" w:ascii="宋体" w:hAnsi="宋体" w:cs="Times New Roman" w:eastAsiaTheme="minorEastAsia"/>
          <w:sz w:val="21"/>
          <w:szCs w:val="24"/>
        </w:rPr>
        <w:instrText xml:space="preserve">SEQ 图5. \* ARABIC</w:instrText>
      </w:r>
      <w:r>
        <w:rPr>
          <w:rFonts w:ascii="宋体" w:hAnsi="宋体" w:cs="Times New Roman" w:eastAsiaTheme="minorEastAsia"/>
          <w:sz w:val="21"/>
          <w:szCs w:val="24"/>
        </w:rPr>
        <w:instrText xml:space="preserve"> </w:instrText>
      </w:r>
      <w:r>
        <w:rPr>
          <w:rFonts w:ascii="宋体" w:hAnsi="宋体" w:cs="Times New Roman" w:eastAsiaTheme="minorEastAsia"/>
          <w:sz w:val="21"/>
          <w:szCs w:val="24"/>
        </w:rPr>
        <w:fldChar w:fldCharType="separate"/>
      </w:r>
      <w:r>
        <w:rPr>
          <w:rFonts w:ascii="Times New Roman" w:hAnsi="Times New Roman" w:cs="Times New Roman" w:eastAsiaTheme="minorEastAsia"/>
          <w:sz w:val="21"/>
          <w:szCs w:val="24"/>
        </w:rPr>
        <w:t>10</w:t>
      </w:r>
      <w:r>
        <w:rPr>
          <w:rFonts w:ascii="宋体" w:hAnsi="宋体" w:cs="Times New Roman" w:eastAsiaTheme="minorEastAsia"/>
          <w:sz w:val="21"/>
          <w:szCs w:val="24"/>
        </w:rPr>
        <w:fldChar w:fldCharType="end"/>
      </w:r>
      <w:bookmarkEnd w:id="342"/>
      <w:r>
        <w:rPr>
          <w:rFonts w:hint="eastAsia" w:ascii="宋体" w:hAnsi="宋体" w:cs="Times New Roman" w:eastAsiaTheme="minorEastAsia"/>
          <w:sz w:val="21"/>
          <w:szCs w:val="24"/>
        </w:rPr>
        <w:t xml:space="preserve"> 最优模型拟合散点图</w:t>
      </w:r>
    </w:p>
    <w:bookmarkEnd w:id="322"/>
    <w:p w14:paraId="31D9FA03">
      <w:pPr>
        <w:pStyle w:val="25"/>
        <w:spacing w:before="156" w:after="156"/>
      </w:pPr>
      <w:bookmarkStart w:id="343" w:name="_Toc1001"/>
      <w:bookmarkStart w:id="344" w:name="_Toc28022"/>
      <w:bookmarkStart w:id="345" w:name="_Toc104"/>
      <w:bookmarkStart w:id="346" w:name="_Toc227161738"/>
      <w:bookmarkStart w:id="347" w:name="593f31e0"/>
      <w:r>
        <w:t>模型改进方向</w:t>
      </w:r>
      <w:bookmarkEnd w:id="343"/>
      <w:bookmarkEnd w:id="344"/>
      <w:bookmarkEnd w:id="345"/>
      <w:bookmarkEnd w:id="346"/>
    </w:p>
    <w:bookmarkEnd w:id="347"/>
    <w:p w14:paraId="12591424">
      <w:pPr>
        <w:pStyle w:val="27"/>
        <w:ind w:firstLine="480"/>
      </w:pPr>
      <w:bookmarkStart w:id="348" w:name="u2b71a9f5"/>
      <w:r>
        <w:t>基于误差分析，未来可从以下方向进一步提升性能：</w:t>
      </w:r>
    </w:p>
    <w:bookmarkEnd w:id="348"/>
    <w:p w14:paraId="7E6674C1">
      <w:pPr>
        <w:pStyle w:val="27"/>
        <w:numPr>
          <w:ilvl w:val="0"/>
          <w:numId w:val="8"/>
        </w:numPr>
        <w:ind w:left="0" w:firstLine="480"/>
      </w:pPr>
      <w:bookmarkStart w:id="349" w:name="u54596c5d"/>
      <w:r>
        <w:t>采用CEEMDAN替代 EMD，抑制模态混叠，提升分解质量；</w:t>
      </w:r>
    </w:p>
    <w:bookmarkEnd w:id="349"/>
    <w:p w14:paraId="3B99FB7C">
      <w:pPr>
        <w:pStyle w:val="27"/>
        <w:numPr>
          <w:ilvl w:val="0"/>
          <w:numId w:val="8"/>
        </w:numPr>
        <w:ind w:left="0" w:firstLine="480"/>
      </w:pPr>
      <w:bookmarkStart w:id="350" w:name="ucd61b144"/>
      <w:r>
        <w:t>在 BiGRU 基础上加入注意力机制，强化关键特征权重；</w:t>
      </w:r>
    </w:p>
    <w:bookmarkEnd w:id="350"/>
    <w:p w14:paraId="1D51A921">
      <w:pPr>
        <w:pStyle w:val="27"/>
        <w:numPr>
          <w:ilvl w:val="0"/>
          <w:numId w:val="8"/>
        </w:numPr>
        <w:ind w:left="0" w:firstLine="480"/>
      </w:pPr>
      <w:bookmarkStart w:id="351" w:name="u1cf7a222"/>
      <w:r>
        <w:t>融合更多气象特征与天气预报数据，提升极端天气适应性；</w:t>
      </w:r>
    </w:p>
    <w:bookmarkEnd w:id="351"/>
    <w:p w14:paraId="60D20BBC">
      <w:pPr>
        <w:pStyle w:val="27"/>
        <w:numPr>
          <w:ilvl w:val="0"/>
          <w:numId w:val="8"/>
        </w:numPr>
        <w:ind w:left="0" w:firstLine="480"/>
      </w:pPr>
      <w:bookmarkStart w:id="352" w:name="ubafe79d2"/>
      <w:r>
        <w:t>引入网格搜索、贝叶斯优化自动调参，进一步提升精度；</w:t>
      </w:r>
    </w:p>
    <w:bookmarkEnd w:id="352"/>
    <w:p w14:paraId="751926B3">
      <w:pPr>
        <w:pStyle w:val="27"/>
        <w:numPr>
          <w:ilvl w:val="0"/>
          <w:numId w:val="8"/>
        </w:numPr>
        <w:ind w:left="0" w:firstLine="480"/>
      </w:pPr>
      <w:bookmarkStart w:id="353" w:name="u010eadfe"/>
      <w:r>
        <w:t>构建轻量化模型，实现嵌入式端实时预测部署。</w:t>
      </w:r>
    </w:p>
    <w:p w14:paraId="39399939">
      <w:pPr>
        <w:widowControl/>
        <w:jc w:val="left"/>
        <w:rPr>
          <w:rFonts w:hint="eastAsia"/>
          <w:sz w:val="24"/>
        </w:rPr>
      </w:pPr>
      <w:r>
        <w:br w:type="page"/>
      </w:r>
    </w:p>
    <w:p w14:paraId="60EEA772">
      <w:pPr>
        <w:pStyle w:val="23"/>
      </w:pPr>
      <w:bookmarkStart w:id="354" w:name="_Toc23165"/>
      <w:bookmarkStart w:id="355" w:name="_Toc227161739"/>
      <w:bookmarkStart w:id="356" w:name="_Toc1732"/>
      <w:bookmarkStart w:id="357" w:name="_Toc25763"/>
      <w:r>
        <w:t>结论与展望</w:t>
      </w:r>
      <w:bookmarkEnd w:id="354"/>
      <w:bookmarkEnd w:id="355"/>
      <w:bookmarkEnd w:id="356"/>
      <w:bookmarkEnd w:id="357"/>
    </w:p>
    <w:p w14:paraId="3E9ABB86">
      <w:pPr>
        <w:pStyle w:val="25"/>
        <w:spacing w:before="156" w:after="156"/>
      </w:pPr>
      <w:r>
        <w:t xml:space="preserve"> </w:t>
      </w:r>
      <w:bookmarkStart w:id="358" w:name="_Toc227161740"/>
      <w:bookmarkStart w:id="359" w:name="_Toc22078"/>
      <w:bookmarkStart w:id="360" w:name="_Toc3526"/>
      <w:bookmarkStart w:id="361" w:name="_Toc4807"/>
      <w:r>
        <w:t>研究总结</w:t>
      </w:r>
      <w:bookmarkEnd w:id="358"/>
      <w:bookmarkEnd w:id="359"/>
      <w:bookmarkEnd w:id="360"/>
      <w:bookmarkEnd w:id="361"/>
    </w:p>
    <w:p w14:paraId="5118C7DD">
      <w:pPr>
        <w:pStyle w:val="27"/>
        <w:ind w:firstLine="480"/>
      </w:pPr>
      <w:r>
        <w:t>面对光伏功率预测中那些让人头疼的高波动、强随机性和非平稳性难题，我们这番研究算是交出了一份系统性的答卷。通过构建 EMD-BiGRU 混合预测框架，并配合真实电站数据的严苛考校，我们不仅验证了理论的严密性，更摸索出了几条实实在在的规律：</w:t>
      </w:r>
    </w:p>
    <w:p w14:paraId="3EB84E5D">
      <w:pPr>
        <w:pStyle w:val="27"/>
        <w:ind w:firstLine="480"/>
      </w:pPr>
      <w:r>
        <w:t>在数据表达的“重构”上，我们跳出了单一网络难以应对气象耦合信息的“怪圈”，头一次把 EMD 算法引入到功率序列的解耦中来。研究证明，通过将高度非线性的原始信号自适应分解为多个相对平稳的本征模函数分量，</w:t>
      </w:r>
      <w:r>
        <w:rPr>
          <w:rFonts w:ascii="宋体" w:hAnsi="宋体" w:cs="宋体"/>
        </w:rPr>
        <w:t>该策略大幅降低了深度神经网络在多维特征空间中的非凸优化难度，与现有的模态分解预测理论相印证</w:t>
      </w:r>
      <w:r>
        <w:rPr>
          <w:rFonts w:cs="宋体"/>
          <w:vertAlign w:val="superscript"/>
        </w:rPr>
        <w:t>[2</w:t>
      </w:r>
      <w:r>
        <w:rPr>
          <w:rFonts w:hint="eastAsia" w:cs="宋体"/>
          <w:vertAlign w:val="superscript"/>
        </w:rPr>
        <w:t>][</w:t>
      </w:r>
      <w:r>
        <w:rPr>
          <w:rFonts w:cs="宋体"/>
          <w:vertAlign w:val="superscript"/>
        </w:rPr>
        <w:t>6]</w:t>
      </w:r>
      <w:r>
        <w:rPr>
          <w:rFonts w:ascii="宋体" w:hAnsi="宋体" w:cs="宋体"/>
        </w:rPr>
        <w:t>。这策略从底层逻辑上消解了多维特征空间里的优化难度，不仅与现有的模态分解理论交相辉映，也为后来的高精度映射铺平了道路</w:t>
      </w:r>
      <w:r>
        <w:t>。</w:t>
      </w:r>
    </w:p>
    <w:p w14:paraId="3FA320E6">
      <w:pPr>
        <w:pStyle w:val="27"/>
        <w:ind w:firstLine="480"/>
      </w:pPr>
      <w:r>
        <w:t>聊到时序特征的提取，我们仔细剖析了传统循环神经网络在处理长序列时那种“记不住、传不动”的梯度缺陷。相比之下，双向门控机制的优势就显现出来了。BiGRU 网络通过正反双向的信息流，不仅治好了长序列预测中常见的“梯度迟滞”顽疾，还更敏锐地捕捉到了气象演变里那些深藏不露的前后文依赖</w:t>
      </w:r>
      <w:r>
        <w:rPr>
          <w:rFonts w:cs="宋体"/>
          <w:vertAlign w:val="superscript"/>
        </w:rPr>
        <w:t>[4]</w:t>
      </w:r>
      <w:r>
        <w:rPr>
          <w:rFonts w:ascii="宋体" w:hAnsi="宋体" w:cs="宋体"/>
        </w:rPr>
        <w:t>。这种结构上的先天优势，让我们实现了对功率序列局部突变和全局趋势的全视角感知。</w:t>
      </w:r>
    </w:p>
    <w:p w14:paraId="7031EC98">
      <w:pPr>
        <w:pStyle w:val="27"/>
        <w:ind w:firstLine="480"/>
      </w:pPr>
      <w:r>
        <w:t xml:space="preserve">而在性能的综合验证上，我们把模型扔进了包含晴天、阴天、雨天等全天候工况的测试集里，来了一场真刀真枪的横向对比。数据给出了最直观的评价：无论是在 RMSE、MAE 还是决定系数 </w:t>
      </w:r>
      <m:oMath>
        <m:sSup>
          <m:sSupPr>
            <m:ctrlPr>
              <w:rPr>
                <w:rFonts w:ascii="Cambria Math" w:hAnsi="Cambria Math"/>
                <w:i/>
              </w:rPr>
            </m:ctrlPr>
          </m:sSupPr>
          <m:e>
            <m:r>
              <m:rPr/>
              <w:rPr>
                <w:rFonts w:ascii="Cambria Math" w:hAnsi="Cambria Math"/>
              </w:rPr>
              <m:t>R</m:t>
            </m:r>
            <m:ctrlPr>
              <w:rPr>
                <w:rFonts w:ascii="Cambria Math" w:hAnsi="Cambria Math"/>
                <w:i/>
              </w:rPr>
            </m:ctrlPr>
          </m:e>
          <m:sup>
            <m:r>
              <m:rPr/>
              <w:rPr>
                <w:rFonts w:ascii="Cambria Math" w:hAnsi="Cambria Math"/>
              </w:rPr>
              <m:t>2</m:t>
            </m:r>
            <m:ctrlPr>
              <w:rPr>
                <w:rFonts w:ascii="Cambria Math" w:hAnsi="Cambria Math"/>
                <w:i/>
              </w:rPr>
            </m:ctrlPr>
          </m:sup>
        </m:sSup>
      </m:oMath>
      <w:r>
        <w:t xml:space="preserve"> 这些硬指标上，EMD-BiGRU 组合都稳居榜首。与 RNN、LSTM 或是单一的 GRU 相比，这套架构在拟合精度和抗干扰能力上展现出了降维打击般的优势，确实为新能源的大规模并网提供了可靠的技术底气</w:t>
      </w:r>
    </w:p>
    <w:p w14:paraId="464E89A4">
      <w:pPr>
        <w:pStyle w:val="27"/>
        <w:ind w:firstLine="480"/>
      </w:pPr>
      <w:r>
        <w:t>。</w:t>
      </w:r>
    </w:p>
    <w:p w14:paraId="4E032D52">
      <w:pPr>
        <w:pStyle w:val="25"/>
        <w:spacing w:before="156" w:after="156"/>
      </w:pPr>
      <w:r>
        <w:t xml:space="preserve"> </w:t>
      </w:r>
      <w:bookmarkStart w:id="362" w:name="_Toc18569"/>
      <w:bookmarkStart w:id="363" w:name="_Toc30199"/>
      <w:bookmarkStart w:id="364" w:name="_Toc227161741"/>
      <w:bookmarkStart w:id="365" w:name="_Toc10285"/>
      <w:r>
        <w:t>未来工作展望</w:t>
      </w:r>
      <w:bookmarkEnd w:id="362"/>
      <w:bookmarkEnd w:id="363"/>
      <w:bookmarkEnd w:id="364"/>
      <w:bookmarkEnd w:id="365"/>
    </w:p>
    <w:p w14:paraId="6AEE8D56">
      <w:pPr>
        <w:pStyle w:val="27"/>
        <w:ind w:firstLine="480"/>
      </w:pPr>
      <w:r>
        <w:t>虽然 EMD-BiGRU 这次跑出了亮眼的成绩，也让我们窥见了“分解-预测”策略的巨大潜力，但这离终点恐怕还远得很。在实际的研究中，我们总觉得理论框架和实验周期还留有不少遗憾。说起来，未来通往更高精度的基石，或许就藏在下面这两个方向里：</w:t>
      </w:r>
    </w:p>
    <w:p w14:paraId="5CB10152">
      <w:pPr>
        <w:pStyle w:val="27"/>
        <w:ind w:firstLine="480"/>
      </w:pPr>
      <w:r>
        <w:t>其一，是信号处理层面的“再进化”。传统的 EMD 算法在面对极端的、剧烈的气象变脸时，还是会有端点效应和模态混叠这种“小毛病”，这多少影响了高频分量的纯净度。接下来的路，可以试着引入 CEEMDAN 算法。利用它那种白噪声自适应抵消的天赋，我们或许能进一步提高分解分量的正交性，彻底扫清模态混叠带来的特征模糊，让信号处理变得更干净利落。</w:t>
      </w:r>
    </w:p>
    <w:p w14:paraId="0D8C81FB">
      <w:pPr>
        <w:pStyle w:val="27"/>
        <w:ind w:firstLine="480"/>
      </w:pPr>
      <w:r>
        <w:t>其二，是网络架构层面的“加戏”。现在的 BiGRU 虽然厉害，但在处理历史数据时，对所有时间步的关注度还是有些太“平均”了，缺乏对关键气象节点的那种敏锐嗅觉。为了让模型在短时强对流、云层突袭这种极端恶劣天气下也能应付自如，未来的研究可以考虑在 BiGRU 的隐藏层上，再叠一套“目光如炬”的注意力机制（Attention Mechanism）。这种机制能像人的大脑一样，自适应地给不同时刻的贡献度打分，赋予突变时刻更高的网络权重。通过这种动态的特征聚焦，模型将能更好地适应那些高度不确定的气象演变，继续去捅一捅光伏预测精度的“天花板”，为未来智能电网的稳健调度提供更有力的支撑。</w:t>
      </w:r>
    </w:p>
    <w:p w14:paraId="62632FD5">
      <w:pPr>
        <w:pStyle w:val="27"/>
        <w:ind w:firstLine="480"/>
      </w:pPr>
    </w:p>
    <w:p w14:paraId="122EDA52"/>
    <w:p w14:paraId="2A7A2A65"/>
    <w:p w14:paraId="2BB93DC8">
      <w:pPr>
        <w:spacing w:before="312" w:beforeLines="100" w:after="50" w:line="360" w:lineRule="auto"/>
        <w:jc w:val="left"/>
      </w:pPr>
    </w:p>
    <w:bookmarkEnd w:id="353"/>
    <w:p w14:paraId="7C83FA5E">
      <w:pPr>
        <w:ind w:firstLine="480"/>
      </w:pPr>
    </w:p>
    <w:p w14:paraId="6E28EABF">
      <w:pPr>
        <w:sectPr>
          <w:headerReference r:id="rId13" w:type="default"/>
          <w:footerReference r:id="rId15" w:type="default"/>
          <w:headerReference r:id="rId14" w:type="even"/>
          <w:footerReference r:id="rId16" w:type="even"/>
          <w:pgSz w:w="11906" w:h="16838"/>
          <w:pgMar w:top="1417" w:right="1417" w:bottom="1417" w:left="1417" w:header="1021" w:footer="794" w:gutter="0"/>
          <w:pgNumType w:start="1"/>
          <w:cols w:space="425" w:num="1"/>
          <w:docGrid w:type="lines" w:linePitch="312" w:charSpace="0"/>
        </w:sectPr>
      </w:pPr>
      <w:r>
        <w:tab/>
      </w:r>
    </w:p>
    <w:p w14:paraId="32C2924E">
      <w:pPr>
        <w:pStyle w:val="23"/>
        <w:numPr>
          <w:ilvl w:val="0"/>
          <w:numId w:val="0"/>
        </w:numPr>
        <w:jc w:val="center"/>
      </w:pPr>
      <w:bookmarkStart w:id="366" w:name="_Toc227161742"/>
      <w:bookmarkStart w:id="367" w:name="_Toc2784"/>
      <w:bookmarkStart w:id="368" w:name="_Toc4943"/>
      <w:bookmarkStart w:id="369" w:name="_Toc4646"/>
      <w:r>
        <w:rPr>
          <w:rFonts w:hint="eastAsia"/>
        </w:rPr>
        <w:t>参考文献</w:t>
      </w:r>
      <w:bookmarkEnd w:id="366"/>
      <w:bookmarkEnd w:id="367"/>
      <w:bookmarkEnd w:id="368"/>
      <w:bookmarkEnd w:id="369"/>
    </w:p>
    <w:p w14:paraId="6D7389FB">
      <w:pPr>
        <w:numPr>
          <w:ilvl w:val="0"/>
          <w:numId w:val="9"/>
        </w:numPr>
        <w:ind w:left="315" w:hanging="315" w:hangingChars="150"/>
        <w:textAlignment w:val="center"/>
      </w:pPr>
      <w:r>
        <w:t>邓亚平, 段建东, 贾颢, 等. 基于布谷鸟算法优化独立循环神经网络深度学习的超短期风电功率预测 [J]. 电网与清洁能源, 2021, 37(09): 18-26.</w:t>
      </w:r>
    </w:p>
    <w:p w14:paraId="0481659D">
      <w:pPr>
        <w:numPr>
          <w:ilvl w:val="0"/>
          <w:numId w:val="9"/>
        </w:numPr>
        <w:ind w:left="315" w:hanging="315" w:hangingChars="150"/>
        <w:textAlignment w:val="center"/>
      </w:pPr>
      <w:r>
        <w:t>张海涛, 李文娟, 李雪峰, 等. 基于变分模态分解和时间注意力机制TCN网络的光伏发电功率预测 [J]. 电测与仪表, 2024, 61(12): 156-163.</w:t>
      </w:r>
    </w:p>
    <w:p w14:paraId="7323DC39">
      <w:pPr>
        <w:numPr>
          <w:ilvl w:val="0"/>
          <w:numId w:val="9"/>
        </w:numPr>
        <w:ind w:left="315" w:hanging="315" w:hangingChars="150"/>
        <w:textAlignment w:val="center"/>
      </w:pPr>
      <w:r>
        <w:t>王德凯. 基于深度学习的短期风电功率预测方法研究 [D]. 安庆师范大学, 2023.</w:t>
      </w:r>
    </w:p>
    <w:p w14:paraId="41C46CA5">
      <w:pPr>
        <w:numPr>
          <w:ilvl w:val="0"/>
          <w:numId w:val="9"/>
        </w:numPr>
        <w:ind w:left="315" w:hanging="315" w:hangingChars="150"/>
        <w:textAlignment w:val="center"/>
      </w:pPr>
      <w:r>
        <w:t>祁宇轩, 范俊岩, 吴定会, 等. 基于相似日与BiLSTM组合的短期电力负荷预测 [J/OL]. 控制理论与应用: 1-9 [2023-12-20].</w:t>
      </w:r>
    </w:p>
    <w:p w14:paraId="2788CC30">
      <w:pPr>
        <w:numPr>
          <w:ilvl w:val="0"/>
          <w:numId w:val="9"/>
        </w:numPr>
        <w:ind w:left="315" w:hanging="315" w:hangingChars="150"/>
        <w:textAlignment w:val="center"/>
      </w:pPr>
      <w:r>
        <w:t>梁宏涛, 王莹, 刘红菊, 等. 基于注意力机制的CNN-BiGRU短期光伏发电功率预测 [J]. 计算机测量与控制, 2022, 30(06): 259-265.</w:t>
      </w:r>
    </w:p>
    <w:p w14:paraId="460E0389">
      <w:pPr>
        <w:numPr>
          <w:ilvl w:val="0"/>
          <w:numId w:val="9"/>
        </w:numPr>
        <w:ind w:left="315" w:hanging="315" w:hangingChars="150"/>
        <w:textAlignment w:val="center"/>
      </w:pPr>
      <w:r>
        <w:t>张雲钦, 程起泽, 蒋文杰, 等. 基于EMD-PCA-LSTM的光伏功率预测模型 [J]. 太阳能学报, 2021, 42(09): 62-69.</w:t>
      </w:r>
    </w:p>
    <w:p w14:paraId="22AA7E28">
      <w:pPr>
        <w:numPr>
          <w:ilvl w:val="0"/>
          <w:numId w:val="9"/>
        </w:numPr>
        <w:ind w:left="315" w:hanging="315" w:hangingChars="150"/>
        <w:textAlignment w:val="center"/>
      </w:pPr>
      <w:r>
        <w:t>黄贤明, 郝雨辰, 霍雪松, 等. 基于时空混合注意力机制的超短时风电功率预测方法 [J]. 现代电力, 2025, 42(05): 928-936.</w:t>
      </w:r>
    </w:p>
    <w:p w14:paraId="01B680C7">
      <w:pPr>
        <w:numPr>
          <w:ilvl w:val="0"/>
          <w:numId w:val="9"/>
        </w:numPr>
        <w:ind w:left="315" w:hanging="315" w:hangingChars="150"/>
        <w:textAlignment w:val="center"/>
      </w:pPr>
      <w:r>
        <w:t>韩华, 李杨, 王磊. 基于 EMD-BiGRU 的光伏功率短期预测 [J]. 电力系统保护与控制, 2020, 48(15): 142-148.</w:t>
      </w:r>
    </w:p>
    <w:p w14:paraId="51770744">
      <w:pPr>
        <w:numPr>
          <w:ilvl w:val="0"/>
          <w:numId w:val="9"/>
        </w:numPr>
        <w:ind w:left="315" w:hanging="315" w:hangingChars="150"/>
        <w:textAlignment w:val="center"/>
      </w:pPr>
      <w:r>
        <w:t>刘军, 张宇, 李明. 光伏功率预测技术研究现状与发展趋势 [J]. 电工技术学报, 2019, 34(S1): 232-243.</w:t>
      </w:r>
    </w:p>
    <w:p w14:paraId="5E5EA5A7">
      <w:pPr>
        <w:numPr>
          <w:ilvl w:val="0"/>
          <w:numId w:val="9"/>
        </w:numPr>
        <w:ind w:left="315" w:hanging="315" w:hangingChars="150"/>
        <w:textAlignment w:val="center"/>
      </w:pPr>
      <w:r>
        <w:t>Zhang Y, Wang J, Li H. Short-term photovoltaic power prediction based on EMD and BiGRU neural network [J]. Renewable Energy, 2022, 186: 789-798.</w:t>
      </w:r>
    </w:p>
    <w:p w14:paraId="7005E25D">
      <w:pPr>
        <w:numPr>
          <w:ilvl w:val="0"/>
          <w:numId w:val="9"/>
        </w:numPr>
        <w:ind w:left="315" w:hanging="315" w:hangingChars="150"/>
        <w:textAlignment w:val="center"/>
      </w:pPr>
      <w:r>
        <w:t>王磊, 韩华. 基于 VMD-BiGRU 的光伏功率短期预测 [J]. 电网技术, 2021, 45(07): 2654-2661.</w:t>
      </w:r>
    </w:p>
    <w:p w14:paraId="2CC9FCCD">
      <w:pPr>
        <w:numPr>
          <w:ilvl w:val="0"/>
          <w:numId w:val="9"/>
        </w:numPr>
        <w:ind w:left="315" w:hanging="315" w:hangingChars="150"/>
        <w:textAlignment w:val="center"/>
      </w:pPr>
      <w:r>
        <w:t>王乐, 丁皓. 基于深度学习的时间序列预测方法综述 [J]. 计算机工程与应用, 2023, 59(02): 1-16.</w:t>
      </w:r>
    </w:p>
    <w:p w14:paraId="5BF4176B">
      <w:pPr>
        <w:numPr>
          <w:ilvl w:val="0"/>
          <w:numId w:val="9"/>
        </w:numPr>
        <w:ind w:left="315" w:hanging="315" w:hangingChars="150"/>
        <w:textAlignment w:val="center"/>
      </w:pPr>
      <w:r>
        <w:t>王聪, 王磊. 经验模态分解研究进展与综述 [J]. 电子学报, 2022, 50(03): 745-758.</w:t>
      </w:r>
    </w:p>
    <w:p w14:paraId="3E3340A2">
      <w:pPr>
        <w:numPr>
          <w:ilvl w:val="0"/>
          <w:numId w:val="9"/>
        </w:numPr>
        <w:ind w:left="315" w:hanging="315" w:hangingChars="150"/>
        <w:textAlignment w:val="center"/>
      </w:pPr>
      <w:r>
        <w:t>王凯, 李娟. 双向门控循环单元(BiGRU)研究与应用综述 [J]. 计算机工程与应用, 2024, 60(01): 42-54.</w:t>
      </w:r>
    </w:p>
    <w:p w14:paraId="4F435BBF">
      <w:pPr>
        <w:numPr>
          <w:ilvl w:val="0"/>
          <w:numId w:val="9"/>
        </w:numPr>
        <w:ind w:left="315" w:hanging="315" w:hangingChars="150"/>
        <w:textAlignment w:val="center"/>
      </w:pPr>
      <w:r>
        <w:t>国家能源局. 太阳能发展 “十四五” 规划 [Z]. 2021.</w:t>
      </w:r>
    </w:p>
    <w:p w14:paraId="66238082">
      <w:pPr>
        <w:numPr>
          <w:ilvl w:val="0"/>
          <w:numId w:val="9"/>
        </w:numPr>
        <w:ind w:left="315" w:hanging="315" w:hangingChars="150"/>
        <w:textAlignment w:val="center"/>
      </w:pPr>
      <w:r>
        <w:t>陈强, 孙晓明. 考虑气象突变因素的组合模型超短期功率预测 [J]. 可再生能源, 2021, 39(11): 1450-1456.</w:t>
      </w:r>
    </w:p>
    <w:p w14:paraId="7B05D80F">
      <w:pPr>
        <w:numPr>
          <w:ilvl w:val="0"/>
          <w:numId w:val="9"/>
        </w:numPr>
        <w:ind w:left="315" w:hanging="315" w:hangingChars="150"/>
        <w:textAlignment w:val="center"/>
      </w:pPr>
      <w:r>
        <w:t>Li X, Chen Z. Short-term solar power forecasting using empirical mode decomposition and deep learning [J]. IEEE Access, 2020, 8: 12567-12578.</w:t>
      </w:r>
    </w:p>
    <w:p w14:paraId="2A3EB9AD">
      <w:pPr>
        <w:numPr>
          <w:ilvl w:val="0"/>
          <w:numId w:val="9"/>
        </w:numPr>
        <w:ind w:left="315" w:hanging="315" w:hangingChars="150"/>
        <w:textAlignment w:val="center"/>
      </w:pPr>
      <w:r>
        <w:t>吴浩, 周洁. 光伏数据清洗及归一化对预测精度的影响评估 [J]. 电力自动化设备, 2019, 39(08): 77-83.</w:t>
      </w:r>
    </w:p>
    <w:p w14:paraId="4365EFFF">
      <w:pPr>
        <w:numPr>
          <w:ilvl w:val="0"/>
          <w:numId w:val="9"/>
        </w:numPr>
        <w:ind w:left="315" w:hanging="315" w:hangingChars="150"/>
        <w:textAlignment w:val="center"/>
      </w:pPr>
      <w:r>
        <w:t>林海, 郭峰. 鲁棒损失函数在强噪声新能源预测模型中的应用 [J]. 电网技术, 2023, 47(02): 510-518.</w:t>
      </w:r>
    </w:p>
    <w:p w14:paraId="38B4F4C9">
      <w:pPr>
        <w:pStyle w:val="27"/>
        <w:ind w:firstLine="480"/>
      </w:pPr>
    </w:p>
    <w:p w14:paraId="111F931F">
      <w:pPr>
        <w:pStyle w:val="27"/>
        <w:ind w:firstLine="480"/>
      </w:pPr>
    </w:p>
    <w:p w14:paraId="035BC669">
      <w:pPr>
        <w:pStyle w:val="27"/>
        <w:ind w:firstLine="480"/>
      </w:pPr>
    </w:p>
    <w:p w14:paraId="72D75BD2">
      <w:pPr>
        <w:pStyle w:val="23"/>
        <w:numPr>
          <w:ilvl w:val="0"/>
          <w:numId w:val="0"/>
        </w:numPr>
      </w:pPr>
      <w:bookmarkStart w:id="370" w:name="_Toc5897"/>
      <w:bookmarkEnd w:id="370"/>
    </w:p>
    <w:p w14:paraId="4AEA7189">
      <w:pPr>
        <w:pStyle w:val="23"/>
        <w:numPr>
          <w:ilvl w:val="0"/>
          <w:numId w:val="0"/>
        </w:numPr>
        <w:jc w:val="center"/>
      </w:pPr>
      <w:bookmarkStart w:id="371" w:name="_Toc10027"/>
      <w:bookmarkStart w:id="372" w:name="_Toc15060"/>
      <w:bookmarkStart w:id="373" w:name="_Toc227161743"/>
      <w:bookmarkStart w:id="374" w:name="_Toc4703"/>
      <w:r>
        <w:rPr>
          <w:rFonts w:hint="eastAsia"/>
        </w:rPr>
        <w:t>致谢</w:t>
      </w:r>
      <w:bookmarkEnd w:id="371"/>
      <w:bookmarkEnd w:id="372"/>
      <w:bookmarkEnd w:id="373"/>
      <w:bookmarkEnd w:id="374"/>
    </w:p>
    <w:p w14:paraId="1F12847D">
      <w:pPr>
        <w:ind w:firstLine="480"/>
      </w:pPr>
      <w:r>
        <w:rPr>
          <w:rFonts w:hint="eastAsia"/>
        </w:rPr>
        <w:t>XXXXXXXXXXXXXXXXXXXXXXXXXXXXXXXXXXXXXXXXXXXXXXXXXXXXXXXXXXXXXXXXXXXXXXXXXXXXXXXXXXXXXXXXXXXXXXXXXXXXXXXXXXXXXXXXXXXXXXXXXXXXXXXXXXXXXXXXXXXXXXXXXXXXXXXXXXXXXXXXXXXXXXX</w:t>
      </w:r>
    </w:p>
    <w:p w14:paraId="24718295">
      <w:pPr>
        <w:ind w:firstLine="480"/>
      </w:pPr>
      <w:r>
        <w:rPr>
          <w:rFonts w:hint="eastAsia"/>
        </w:rPr>
        <w:t>XXXXXXXXXXXXXXXXXXXXXXXXXXXXXXX</w:t>
      </w:r>
    </w:p>
    <w:p w14:paraId="31AB596F">
      <w:pPr>
        <w:ind w:firstLine="480"/>
        <w:sectPr>
          <w:pgSz w:w="11906" w:h="16838"/>
          <w:pgMar w:top="1588" w:right="1134" w:bottom="1247" w:left="1701" w:header="1021" w:footer="794" w:gutter="0"/>
          <w:cols w:space="425" w:num="1"/>
          <w:docGrid w:type="lines" w:linePitch="312" w:charSpace="0"/>
        </w:sectPr>
      </w:pPr>
    </w:p>
    <w:p w14:paraId="1592BFDC">
      <w:pPr>
        <w:pStyle w:val="23"/>
        <w:numPr>
          <w:ilvl w:val="0"/>
          <w:numId w:val="0"/>
        </w:numPr>
        <w:ind w:left="425"/>
        <w:jc w:val="center"/>
      </w:pPr>
      <w:bookmarkStart w:id="375" w:name="_Toc23095"/>
      <w:bookmarkStart w:id="376" w:name="_Toc15903"/>
      <w:bookmarkStart w:id="377" w:name="_Toc227161744"/>
      <w:bookmarkStart w:id="378" w:name="_Toc3719"/>
      <w:r>
        <w:rPr>
          <w:rFonts w:hint="eastAsia"/>
        </w:rPr>
        <w:t>附录A</w:t>
      </w:r>
      <w:r>
        <w:t xml:space="preserve"> </w:t>
      </w:r>
      <w:r>
        <w:rPr>
          <w:rFonts w:hint="eastAsia"/>
        </w:rPr>
        <w:t xml:space="preserve"> XXXXXX</w:t>
      </w:r>
      <w:bookmarkEnd w:id="375"/>
      <w:bookmarkEnd w:id="376"/>
      <w:bookmarkEnd w:id="377"/>
      <w:bookmarkEnd w:id="378"/>
    </w:p>
    <w:p w14:paraId="39D707CE">
      <w:r>
        <w:rPr>
          <w:rFonts w:hint="eastAsia"/>
        </w:rPr>
        <w:t>XXXXXXXXXXXXXXXXXXXXXXXXXXXXXXXXXXXXXXXXXXXXXXXXXXXXXXXXXXXXXXXXXXXXXXXXXXXXXXXXXXXXXXXXXXXXX</w:t>
      </w:r>
    </w:p>
    <w:p w14:paraId="09533C1C">
      <w:r>
        <w:rPr>
          <w:rFonts w:hint="eastAsia"/>
        </w:rPr>
        <w:t>XXXXXXXXXXXXXXXXXXXXXXXXXXXXXXX</w:t>
      </w:r>
    </w:p>
    <w:p w14:paraId="5935C295">
      <w:pPr>
        <w:pStyle w:val="23"/>
        <w:sectPr>
          <w:pgSz w:w="11906" w:h="16838"/>
          <w:pgMar w:top="1588" w:right="1134" w:bottom="1247" w:left="1701" w:header="1021" w:footer="794" w:gutter="0"/>
          <w:cols w:space="425" w:num="1"/>
          <w:docGrid w:type="lines" w:linePitch="312" w:charSpace="0"/>
        </w:sectPr>
      </w:pPr>
      <w:bookmarkStart w:id="379" w:name="_Toc227161746"/>
      <w:bookmarkEnd w:id="379"/>
      <w:bookmarkStart w:id="380" w:name="_Toc5144"/>
      <w:bookmarkEnd w:id="380"/>
      <w:bookmarkStart w:id="381" w:name="_Toc7483"/>
      <w:bookmarkEnd w:id="381"/>
      <w:bookmarkStart w:id="382" w:name="_Toc227161745"/>
      <w:bookmarkEnd w:id="382"/>
    </w:p>
    <w:p w14:paraId="7E76A1BF">
      <w:pPr>
        <w:pStyle w:val="23"/>
        <w:numPr>
          <w:ilvl w:val="0"/>
          <w:numId w:val="0"/>
        </w:numPr>
        <w:ind w:left="425"/>
        <w:jc w:val="center"/>
      </w:pPr>
      <w:bookmarkStart w:id="383" w:name="_Toc20356"/>
      <w:bookmarkStart w:id="384" w:name="_Toc227161747"/>
      <w:bookmarkStart w:id="385" w:name="_Toc31052"/>
      <w:bookmarkStart w:id="386" w:name="_Toc15004"/>
      <w:r>
        <w:rPr>
          <w:rFonts w:hint="eastAsia"/>
        </w:rPr>
        <w:t>附录B</w:t>
      </w:r>
      <w:r>
        <w:t xml:space="preserve"> </w:t>
      </w:r>
      <w:r>
        <w:rPr>
          <w:rFonts w:hint="eastAsia"/>
        </w:rPr>
        <w:t xml:space="preserve"> XXXXXXX</w:t>
      </w:r>
      <w:bookmarkEnd w:id="383"/>
      <w:bookmarkEnd w:id="384"/>
      <w:bookmarkEnd w:id="385"/>
      <w:bookmarkEnd w:id="386"/>
    </w:p>
    <w:p w14:paraId="28281180">
      <w:pPr>
        <w:snapToGrid w:val="0"/>
      </w:pPr>
    </w:p>
    <w:sectPr>
      <w:pgSz w:w="11906" w:h="16838"/>
      <w:pgMar w:top="1588" w:right="1134" w:bottom="1247" w:left="1701" w:header="1021" w:footer="794"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Vampire Li" w:date="2026-04-28T23:37:00Z" w:initials="VL">
    <w:p w14:paraId="2BF28BC3">
      <w:pPr>
        <w:pStyle w:val="8"/>
      </w:pPr>
      <w:r>
        <w:rPr>
          <w:rFonts w:hint="eastAsia"/>
        </w:rPr>
        <w:t>已修改公式</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BF28BC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F2D166">
    <w:pPr>
      <w:tabs>
        <w:tab w:val="center" w:pos="4153"/>
        <w:tab w:val="right"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DC0FE7">
    <w:pPr>
      <w:tabs>
        <w:tab w:val="center" w:pos="4153"/>
        <w:tab w:val="right" w:pos="8306"/>
      </w:tabs>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84F049F">
                          <w:pPr>
                            <w:tabs>
                              <w:tab w:val="center" w:pos="4153"/>
                              <w:tab w:val="right" w:pos="8306"/>
                            </w:tabs>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084F049F">
                    <w:pPr>
                      <w:tabs>
                        <w:tab w:val="center" w:pos="4153"/>
                        <w:tab w:val="right" w:pos="8306"/>
                      </w:tabs>
                    </w:pP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55F83F">
    <w:pPr>
      <w:tabs>
        <w:tab w:val="center" w:pos="4153"/>
        <w:tab w:val="right" w:pos="8306"/>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8668E2">
    <w:pPr>
      <w:tabs>
        <w:tab w:val="center" w:pos="4153"/>
        <w:tab w:val="right" w:pos="8306"/>
      </w:tabs>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7158AD">
                          <w:pPr>
                            <w:tabs>
                              <w:tab w:val="center" w:pos="4153"/>
                              <w:tab w:val="right" w:pos="8306"/>
                            </w:tabs>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3C7158AD">
                    <w:pPr>
                      <w:tabs>
                        <w:tab w:val="center" w:pos="4153"/>
                        <w:tab w:val="right" w:pos="8306"/>
                      </w:tabs>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7F0A79">
    <w:pPr>
      <w:tabs>
        <w:tab w:val="center" w:pos="4153"/>
        <w:tab w:val="right" w:pos="8306"/>
      </w:tabs>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F63EDB">
                          <w:pPr>
                            <w:tabs>
                              <w:tab w:val="center" w:pos="4153"/>
                              <w:tab w:val="right" w:pos="8306"/>
                            </w:tabs>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p w14:paraId="03F63EDB">
                    <w:pPr>
                      <w:tabs>
                        <w:tab w:val="center" w:pos="4153"/>
                        <w:tab w:val="right" w:pos="8306"/>
                      </w:tabs>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76FEF8">
    <w:pPr>
      <w:tabs>
        <w:tab w:val="center" w:pos="4153"/>
        <w:tab w:val="right" w:pos="8306"/>
      </w:tabs>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77E9AE">
                          <w:pPr>
                            <w:tabs>
                              <w:tab w:val="center" w:pos="4153"/>
                              <w:tab w:val="right" w:pos="8306"/>
                            </w:tabs>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6677E9AE">
                    <w:pPr>
                      <w:tabs>
                        <w:tab w:val="center" w:pos="4153"/>
                        <w:tab w:val="right" w:pos="8306"/>
                      </w:tabs>
                    </w:pPr>
                    <w:r>
                      <w:fldChar w:fldCharType="begin"/>
                    </w:r>
                    <w:r>
                      <w:instrText xml:space="preserve"> PAGE  \* MERGEFORMAT </w:instrText>
                    </w:r>
                    <w:r>
                      <w:fldChar w:fldCharType="separate"/>
                    </w:r>
                    <w:r>
                      <w:t>2</w:t>
                    </w:r>
                    <w:r>
                      <w:fldChar w:fldCharType="end"/>
                    </w:r>
                  </w:p>
                </w:txbxContent>
              </v:textbox>
            </v:shape>
          </w:pict>
        </mc:Fallback>
      </mc:AlternateContent>
    </w: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FE1B2F">
                          <w:pPr>
                            <w:tabs>
                              <w:tab w:val="center" w:pos="4153"/>
                              <w:tab w:val="right" w:pos="8306"/>
                            </w:tabs>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bVWnMqAgAAVQ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CbVWnMqAgAAVQQAAA4AAAAAAAAAAQAgAAAAHwEAAGRycy9lMm9Eb2MueG1sUEsFBgAAAAAGAAYA&#10;WQEAALsFAAAAAA==&#10;">
              <v:fill on="f" focussize="0,0"/>
              <v:stroke on="f" weight="0.5pt"/>
              <v:imagedata o:title=""/>
              <o:lock v:ext="edit" aspectratio="f"/>
              <v:textbox inset="0mm,0mm,0mm,0mm" style="mso-fit-shape-to-text:t;">
                <w:txbxContent>
                  <w:p w14:paraId="15FE1B2F">
                    <w:pPr>
                      <w:tabs>
                        <w:tab w:val="center" w:pos="4153"/>
                        <w:tab w:val="right" w:pos="8306"/>
                      </w:tabs>
                    </w:pP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7EF5B6">
    <w:pPr>
      <w:tabs>
        <w:tab w:val="center" w:pos="4153"/>
        <w:tab w:val="right" w:pos="8306"/>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EB117F">
    <w:pPr>
      <w:tabs>
        <w:tab w:val="center" w:pos="4153"/>
        <w:tab w:val="right" w:pos="8306"/>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905BF">
    <w:pPr>
      <w:tabs>
        <w:tab w:val="center" w:pos="4153"/>
        <w:tab w:val="right" w:pos="8306"/>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521FC0">
    <w:pPr>
      <w:tabs>
        <w:tab w:val="center" w:pos="4153"/>
        <w:tab w:val="right" w:pos="8306"/>
      </w:tabs>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AE8CA1">
    <w:pPr>
      <w:pBdr>
        <w:bottom w:val="single" w:color="auto" w:sz="4" w:space="0"/>
      </w:pBdr>
      <w:tabs>
        <w:tab w:val="center" w:pos="4153"/>
        <w:tab w:val="right" w:pos="8306"/>
      </w:tabs>
      <w:rPr>
        <w:sz w:val="18"/>
        <w:szCs w:val="18"/>
      </w:rPr>
    </w:pPr>
    <w:r>
      <w:rPr>
        <w:rFonts w:hint="eastAsia"/>
        <w:sz w:val="18"/>
        <w:szCs w:val="18"/>
      </w:rPr>
      <w:t>论文题目</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5CE7B3">
    <w:pPr>
      <w:tabs>
        <w:tab w:val="center" w:pos="4153"/>
        <w:tab w:val="right" w:pos="8306"/>
      </w:tabs>
      <w:rPr>
        <w:sz w:val="18"/>
        <w:szCs w:val="18"/>
      </w:rPr>
    </w:pPr>
    <w:r>
      <w:rPr>
        <w:rFonts w:hint="eastAsia" w:ascii="宋体" w:hAnsi="宋体"/>
        <w:sz w:val="18"/>
        <w:szCs w:val="18"/>
      </w:rPr>
      <w:t>广东技术师范大学本科毕业设计（论文）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415413"/>
    <w:multiLevelType w:val="multilevel"/>
    <w:tmpl w:val="BA415413"/>
    <w:lvl w:ilvl="0" w:tentative="0">
      <w:start w:val="1"/>
      <w:numFmt w:val="decimal"/>
      <w:pStyle w:val="23"/>
      <w:lvlText w:val="%1"/>
      <w:lvlJc w:val="left"/>
      <w:pPr>
        <w:ind w:left="425" w:hanging="425"/>
      </w:pPr>
      <w:rPr>
        <w:rFonts w:hint="default"/>
      </w:rPr>
    </w:lvl>
    <w:lvl w:ilvl="1" w:tentative="0">
      <w:start w:val="1"/>
      <w:numFmt w:val="decimal"/>
      <w:pStyle w:val="25"/>
      <w:lvlText w:val="%1.%2"/>
      <w:lvlJc w:val="left"/>
      <w:pPr>
        <w:ind w:left="567" w:hanging="567"/>
      </w:pPr>
      <w:rPr>
        <w:rFonts w:hint="default" w:ascii="Times New Roman" w:hAnsi="Times New Roman" w:cs="Times New Roman"/>
      </w:rPr>
    </w:lvl>
    <w:lvl w:ilvl="2" w:tentative="0">
      <w:start w:val="1"/>
      <w:numFmt w:val="decimal"/>
      <w:pStyle w:val="26"/>
      <w:lvlText w:val="%1.%2.%3"/>
      <w:lvlJc w:val="left"/>
      <w:pPr>
        <w:ind w:left="709" w:hanging="709"/>
      </w:pPr>
      <w:rPr>
        <w:rFonts w:hint="default"/>
      </w:rPr>
    </w:lvl>
    <w:lvl w:ilvl="3" w:tentative="0">
      <w:start w:val="1"/>
      <w:numFmt w:val="decimal"/>
      <w:pStyle w:val="28"/>
      <w:lvlText w:val="%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DC34B892"/>
    <w:multiLevelType w:val="singleLevel"/>
    <w:tmpl w:val="DC34B892"/>
    <w:lvl w:ilvl="0" w:tentative="0">
      <w:start w:val="1"/>
      <w:numFmt w:val="decimal"/>
      <w:suff w:val="nothing"/>
      <w:lvlText w:val="（%1）"/>
      <w:lvlJc w:val="left"/>
      <w:pPr>
        <w:tabs>
          <w:tab w:val="left" w:pos="420"/>
        </w:tabs>
        <w:ind w:left="425" w:hanging="425"/>
      </w:pPr>
      <w:rPr>
        <w:rFonts w:hint="default"/>
      </w:rPr>
    </w:lvl>
  </w:abstractNum>
  <w:abstractNum w:abstractNumId="2">
    <w:nsid w:val="00000007"/>
    <w:multiLevelType w:val="multilevel"/>
    <w:tmpl w:val="00000007"/>
    <w:lvl w:ilvl="0" w:tentative="0">
      <w:start w:val="1"/>
      <w:numFmt w:val="decimal"/>
      <w:pStyle w:val="36"/>
      <w:lvlText w:val="(%1)"/>
      <w:lvlJc w:val="left"/>
      <w:pPr>
        <w:ind w:left="620" w:hanging="420"/>
      </w:pPr>
      <w:rPr>
        <w:rFonts w:hint="default"/>
      </w:rPr>
    </w:lvl>
    <w:lvl w:ilvl="1" w:tentative="0">
      <w:start w:val="1"/>
      <w:numFmt w:val="lowerLetter"/>
      <w:lvlText w:val="%2)"/>
      <w:lvlJc w:val="left"/>
      <w:pPr>
        <w:ind w:left="1040" w:hanging="420"/>
      </w:pPr>
    </w:lvl>
    <w:lvl w:ilvl="2" w:tentative="0">
      <w:start w:val="1"/>
      <w:numFmt w:val="lowerRoman"/>
      <w:lvlText w:val="%3."/>
      <w:lvlJc w:val="right"/>
      <w:pPr>
        <w:ind w:left="1460" w:hanging="420"/>
      </w:pPr>
    </w:lvl>
    <w:lvl w:ilvl="3" w:tentative="0">
      <w:start w:val="1"/>
      <w:numFmt w:val="decimal"/>
      <w:lvlText w:val="%4."/>
      <w:lvlJc w:val="left"/>
      <w:pPr>
        <w:ind w:left="1880" w:hanging="420"/>
      </w:pPr>
    </w:lvl>
    <w:lvl w:ilvl="4" w:tentative="0">
      <w:start w:val="1"/>
      <w:numFmt w:val="lowerLetter"/>
      <w:lvlText w:val="%5)"/>
      <w:lvlJc w:val="left"/>
      <w:pPr>
        <w:ind w:left="2300" w:hanging="420"/>
      </w:pPr>
    </w:lvl>
    <w:lvl w:ilvl="5" w:tentative="0">
      <w:start w:val="1"/>
      <w:numFmt w:val="lowerRoman"/>
      <w:lvlText w:val="%6."/>
      <w:lvlJc w:val="right"/>
      <w:pPr>
        <w:ind w:left="2720" w:hanging="420"/>
      </w:pPr>
    </w:lvl>
    <w:lvl w:ilvl="6" w:tentative="0">
      <w:start w:val="1"/>
      <w:numFmt w:val="decimal"/>
      <w:lvlText w:val="%7."/>
      <w:lvlJc w:val="left"/>
      <w:pPr>
        <w:ind w:left="3140" w:hanging="420"/>
      </w:pPr>
    </w:lvl>
    <w:lvl w:ilvl="7" w:tentative="0">
      <w:start w:val="1"/>
      <w:numFmt w:val="lowerLetter"/>
      <w:lvlText w:val="%8)"/>
      <w:lvlJc w:val="left"/>
      <w:pPr>
        <w:ind w:left="3560" w:hanging="420"/>
      </w:pPr>
    </w:lvl>
    <w:lvl w:ilvl="8" w:tentative="0">
      <w:start w:val="1"/>
      <w:numFmt w:val="lowerRoman"/>
      <w:lvlText w:val="%9."/>
      <w:lvlJc w:val="right"/>
      <w:pPr>
        <w:ind w:left="3980" w:hanging="420"/>
      </w:pPr>
    </w:lvl>
  </w:abstractNum>
  <w:abstractNum w:abstractNumId="3">
    <w:nsid w:val="00000011"/>
    <w:multiLevelType w:val="multilevel"/>
    <w:tmpl w:val="00000011"/>
    <w:lvl w:ilvl="0" w:tentative="0">
      <w:start w:val="1"/>
      <w:numFmt w:val="decimal"/>
      <w:suff w:val="nothing"/>
      <w:lvlText w:val="[%1]"/>
      <w:lvlJc w:val="left"/>
      <w:pPr>
        <w:ind w:left="0" w:firstLine="0"/>
      </w:pPr>
      <w:rPr>
        <w:rFonts w:hint="eastAsia" w:asciiTheme="minorEastAsia" w:hAnsiTheme="minorEastAsia" w:eastAsiaTheme="minor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
    <w:nsid w:val="165F9A95"/>
    <w:multiLevelType w:val="singleLevel"/>
    <w:tmpl w:val="165F9A95"/>
    <w:lvl w:ilvl="0" w:tentative="0">
      <w:start w:val="1"/>
      <w:numFmt w:val="decimal"/>
      <w:suff w:val="nothing"/>
      <w:lvlText w:val="（%1）"/>
      <w:lvlJc w:val="left"/>
      <w:pPr>
        <w:tabs>
          <w:tab w:val="left" w:pos="420"/>
        </w:tabs>
        <w:ind w:left="425" w:hanging="425"/>
      </w:pPr>
      <w:rPr>
        <w:rFonts w:hint="default"/>
      </w:rPr>
    </w:lvl>
  </w:abstractNum>
  <w:abstractNum w:abstractNumId="5">
    <w:nsid w:val="2FB88273"/>
    <w:multiLevelType w:val="singleLevel"/>
    <w:tmpl w:val="2FB88273"/>
    <w:lvl w:ilvl="0" w:tentative="0">
      <w:start w:val="1"/>
      <w:numFmt w:val="decimal"/>
      <w:suff w:val="nothing"/>
      <w:lvlText w:val="（%1）"/>
      <w:lvlJc w:val="left"/>
      <w:pPr>
        <w:tabs>
          <w:tab w:val="left" w:pos="420"/>
        </w:tabs>
        <w:ind w:left="425" w:hanging="425"/>
      </w:pPr>
      <w:rPr>
        <w:rFonts w:hint="default"/>
      </w:rPr>
    </w:lvl>
  </w:abstractNum>
  <w:abstractNum w:abstractNumId="6">
    <w:nsid w:val="32E83E71"/>
    <w:multiLevelType w:val="singleLevel"/>
    <w:tmpl w:val="32E83E71"/>
    <w:lvl w:ilvl="0" w:tentative="0">
      <w:start w:val="1"/>
      <w:numFmt w:val="decimal"/>
      <w:suff w:val="nothing"/>
      <w:lvlText w:val="（%1）"/>
      <w:lvlJc w:val="left"/>
      <w:pPr>
        <w:tabs>
          <w:tab w:val="left" w:pos="420"/>
        </w:tabs>
        <w:ind w:left="425" w:hanging="425"/>
      </w:pPr>
      <w:rPr>
        <w:rFonts w:hint="default"/>
      </w:rPr>
    </w:lvl>
  </w:abstractNum>
  <w:abstractNum w:abstractNumId="7">
    <w:nsid w:val="75FA18F9"/>
    <w:multiLevelType w:val="singleLevel"/>
    <w:tmpl w:val="75FA18F9"/>
    <w:lvl w:ilvl="0" w:tentative="0">
      <w:start w:val="1"/>
      <w:numFmt w:val="decimal"/>
      <w:suff w:val="nothing"/>
      <w:lvlText w:val="（%1）"/>
      <w:lvlJc w:val="left"/>
      <w:pPr>
        <w:tabs>
          <w:tab w:val="left" w:pos="0"/>
        </w:tabs>
        <w:ind w:left="420"/>
      </w:pPr>
      <w:rPr>
        <w:rFonts w:hint="default"/>
      </w:rPr>
    </w:lvl>
  </w:abstractNum>
  <w:abstractNum w:abstractNumId="8">
    <w:nsid w:val="7B0008D5"/>
    <w:multiLevelType w:val="multilevel"/>
    <w:tmpl w:val="7B0008D5"/>
    <w:lvl w:ilvl="0" w:tentative="0">
      <w:start w:val="1"/>
      <w:numFmt w:val="decimal"/>
      <w:lvlText w:val="（%1）"/>
      <w:lvlJc w:val="left"/>
      <w:pPr>
        <w:ind w:left="1202" w:hanging="720"/>
      </w:pPr>
      <w:rPr>
        <w:rFonts w:hint="default"/>
        <w:b w:val="0"/>
        <w:bCs/>
      </w:rPr>
    </w:lvl>
    <w:lvl w:ilvl="1" w:tentative="0">
      <w:start w:val="1"/>
      <w:numFmt w:val="lowerLetter"/>
      <w:lvlText w:val="%2)"/>
      <w:lvlJc w:val="left"/>
      <w:pPr>
        <w:ind w:left="1362" w:hanging="440"/>
      </w:pPr>
    </w:lvl>
    <w:lvl w:ilvl="2" w:tentative="0">
      <w:start w:val="1"/>
      <w:numFmt w:val="lowerRoman"/>
      <w:lvlText w:val="%3."/>
      <w:lvlJc w:val="right"/>
      <w:pPr>
        <w:ind w:left="1802" w:hanging="440"/>
      </w:pPr>
    </w:lvl>
    <w:lvl w:ilvl="3" w:tentative="0">
      <w:start w:val="1"/>
      <w:numFmt w:val="decimal"/>
      <w:lvlText w:val="%4."/>
      <w:lvlJc w:val="left"/>
      <w:pPr>
        <w:ind w:left="2242" w:hanging="440"/>
      </w:pPr>
    </w:lvl>
    <w:lvl w:ilvl="4" w:tentative="0">
      <w:start w:val="1"/>
      <w:numFmt w:val="lowerLetter"/>
      <w:lvlText w:val="%5)"/>
      <w:lvlJc w:val="left"/>
      <w:pPr>
        <w:ind w:left="2682" w:hanging="440"/>
      </w:pPr>
    </w:lvl>
    <w:lvl w:ilvl="5" w:tentative="0">
      <w:start w:val="1"/>
      <w:numFmt w:val="lowerRoman"/>
      <w:lvlText w:val="%6."/>
      <w:lvlJc w:val="right"/>
      <w:pPr>
        <w:ind w:left="3122" w:hanging="440"/>
      </w:pPr>
    </w:lvl>
    <w:lvl w:ilvl="6" w:tentative="0">
      <w:start w:val="1"/>
      <w:numFmt w:val="decimal"/>
      <w:lvlText w:val="%7."/>
      <w:lvlJc w:val="left"/>
      <w:pPr>
        <w:ind w:left="3562" w:hanging="440"/>
      </w:pPr>
    </w:lvl>
    <w:lvl w:ilvl="7" w:tentative="0">
      <w:start w:val="1"/>
      <w:numFmt w:val="lowerLetter"/>
      <w:lvlText w:val="%8)"/>
      <w:lvlJc w:val="left"/>
      <w:pPr>
        <w:ind w:left="4002" w:hanging="440"/>
      </w:pPr>
    </w:lvl>
    <w:lvl w:ilvl="8" w:tentative="0">
      <w:start w:val="1"/>
      <w:numFmt w:val="lowerRoman"/>
      <w:lvlText w:val="%9."/>
      <w:lvlJc w:val="right"/>
      <w:pPr>
        <w:ind w:left="4442" w:hanging="440"/>
      </w:pPr>
    </w:lvl>
  </w:abstractNum>
  <w:num w:numId="1">
    <w:abstractNumId w:val="0"/>
  </w:num>
  <w:num w:numId="2">
    <w:abstractNumId w:val="2"/>
  </w:num>
  <w:num w:numId="3">
    <w:abstractNumId w:val="7"/>
  </w:num>
  <w:num w:numId="4">
    <w:abstractNumId w:val="8"/>
  </w:num>
  <w:num w:numId="5">
    <w:abstractNumId w:val="4"/>
  </w:num>
  <w:num w:numId="6">
    <w:abstractNumId w:val="6"/>
  </w:num>
  <w:num w:numId="7">
    <w:abstractNumId w:val="5"/>
  </w:num>
  <w:num w:numId="8">
    <w:abstractNumId w:val="1"/>
  </w:num>
  <w:num w:numId="9">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Vampire Li">
    <w15:presenceInfo w15:providerId="Windows Live" w15:userId="7c348271cd8a07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mirrorMargins w:val="1"/>
  <w:bordersDoNotSurroundHeader w:val="1"/>
  <w:bordersDoNotSurroundFooter w:val="1"/>
  <w:documentProtection w:enforcement="0"/>
  <w:defaultTabStop w:val="420"/>
  <w:evenAndOddHeaders w:val="1"/>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M5Yjg3NmMyMDhmZDRkNjNkMTA4ODAwMjE0YmYyOTYifQ=="/>
  </w:docVars>
  <w:rsids>
    <w:rsidRoot w:val="00F714A7"/>
    <w:rsid w:val="000000A7"/>
    <w:rsid w:val="00002903"/>
    <w:rsid w:val="00003944"/>
    <w:rsid w:val="00003FE1"/>
    <w:rsid w:val="00004775"/>
    <w:rsid w:val="000075B8"/>
    <w:rsid w:val="000100D5"/>
    <w:rsid w:val="00016AE1"/>
    <w:rsid w:val="00016F9F"/>
    <w:rsid w:val="00020CDB"/>
    <w:rsid w:val="00020DEC"/>
    <w:rsid w:val="00022A7F"/>
    <w:rsid w:val="00023A03"/>
    <w:rsid w:val="00024C19"/>
    <w:rsid w:val="000252C1"/>
    <w:rsid w:val="00030669"/>
    <w:rsid w:val="0003198C"/>
    <w:rsid w:val="00036CBE"/>
    <w:rsid w:val="00037612"/>
    <w:rsid w:val="00037AE8"/>
    <w:rsid w:val="00041BE3"/>
    <w:rsid w:val="00042424"/>
    <w:rsid w:val="0004317A"/>
    <w:rsid w:val="0004376E"/>
    <w:rsid w:val="0004388C"/>
    <w:rsid w:val="00044EC5"/>
    <w:rsid w:val="000452EC"/>
    <w:rsid w:val="000457A5"/>
    <w:rsid w:val="00046EB3"/>
    <w:rsid w:val="00047D0B"/>
    <w:rsid w:val="000518A0"/>
    <w:rsid w:val="000550E2"/>
    <w:rsid w:val="0005558F"/>
    <w:rsid w:val="00055891"/>
    <w:rsid w:val="0005652C"/>
    <w:rsid w:val="00057F35"/>
    <w:rsid w:val="00060C2C"/>
    <w:rsid w:val="00061F0D"/>
    <w:rsid w:val="00064D23"/>
    <w:rsid w:val="00066C01"/>
    <w:rsid w:val="00067A77"/>
    <w:rsid w:val="00071715"/>
    <w:rsid w:val="0007443A"/>
    <w:rsid w:val="000804D5"/>
    <w:rsid w:val="00080B7B"/>
    <w:rsid w:val="00083D0B"/>
    <w:rsid w:val="00086D75"/>
    <w:rsid w:val="00086F3E"/>
    <w:rsid w:val="00087085"/>
    <w:rsid w:val="00087CC3"/>
    <w:rsid w:val="000900E4"/>
    <w:rsid w:val="0009307E"/>
    <w:rsid w:val="00094FB5"/>
    <w:rsid w:val="00096BD3"/>
    <w:rsid w:val="0009796B"/>
    <w:rsid w:val="000A09C3"/>
    <w:rsid w:val="000A1520"/>
    <w:rsid w:val="000A1545"/>
    <w:rsid w:val="000A295F"/>
    <w:rsid w:val="000B106B"/>
    <w:rsid w:val="000B2105"/>
    <w:rsid w:val="000B2B17"/>
    <w:rsid w:val="000B333F"/>
    <w:rsid w:val="000B3AFA"/>
    <w:rsid w:val="000B4AF8"/>
    <w:rsid w:val="000B5B1C"/>
    <w:rsid w:val="000B621D"/>
    <w:rsid w:val="000B6A1D"/>
    <w:rsid w:val="000B6B86"/>
    <w:rsid w:val="000B6CA4"/>
    <w:rsid w:val="000B7751"/>
    <w:rsid w:val="000C043D"/>
    <w:rsid w:val="000C4B36"/>
    <w:rsid w:val="000C4D9A"/>
    <w:rsid w:val="000C5C9D"/>
    <w:rsid w:val="000C6136"/>
    <w:rsid w:val="000C656F"/>
    <w:rsid w:val="000D37C1"/>
    <w:rsid w:val="000D4E64"/>
    <w:rsid w:val="000D7C95"/>
    <w:rsid w:val="000E16BA"/>
    <w:rsid w:val="000E2601"/>
    <w:rsid w:val="000E266E"/>
    <w:rsid w:val="000E43C8"/>
    <w:rsid w:val="000F1B5D"/>
    <w:rsid w:val="000F2727"/>
    <w:rsid w:val="000F3271"/>
    <w:rsid w:val="000F3412"/>
    <w:rsid w:val="000F3441"/>
    <w:rsid w:val="000F7600"/>
    <w:rsid w:val="000F7A68"/>
    <w:rsid w:val="001006FD"/>
    <w:rsid w:val="001007EC"/>
    <w:rsid w:val="001008B5"/>
    <w:rsid w:val="00101086"/>
    <w:rsid w:val="0010132A"/>
    <w:rsid w:val="001031FE"/>
    <w:rsid w:val="00103EBB"/>
    <w:rsid w:val="00104181"/>
    <w:rsid w:val="00104587"/>
    <w:rsid w:val="00105CB9"/>
    <w:rsid w:val="0010676E"/>
    <w:rsid w:val="00111E7D"/>
    <w:rsid w:val="00112D78"/>
    <w:rsid w:val="00114EBE"/>
    <w:rsid w:val="00115765"/>
    <w:rsid w:val="00115B8E"/>
    <w:rsid w:val="00116729"/>
    <w:rsid w:val="001178CC"/>
    <w:rsid w:val="00123C8F"/>
    <w:rsid w:val="00124295"/>
    <w:rsid w:val="001263EE"/>
    <w:rsid w:val="00126A06"/>
    <w:rsid w:val="0013003A"/>
    <w:rsid w:val="0013062C"/>
    <w:rsid w:val="00130866"/>
    <w:rsid w:val="00130868"/>
    <w:rsid w:val="00131B54"/>
    <w:rsid w:val="00131CD1"/>
    <w:rsid w:val="00133552"/>
    <w:rsid w:val="001337FC"/>
    <w:rsid w:val="001404D9"/>
    <w:rsid w:val="00144EC4"/>
    <w:rsid w:val="00151AE9"/>
    <w:rsid w:val="00152C58"/>
    <w:rsid w:val="00153243"/>
    <w:rsid w:val="00153C66"/>
    <w:rsid w:val="001563C5"/>
    <w:rsid w:val="00156E8E"/>
    <w:rsid w:val="00157C9C"/>
    <w:rsid w:val="00161F68"/>
    <w:rsid w:val="00163E5C"/>
    <w:rsid w:val="00164E5A"/>
    <w:rsid w:val="001669B9"/>
    <w:rsid w:val="00166DEB"/>
    <w:rsid w:val="00167356"/>
    <w:rsid w:val="00170384"/>
    <w:rsid w:val="0017054F"/>
    <w:rsid w:val="001707BA"/>
    <w:rsid w:val="00171310"/>
    <w:rsid w:val="00171D0E"/>
    <w:rsid w:val="00172094"/>
    <w:rsid w:val="00173380"/>
    <w:rsid w:val="00174251"/>
    <w:rsid w:val="0017544E"/>
    <w:rsid w:val="00176C78"/>
    <w:rsid w:val="00180465"/>
    <w:rsid w:val="001831DF"/>
    <w:rsid w:val="00183B44"/>
    <w:rsid w:val="001843D8"/>
    <w:rsid w:val="00184E64"/>
    <w:rsid w:val="00184EF1"/>
    <w:rsid w:val="001850E1"/>
    <w:rsid w:val="00185C4A"/>
    <w:rsid w:val="0018655E"/>
    <w:rsid w:val="001865E8"/>
    <w:rsid w:val="00186CDD"/>
    <w:rsid w:val="001905B2"/>
    <w:rsid w:val="001908B1"/>
    <w:rsid w:val="00190AE7"/>
    <w:rsid w:val="00191E6E"/>
    <w:rsid w:val="00192A6D"/>
    <w:rsid w:val="00193265"/>
    <w:rsid w:val="001A37E8"/>
    <w:rsid w:val="001A57BF"/>
    <w:rsid w:val="001A66AA"/>
    <w:rsid w:val="001A6FAB"/>
    <w:rsid w:val="001B35BC"/>
    <w:rsid w:val="001B3FC0"/>
    <w:rsid w:val="001B4125"/>
    <w:rsid w:val="001B5083"/>
    <w:rsid w:val="001B6C12"/>
    <w:rsid w:val="001B7991"/>
    <w:rsid w:val="001C0E0C"/>
    <w:rsid w:val="001C0E10"/>
    <w:rsid w:val="001C1927"/>
    <w:rsid w:val="001C24E4"/>
    <w:rsid w:val="001C6B84"/>
    <w:rsid w:val="001C726B"/>
    <w:rsid w:val="001C7B7A"/>
    <w:rsid w:val="001D0374"/>
    <w:rsid w:val="001D0B0E"/>
    <w:rsid w:val="001D10C1"/>
    <w:rsid w:val="001D1333"/>
    <w:rsid w:val="001D1FE9"/>
    <w:rsid w:val="001D2FB2"/>
    <w:rsid w:val="001D5392"/>
    <w:rsid w:val="001D5C72"/>
    <w:rsid w:val="001D68A6"/>
    <w:rsid w:val="001D73CF"/>
    <w:rsid w:val="001D7501"/>
    <w:rsid w:val="001E0A8C"/>
    <w:rsid w:val="001E0EEE"/>
    <w:rsid w:val="001E2688"/>
    <w:rsid w:val="001E30D4"/>
    <w:rsid w:val="001E7F65"/>
    <w:rsid w:val="001F1032"/>
    <w:rsid w:val="001F28A7"/>
    <w:rsid w:val="001F2C9C"/>
    <w:rsid w:val="001F36CD"/>
    <w:rsid w:val="001F4E26"/>
    <w:rsid w:val="001F6065"/>
    <w:rsid w:val="001F7C7D"/>
    <w:rsid w:val="001F7FF4"/>
    <w:rsid w:val="002007FB"/>
    <w:rsid w:val="0020095E"/>
    <w:rsid w:val="00201EE6"/>
    <w:rsid w:val="00202BF2"/>
    <w:rsid w:val="00202C83"/>
    <w:rsid w:val="00204712"/>
    <w:rsid w:val="002111ED"/>
    <w:rsid w:val="0021336A"/>
    <w:rsid w:val="00214270"/>
    <w:rsid w:val="00215DB8"/>
    <w:rsid w:val="00220098"/>
    <w:rsid w:val="0022048A"/>
    <w:rsid w:val="002224C4"/>
    <w:rsid w:val="00224FD7"/>
    <w:rsid w:val="0022689C"/>
    <w:rsid w:val="00226D8B"/>
    <w:rsid w:val="00230574"/>
    <w:rsid w:val="002311F5"/>
    <w:rsid w:val="00233D19"/>
    <w:rsid w:val="0023649D"/>
    <w:rsid w:val="00237AA5"/>
    <w:rsid w:val="00237D3D"/>
    <w:rsid w:val="00237F29"/>
    <w:rsid w:val="00240EFF"/>
    <w:rsid w:val="00243545"/>
    <w:rsid w:val="00243C8E"/>
    <w:rsid w:val="00244066"/>
    <w:rsid w:val="002454A4"/>
    <w:rsid w:val="002468E3"/>
    <w:rsid w:val="00247DFA"/>
    <w:rsid w:val="00247E69"/>
    <w:rsid w:val="00247FB0"/>
    <w:rsid w:val="00253353"/>
    <w:rsid w:val="00256539"/>
    <w:rsid w:val="002572C5"/>
    <w:rsid w:val="0026078D"/>
    <w:rsid w:val="00260C1A"/>
    <w:rsid w:val="00260D01"/>
    <w:rsid w:val="002630C6"/>
    <w:rsid w:val="002666F1"/>
    <w:rsid w:val="00271486"/>
    <w:rsid w:val="0027278D"/>
    <w:rsid w:val="00274215"/>
    <w:rsid w:val="002743B2"/>
    <w:rsid w:val="00276733"/>
    <w:rsid w:val="00282DF0"/>
    <w:rsid w:val="00283FEE"/>
    <w:rsid w:val="002842FC"/>
    <w:rsid w:val="00284E67"/>
    <w:rsid w:val="002878EE"/>
    <w:rsid w:val="002917E4"/>
    <w:rsid w:val="002923A5"/>
    <w:rsid w:val="00292C74"/>
    <w:rsid w:val="00294A1B"/>
    <w:rsid w:val="00296C79"/>
    <w:rsid w:val="002A1981"/>
    <w:rsid w:val="002A3F68"/>
    <w:rsid w:val="002A4CE9"/>
    <w:rsid w:val="002A7CEB"/>
    <w:rsid w:val="002B0019"/>
    <w:rsid w:val="002B0599"/>
    <w:rsid w:val="002B258C"/>
    <w:rsid w:val="002B2F07"/>
    <w:rsid w:val="002B313F"/>
    <w:rsid w:val="002B35CD"/>
    <w:rsid w:val="002B3A16"/>
    <w:rsid w:val="002B6645"/>
    <w:rsid w:val="002B705F"/>
    <w:rsid w:val="002B70C0"/>
    <w:rsid w:val="002C102C"/>
    <w:rsid w:val="002C5778"/>
    <w:rsid w:val="002C62DA"/>
    <w:rsid w:val="002C681D"/>
    <w:rsid w:val="002C6EF4"/>
    <w:rsid w:val="002D592F"/>
    <w:rsid w:val="002D5BE2"/>
    <w:rsid w:val="002D5EE8"/>
    <w:rsid w:val="002D65C1"/>
    <w:rsid w:val="002D7DFE"/>
    <w:rsid w:val="002E1BDA"/>
    <w:rsid w:val="002E20E7"/>
    <w:rsid w:val="002E2780"/>
    <w:rsid w:val="002E29EF"/>
    <w:rsid w:val="002E2B95"/>
    <w:rsid w:val="002E2D34"/>
    <w:rsid w:val="002E3A3A"/>
    <w:rsid w:val="002E623D"/>
    <w:rsid w:val="002E653C"/>
    <w:rsid w:val="002F1D75"/>
    <w:rsid w:val="002F55A7"/>
    <w:rsid w:val="002F5681"/>
    <w:rsid w:val="00300067"/>
    <w:rsid w:val="00301B81"/>
    <w:rsid w:val="00303125"/>
    <w:rsid w:val="00307131"/>
    <w:rsid w:val="00312ACC"/>
    <w:rsid w:val="0031418D"/>
    <w:rsid w:val="0031510F"/>
    <w:rsid w:val="00315A3D"/>
    <w:rsid w:val="00315B18"/>
    <w:rsid w:val="00316764"/>
    <w:rsid w:val="003211C0"/>
    <w:rsid w:val="003232E8"/>
    <w:rsid w:val="0032432C"/>
    <w:rsid w:val="003276BE"/>
    <w:rsid w:val="0032784C"/>
    <w:rsid w:val="0033085D"/>
    <w:rsid w:val="0033214D"/>
    <w:rsid w:val="00332D62"/>
    <w:rsid w:val="00332F42"/>
    <w:rsid w:val="00334501"/>
    <w:rsid w:val="003350BA"/>
    <w:rsid w:val="003359CA"/>
    <w:rsid w:val="00336119"/>
    <w:rsid w:val="00337192"/>
    <w:rsid w:val="00342D72"/>
    <w:rsid w:val="00342E16"/>
    <w:rsid w:val="00342E88"/>
    <w:rsid w:val="00343A4D"/>
    <w:rsid w:val="00344D38"/>
    <w:rsid w:val="00345C81"/>
    <w:rsid w:val="00350B78"/>
    <w:rsid w:val="003517AC"/>
    <w:rsid w:val="00351EE4"/>
    <w:rsid w:val="003521F8"/>
    <w:rsid w:val="00353A83"/>
    <w:rsid w:val="00353B26"/>
    <w:rsid w:val="00355D06"/>
    <w:rsid w:val="00355D58"/>
    <w:rsid w:val="00356F0C"/>
    <w:rsid w:val="00357D34"/>
    <w:rsid w:val="00360240"/>
    <w:rsid w:val="00363DC6"/>
    <w:rsid w:val="0036428D"/>
    <w:rsid w:val="003646C2"/>
    <w:rsid w:val="0036587A"/>
    <w:rsid w:val="00365ACC"/>
    <w:rsid w:val="0036774F"/>
    <w:rsid w:val="00372380"/>
    <w:rsid w:val="00373A87"/>
    <w:rsid w:val="00380006"/>
    <w:rsid w:val="003805C4"/>
    <w:rsid w:val="00380B96"/>
    <w:rsid w:val="00381ED3"/>
    <w:rsid w:val="003823C3"/>
    <w:rsid w:val="00384686"/>
    <w:rsid w:val="00384C4B"/>
    <w:rsid w:val="0038649D"/>
    <w:rsid w:val="00387D2B"/>
    <w:rsid w:val="00390FF2"/>
    <w:rsid w:val="0039494C"/>
    <w:rsid w:val="00394C57"/>
    <w:rsid w:val="00396D69"/>
    <w:rsid w:val="0039761F"/>
    <w:rsid w:val="003A14C6"/>
    <w:rsid w:val="003A15E8"/>
    <w:rsid w:val="003A2844"/>
    <w:rsid w:val="003A2E37"/>
    <w:rsid w:val="003A55C6"/>
    <w:rsid w:val="003A6994"/>
    <w:rsid w:val="003A6D4D"/>
    <w:rsid w:val="003B2DDC"/>
    <w:rsid w:val="003B2FEF"/>
    <w:rsid w:val="003B5D0E"/>
    <w:rsid w:val="003B7524"/>
    <w:rsid w:val="003C1D54"/>
    <w:rsid w:val="003C252C"/>
    <w:rsid w:val="003C49DB"/>
    <w:rsid w:val="003C68D3"/>
    <w:rsid w:val="003D0912"/>
    <w:rsid w:val="003D28BC"/>
    <w:rsid w:val="003D35F4"/>
    <w:rsid w:val="003D3B1A"/>
    <w:rsid w:val="003D796B"/>
    <w:rsid w:val="003E1E98"/>
    <w:rsid w:val="003E1FA4"/>
    <w:rsid w:val="003E2966"/>
    <w:rsid w:val="003E58E4"/>
    <w:rsid w:val="003E60B0"/>
    <w:rsid w:val="0040031D"/>
    <w:rsid w:val="004008D1"/>
    <w:rsid w:val="004017C6"/>
    <w:rsid w:val="00401816"/>
    <w:rsid w:val="00402850"/>
    <w:rsid w:val="00403703"/>
    <w:rsid w:val="00404DC5"/>
    <w:rsid w:val="0040619F"/>
    <w:rsid w:val="00406712"/>
    <w:rsid w:val="00406E7E"/>
    <w:rsid w:val="00411049"/>
    <w:rsid w:val="004120CB"/>
    <w:rsid w:val="00413D9B"/>
    <w:rsid w:val="0041672F"/>
    <w:rsid w:val="00416B70"/>
    <w:rsid w:val="004205C5"/>
    <w:rsid w:val="00420784"/>
    <w:rsid w:val="00420F39"/>
    <w:rsid w:val="004224E1"/>
    <w:rsid w:val="0042380E"/>
    <w:rsid w:val="004239CC"/>
    <w:rsid w:val="00425D29"/>
    <w:rsid w:val="00426190"/>
    <w:rsid w:val="00427A71"/>
    <w:rsid w:val="00430E3F"/>
    <w:rsid w:val="00431046"/>
    <w:rsid w:val="00433004"/>
    <w:rsid w:val="00437B2B"/>
    <w:rsid w:val="0044145F"/>
    <w:rsid w:val="00441AA4"/>
    <w:rsid w:val="00442167"/>
    <w:rsid w:val="004429EB"/>
    <w:rsid w:val="00444377"/>
    <w:rsid w:val="00446A06"/>
    <w:rsid w:val="004477AA"/>
    <w:rsid w:val="004508AD"/>
    <w:rsid w:val="00450F20"/>
    <w:rsid w:val="00451BF6"/>
    <w:rsid w:val="0045613A"/>
    <w:rsid w:val="00461EC4"/>
    <w:rsid w:val="00463BFB"/>
    <w:rsid w:val="00466DAB"/>
    <w:rsid w:val="0047091E"/>
    <w:rsid w:val="00472DF0"/>
    <w:rsid w:val="00474A51"/>
    <w:rsid w:val="00474E8F"/>
    <w:rsid w:val="0047763D"/>
    <w:rsid w:val="00480134"/>
    <w:rsid w:val="0048083C"/>
    <w:rsid w:val="00483607"/>
    <w:rsid w:val="00483EAB"/>
    <w:rsid w:val="00486258"/>
    <w:rsid w:val="00496048"/>
    <w:rsid w:val="0049703E"/>
    <w:rsid w:val="004A0DA6"/>
    <w:rsid w:val="004A4C85"/>
    <w:rsid w:val="004A7395"/>
    <w:rsid w:val="004B1D51"/>
    <w:rsid w:val="004B21F2"/>
    <w:rsid w:val="004B31CE"/>
    <w:rsid w:val="004B351A"/>
    <w:rsid w:val="004B5452"/>
    <w:rsid w:val="004B5FD6"/>
    <w:rsid w:val="004B6325"/>
    <w:rsid w:val="004B6A93"/>
    <w:rsid w:val="004B6BAA"/>
    <w:rsid w:val="004B6E15"/>
    <w:rsid w:val="004C059E"/>
    <w:rsid w:val="004C0C03"/>
    <w:rsid w:val="004C4014"/>
    <w:rsid w:val="004C5A6B"/>
    <w:rsid w:val="004C7008"/>
    <w:rsid w:val="004C78CA"/>
    <w:rsid w:val="004D1283"/>
    <w:rsid w:val="004D31B0"/>
    <w:rsid w:val="004D5D00"/>
    <w:rsid w:val="004D5EC8"/>
    <w:rsid w:val="004D67CB"/>
    <w:rsid w:val="004D6A04"/>
    <w:rsid w:val="004E0875"/>
    <w:rsid w:val="004E1D62"/>
    <w:rsid w:val="004E326B"/>
    <w:rsid w:val="004E5D5E"/>
    <w:rsid w:val="004E6B3D"/>
    <w:rsid w:val="004F1B1B"/>
    <w:rsid w:val="004F1B52"/>
    <w:rsid w:val="004F3CFB"/>
    <w:rsid w:val="004F7683"/>
    <w:rsid w:val="004F7785"/>
    <w:rsid w:val="005016B1"/>
    <w:rsid w:val="005042C8"/>
    <w:rsid w:val="005127A8"/>
    <w:rsid w:val="0051290C"/>
    <w:rsid w:val="005135E4"/>
    <w:rsid w:val="00514D31"/>
    <w:rsid w:val="0051544D"/>
    <w:rsid w:val="00515C44"/>
    <w:rsid w:val="005170D9"/>
    <w:rsid w:val="0051742C"/>
    <w:rsid w:val="00517E95"/>
    <w:rsid w:val="005206CA"/>
    <w:rsid w:val="00521801"/>
    <w:rsid w:val="00521B05"/>
    <w:rsid w:val="00522ECD"/>
    <w:rsid w:val="005237EC"/>
    <w:rsid w:val="0052478E"/>
    <w:rsid w:val="00525A4C"/>
    <w:rsid w:val="00530317"/>
    <w:rsid w:val="00530693"/>
    <w:rsid w:val="00530965"/>
    <w:rsid w:val="005312F7"/>
    <w:rsid w:val="005317B9"/>
    <w:rsid w:val="00533088"/>
    <w:rsid w:val="005335EA"/>
    <w:rsid w:val="005339BE"/>
    <w:rsid w:val="00535007"/>
    <w:rsid w:val="0053541B"/>
    <w:rsid w:val="005413AB"/>
    <w:rsid w:val="00545ED3"/>
    <w:rsid w:val="00547AA5"/>
    <w:rsid w:val="00550077"/>
    <w:rsid w:val="0055238F"/>
    <w:rsid w:val="005527D7"/>
    <w:rsid w:val="005541D2"/>
    <w:rsid w:val="0055447B"/>
    <w:rsid w:val="0055612B"/>
    <w:rsid w:val="0056136A"/>
    <w:rsid w:val="00562858"/>
    <w:rsid w:val="00562967"/>
    <w:rsid w:val="00563CCC"/>
    <w:rsid w:val="00564134"/>
    <w:rsid w:val="00564D0B"/>
    <w:rsid w:val="00565091"/>
    <w:rsid w:val="00567D5B"/>
    <w:rsid w:val="00570FDD"/>
    <w:rsid w:val="00571207"/>
    <w:rsid w:val="005714CA"/>
    <w:rsid w:val="00571AAD"/>
    <w:rsid w:val="00571C2D"/>
    <w:rsid w:val="005727E5"/>
    <w:rsid w:val="00573DF4"/>
    <w:rsid w:val="005749A6"/>
    <w:rsid w:val="005759EE"/>
    <w:rsid w:val="00582495"/>
    <w:rsid w:val="00582969"/>
    <w:rsid w:val="0058297C"/>
    <w:rsid w:val="00584089"/>
    <w:rsid w:val="0058526B"/>
    <w:rsid w:val="00585933"/>
    <w:rsid w:val="0058594A"/>
    <w:rsid w:val="00586DBF"/>
    <w:rsid w:val="00586EE0"/>
    <w:rsid w:val="0058758C"/>
    <w:rsid w:val="00587643"/>
    <w:rsid w:val="005879FE"/>
    <w:rsid w:val="00590562"/>
    <w:rsid w:val="00591162"/>
    <w:rsid w:val="005948AE"/>
    <w:rsid w:val="00594D20"/>
    <w:rsid w:val="00594F97"/>
    <w:rsid w:val="0059644F"/>
    <w:rsid w:val="005A1E5A"/>
    <w:rsid w:val="005A2684"/>
    <w:rsid w:val="005A2E0B"/>
    <w:rsid w:val="005A32C0"/>
    <w:rsid w:val="005A3A57"/>
    <w:rsid w:val="005A6C6B"/>
    <w:rsid w:val="005B08C0"/>
    <w:rsid w:val="005B0DA8"/>
    <w:rsid w:val="005B1463"/>
    <w:rsid w:val="005B25C5"/>
    <w:rsid w:val="005B44C4"/>
    <w:rsid w:val="005B5502"/>
    <w:rsid w:val="005B5770"/>
    <w:rsid w:val="005B7341"/>
    <w:rsid w:val="005B78FB"/>
    <w:rsid w:val="005C0BCB"/>
    <w:rsid w:val="005C34D3"/>
    <w:rsid w:val="005C4D4C"/>
    <w:rsid w:val="005D1BD0"/>
    <w:rsid w:val="005D2968"/>
    <w:rsid w:val="005D2A25"/>
    <w:rsid w:val="005D2F01"/>
    <w:rsid w:val="005D3F6D"/>
    <w:rsid w:val="005D6E8E"/>
    <w:rsid w:val="005D7915"/>
    <w:rsid w:val="005E068F"/>
    <w:rsid w:val="005E1CB3"/>
    <w:rsid w:val="005E1FD2"/>
    <w:rsid w:val="005E220E"/>
    <w:rsid w:val="005E453E"/>
    <w:rsid w:val="005E4D65"/>
    <w:rsid w:val="005E6596"/>
    <w:rsid w:val="005E6EA6"/>
    <w:rsid w:val="005F07F8"/>
    <w:rsid w:val="005F0E99"/>
    <w:rsid w:val="005F110E"/>
    <w:rsid w:val="005F1FFF"/>
    <w:rsid w:val="005F3957"/>
    <w:rsid w:val="005F5410"/>
    <w:rsid w:val="005F703D"/>
    <w:rsid w:val="005F742B"/>
    <w:rsid w:val="0060025C"/>
    <w:rsid w:val="00601DF9"/>
    <w:rsid w:val="006023FE"/>
    <w:rsid w:val="00603E44"/>
    <w:rsid w:val="00604E75"/>
    <w:rsid w:val="00604ED1"/>
    <w:rsid w:val="0060743A"/>
    <w:rsid w:val="00607917"/>
    <w:rsid w:val="00613D67"/>
    <w:rsid w:val="00614B5E"/>
    <w:rsid w:val="00615EC7"/>
    <w:rsid w:val="00620ED3"/>
    <w:rsid w:val="0062250C"/>
    <w:rsid w:val="00622B17"/>
    <w:rsid w:val="006233EB"/>
    <w:rsid w:val="0062503D"/>
    <w:rsid w:val="006250EF"/>
    <w:rsid w:val="00625436"/>
    <w:rsid w:val="00630BC6"/>
    <w:rsid w:val="006316D8"/>
    <w:rsid w:val="0063299A"/>
    <w:rsid w:val="0063369E"/>
    <w:rsid w:val="006336D8"/>
    <w:rsid w:val="006336E3"/>
    <w:rsid w:val="00634304"/>
    <w:rsid w:val="00634785"/>
    <w:rsid w:val="00635216"/>
    <w:rsid w:val="00637E34"/>
    <w:rsid w:val="00644917"/>
    <w:rsid w:val="00644CE0"/>
    <w:rsid w:val="00645644"/>
    <w:rsid w:val="0064571F"/>
    <w:rsid w:val="0065173E"/>
    <w:rsid w:val="006525CC"/>
    <w:rsid w:val="00655C22"/>
    <w:rsid w:val="00656486"/>
    <w:rsid w:val="006567F1"/>
    <w:rsid w:val="0065724C"/>
    <w:rsid w:val="00660046"/>
    <w:rsid w:val="006606F8"/>
    <w:rsid w:val="006615C3"/>
    <w:rsid w:val="00662661"/>
    <w:rsid w:val="006634C8"/>
    <w:rsid w:val="00664087"/>
    <w:rsid w:val="00672D4B"/>
    <w:rsid w:val="00672E20"/>
    <w:rsid w:val="0067337C"/>
    <w:rsid w:val="00673410"/>
    <w:rsid w:val="00680CD4"/>
    <w:rsid w:val="0068209F"/>
    <w:rsid w:val="0068336B"/>
    <w:rsid w:val="0068344F"/>
    <w:rsid w:val="00683524"/>
    <w:rsid w:val="00685E83"/>
    <w:rsid w:val="0068786A"/>
    <w:rsid w:val="00687B0D"/>
    <w:rsid w:val="006906C2"/>
    <w:rsid w:val="00690D3B"/>
    <w:rsid w:val="006911D1"/>
    <w:rsid w:val="0069169C"/>
    <w:rsid w:val="00691830"/>
    <w:rsid w:val="0069354F"/>
    <w:rsid w:val="00693606"/>
    <w:rsid w:val="00693C47"/>
    <w:rsid w:val="00694324"/>
    <w:rsid w:val="00695AEE"/>
    <w:rsid w:val="00696C57"/>
    <w:rsid w:val="00696E09"/>
    <w:rsid w:val="00697FEE"/>
    <w:rsid w:val="006A1188"/>
    <w:rsid w:val="006A12DD"/>
    <w:rsid w:val="006A4513"/>
    <w:rsid w:val="006A7912"/>
    <w:rsid w:val="006B0883"/>
    <w:rsid w:val="006B0E0F"/>
    <w:rsid w:val="006B1707"/>
    <w:rsid w:val="006B2BFC"/>
    <w:rsid w:val="006B4DF4"/>
    <w:rsid w:val="006B5A4E"/>
    <w:rsid w:val="006B6752"/>
    <w:rsid w:val="006B74B7"/>
    <w:rsid w:val="006C0A6E"/>
    <w:rsid w:val="006C4957"/>
    <w:rsid w:val="006C7028"/>
    <w:rsid w:val="006C7705"/>
    <w:rsid w:val="006D16B9"/>
    <w:rsid w:val="006D62BB"/>
    <w:rsid w:val="006D6B91"/>
    <w:rsid w:val="006D762E"/>
    <w:rsid w:val="006D7AF1"/>
    <w:rsid w:val="006E03A8"/>
    <w:rsid w:val="006E0A85"/>
    <w:rsid w:val="006E21CA"/>
    <w:rsid w:val="006E2B37"/>
    <w:rsid w:val="006E3B84"/>
    <w:rsid w:val="006E4DFE"/>
    <w:rsid w:val="006E635B"/>
    <w:rsid w:val="006F0562"/>
    <w:rsid w:val="006F4779"/>
    <w:rsid w:val="006F6011"/>
    <w:rsid w:val="006F7D5F"/>
    <w:rsid w:val="007004E4"/>
    <w:rsid w:val="007007C3"/>
    <w:rsid w:val="0070165D"/>
    <w:rsid w:val="00701A0B"/>
    <w:rsid w:val="00704F35"/>
    <w:rsid w:val="00704FCA"/>
    <w:rsid w:val="00705012"/>
    <w:rsid w:val="00705F97"/>
    <w:rsid w:val="007064AA"/>
    <w:rsid w:val="0070703C"/>
    <w:rsid w:val="00707980"/>
    <w:rsid w:val="00707BD3"/>
    <w:rsid w:val="0071038A"/>
    <w:rsid w:val="00715EAC"/>
    <w:rsid w:val="00716BEC"/>
    <w:rsid w:val="00717C9B"/>
    <w:rsid w:val="00720218"/>
    <w:rsid w:val="007261FF"/>
    <w:rsid w:val="00726AC7"/>
    <w:rsid w:val="00730350"/>
    <w:rsid w:val="00730427"/>
    <w:rsid w:val="007326A1"/>
    <w:rsid w:val="007351B6"/>
    <w:rsid w:val="00735F66"/>
    <w:rsid w:val="00741148"/>
    <w:rsid w:val="00743DD9"/>
    <w:rsid w:val="0074526D"/>
    <w:rsid w:val="007458EE"/>
    <w:rsid w:val="007518D6"/>
    <w:rsid w:val="00751C95"/>
    <w:rsid w:val="0075550D"/>
    <w:rsid w:val="00755B68"/>
    <w:rsid w:val="00756387"/>
    <w:rsid w:val="00756948"/>
    <w:rsid w:val="0076035E"/>
    <w:rsid w:val="007606B3"/>
    <w:rsid w:val="007607C2"/>
    <w:rsid w:val="00760D13"/>
    <w:rsid w:val="00760D9C"/>
    <w:rsid w:val="00762AF3"/>
    <w:rsid w:val="007632A5"/>
    <w:rsid w:val="00763509"/>
    <w:rsid w:val="007648DC"/>
    <w:rsid w:val="00764FB8"/>
    <w:rsid w:val="00766A5A"/>
    <w:rsid w:val="00767444"/>
    <w:rsid w:val="007709BC"/>
    <w:rsid w:val="00772030"/>
    <w:rsid w:val="00773DB0"/>
    <w:rsid w:val="00774C24"/>
    <w:rsid w:val="0077603E"/>
    <w:rsid w:val="00782FD8"/>
    <w:rsid w:val="00784D2B"/>
    <w:rsid w:val="00784E6F"/>
    <w:rsid w:val="007855B1"/>
    <w:rsid w:val="0078567E"/>
    <w:rsid w:val="007875EE"/>
    <w:rsid w:val="00787A3D"/>
    <w:rsid w:val="00787F4D"/>
    <w:rsid w:val="00795D09"/>
    <w:rsid w:val="00796003"/>
    <w:rsid w:val="007A1021"/>
    <w:rsid w:val="007A243C"/>
    <w:rsid w:val="007A27D1"/>
    <w:rsid w:val="007A506C"/>
    <w:rsid w:val="007B3787"/>
    <w:rsid w:val="007B5713"/>
    <w:rsid w:val="007B5D9E"/>
    <w:rsid w:val="007C578F"/>
    <w:rsid w:val="007C597D"/>
    <w:rsid w:val="007C7DCA"/>
    <w:rsid w:val="007D0342"/>
    <w:rsid w:val="007D1D42"/>
    <w:rsid w:val="007D29C6"/>
    <w:rsid w:val="007D2E74"/>
    <w:rsid w:val="007D3237"/>
    <w:rsid w:val="007D36D9"/>
    <w:rsid w:val="007D3B90"/>
    <w:rsid w:val="007D3CA8"/>
    <w:rsid w:val="007D5433"/>
    <w:rsid w:val="007D6079"/>
    <w:rsid w:val="007E1381"/>
    <w:rsid w:val="007E29AC"/>
    <w:rsid w:val="007E3B58"/>
    <w:rsid w:val="007E4B43"/>
    <w:rsid w:val="007E4BE0"/>
    <w:rsid w:val="007E4C45"/>
    <w:rsid w:val="007E5D90"/>
    <w:rsid w:val="007E70DC"/>
    <w:rsid w:val="007F0615"/>
    <w:rsid w:val="007F1C57"/>
    <w:rsid w:val="007F2535"/>
    <w:rsid w:val="007F3C0F"/>
    <w:rsid w:val="007F4206"/>
    <w:rsid w:val="007F4B05"/>
    <w:rsid w:val="007F525D"/>
    <w:rsid w:val="007F546D"/>
    <w:rsid w:val="007F73B9"/>
    <w:rsid w:val="00800089"/>
    <w:rsid w:val="00800097"/>
    <w:rsid w:val="00801046"/>
    <w:rsid w:val="00804100"/>
    <w:rsid w:val="00807950"/>
    <w:rsid w:val="00810FB3"/>
    <w:rsid w:val="00811928"/>
    <w:rsid w:val="0081240B"/>
    <w:rsid w:val="008130BB"/>
    <w:rsid w:val="00814665"/>
    <w:rsid w:val="00814B7A"/>
    <w:rsid w:val="00817EA8"/>
    <w:rsid w:val="00820A71"/>
    <w:rsid w:val="00823BED"/>
    <w:rsid w:val="00824404"/>
    <w:rsid w:val="00824884"/>
    <w:rsid w:val="00824930"/>
    <w:rsid w:val="00824FEF"/>
    <w:rsid w:val="00825752"/>
    <w:rsid w:val="0082655B"/>
    <w:rsid w:val="00826850"/>
    <w:rsid w:val="00830162"/>
    <w:rsid w:val="00831A05"/>
    <w:rsid w:val="008321C1"/>
    <w:rsid w:val="00832D01"/>
    <w:rsid w:val="00833013"/>
    <w:rsid w:val="00833D7B"/>
    <w:rsid w:val="00835A9A"/>
    <w:rsid w:val="00835B0A"/>
    <w:rsid w:val="00837B49"/>
    <w:rsid w:val="00841517"/>
    <w:rsid w:val="008427BE"/>
    <w:rsid w:val="00844BE7"/>
    <w:rsid w:val="00846804"/>
    <w:rsid w:val="0085034C"/>
    <w:rsid w:val="008512DF"/>
    <w:rsid w:val="00853203"/>
    <w:rsid w:val="0085343C"/>
    <w:rsid w:val="00853DAB"/>
    <w:rsid w:val="008549BE"/>
    <w:rsid w:val="00855300"/>
    <w:rsid w:val="008572A5"/>
    <w:rsid w:val="008609B0"/>
    <w:rsid w:val="00861458"/>
    <w:rsid w:val="00862CE1"/>
    <w:rsid w:val="00866E3F"/>
    <w:rsid w:val="0086736B"/>
    <w:rsid w:val="008712D0"/>
    <w:rsid w:val="00871769"/>
    <w:rsid w:val="00874072"/>
    <w:rsid w:val="008745C3"/>
    <w:rsid w:val="00881CA4"/>
    <w:rsid w:val="008838A2"/>
    <w:rsid w:val="00883937"/>
    <w:rsid w:val="008841B0"/>
    <w:rsid w:val="00885D76"/>
    <w:rsid w:val="00886CAF"/>
    <w:rsid w:val="00887FF5"/>
    <w:rsid w:val="0089248E"/>
    <w:rsid w:val="00892A43"/>
    <w:rsid w:val="00893900"/>
    <w:rsid w:val="008947D2"/>
    <w:rsid w:val="008A45DA"/>
    <w:rsid w:val="008A556A"/>
    <w:rsid w:val="008A660E"/>
    <w:rsid w:val="008A7AD6"/>
    <w:rsid w:val="008B06D9"/>
    <w:rsid w:val="008B0E2A"/>
    <w:rsid w:val="008B29A9"/>
    <w:rsid w:val="008B30E7"/>
    <w:rsid w:val="008B364B"/>
    <w:rsid w:val="008B4492"/>
    <w:rsid w:val="008B4C07"/>
    <w:rsid w:val="008B6330"/>
    <w:rsid w:val="008B77FD"/>
    <w:rsid w:val="008B7EAE"/>
    <w:rsid w:val="008C468E"/>
    <w:rsid w:val="008C5676"/>
    <w:rsid w:val="008C77DB"/>
    <w:rsid w:val="008D05F4"/>
    <w:rsid w:val="008D162A"/>
    <w:rsid w:val="008D188F"/>
    <w:rsid w:val="008D2D64"/>
    <w:rsid w:val="008D3A19"/>
    <w:rsid w:val="008D5E07"/>
    <w:rsid w:val="008D7B64"/>
    <w:rsid w:val="008D7D6A"/>
    <w:rsid w:val="008E26D1"/>
    <w:rsid w:val="008E2BE7"/>
    <w:rsid w:val="008E3234"/>
    <w:rsid w:val="008E3CB6"/>
    <w:rsid w:val="008E548A"/>
    <w:rsid w:val="008E69CC"/>
    <w:rsid w:val="008F125A"/>
    <w:rsid w:val="008F270C"/>
    <w:rsid w:val="008F2EE4"/>
    <w:rsid w:val="008F3128"/>
    <w:rsid w:val="008F4D5B"/>
    <w:rsid w:val="008F56BD"/>
    <w:rsid w:val="008F6123"/>
    <w:rsid w:val="008F65E6"/>
    <w:rsid w:val="008F7DCC"/>
    <w:rsid w:val="00902EE6"/>
    <w:rsid w:val="00903949"/>
    <w:rsid w:val="00904269"/>
    <w:rsid w:val="009053B4"/>
    <w:rsid w:val="00905B22"/>
    <w:rsid w:val="009064FE"/>
    <w:rsid w:val="00906CD1"/>
    <w:rsid w:val="0091044A"/>
    <w:rsid w:val="00911FB9"/>
    <w:rsid w:val="0091476D"/>
    <w:rsid w:val="009164D6"/>
    <w:rsid w:val="00921D90"/>
    <w:rsid w:val="00922ED2"/>
    <w:rsid w:val="00924F5C"/>
    <w:rsid w:val="00925278"/>
    <w:rsid w:val="00925D36"/>
    <w:rsid w:val="009311F9"/>
    <w:rsid w:val="0093274B"/>
    <w:rsid w:val="0093583D"/>
    <w:rsid w:val="00936368"/>
    <w:rsid w:val="009416FC"/>
    <w:rsid w:val="00943BC3"/>
    <w:rsid w:val="0094637E"/>
    <w:rsid w:val="009469D2"/>
    <w:rsid w:val="00947455"/>
    <w:rsid w:val="00947CCE"/>
    <w:rsid w:val="00960240"/>
    <w:rsid w:val="00960F69"/>
    <w:rsid w:val="0096360A"/>
    <w:rsid w:val="00963909"/>
    <w:rsid w:val="00966D07"/>
    <w:rsid w:val="0097020A"/>
    <w:rsid w:val="00970E94"/>
    <w:rsid w:val="00971AA7"/>
    <w:rsid w:val="00972026"/>
    <w:rsid w:val="00972A6B"/>
    <w:rsid w:val="0097408D"/>
    <w:rsid w:val="00975679"/>
    <w:rsid w:val="00975C73"/>
    <w:rsid w:val="00975FEB"/>
    <w:rsid w:val="00981025"/>
    <w:rsid w:val="009810CF"/>
    <w:rsid w:val="00981B94"/>
    <w:rsid w:val="009838E0"/>
    <w:rsid w:val="00984064"/>
    <w:rsid w:val="00990C3C"/>
    <w:rsid w:val="009919ED"/>
    <w:rsid w:val="00992F30"/>
    <w:rsid w:val="00993A46"/>
    <w:rsid w:val="00993D45"/>
    <w:rsid w:val="00995F0F"/>
    <w:rsid w:val="00997FE7"/>
    <w:rsid w:val="009A0386"/>
    <w:rsid w:val="009A196A"/>
    <w:rsid w:val="009A2796"/>
    <w:rsid w:val="009A5DB9"/>
    <w:rsid w:val="009A5DFB"/>
    <w:rsid w:val="009A6CB7"/>
    <w:rsid w:val="009B2BA3"/>
    <w:rsid w:val="009B2C89"/>
    <w:rsid w:val="009B4AB6"/>
    <w:rsid w:val="009B4CD6"/>
    <w:rsid w:val="009B74B3"/>
    <w:rsid w:val="009C07A4"/>
    <w:rsid w:val="009C1BCB"/>
    <w:rsid w:val="009C3DA5"/>
    <w:rsid w:val="009C450B"/>
    <w:rsid w:val="009C4549"/>
    <w:rsid w:val="009C6E9B"/>
    <w:rsid w:val="009C7946"/>
    <w:rsid w:val="009D15CF"/>
    <w:rsid w:val="009D1E73"/>
    <w:rsid w:val="009D676D"/>
    <w:rsid w:val="009D7536"/>
    <w:rsid w:val="009D79F7"/>
    <w:rsid w:val="009D7D64"/>
    <w:rsid w:val="009E082C"/>
    <w:rsid w:val="009E455D"/>
    <w:rsid w:val="009E5B23"/>
    <w:rsid w:val="009F08C8"/>
    <w:rsid w:val="009F18BC"/>
    <w:rsid w:val="009F269B"/>
    <w:rsid w:val="009F28B0"/>
    <w:rsid w:val="009F3A24"/>
    <w:rsid w:val="009F656C"/>
    <w:rsid w:val="009F71FE"/>
    <w:rsid w:val="00A031F9"/>
    <w:rsid w:val="00A05BB6"/>
    <w:rsid w:val="00A116FC"/>
    <w:rsid w:val="00A13ED3"/>
    <w:rsid w:val="00A14512"/>
    <w:rsid w:val="00A160FF"/>
    <w:rsid w:val="00A16E67"/>
    <w:rsid w:val="00A1758F"/>
    <w:rsid w:val="00A30931"/>
    <w:rsid w:val="00A321B8"/>
    <w:rsid w:val="00A35C91"/>
    <w:rsid w:val="00A36DB6"/>
    <w:rsid w:val="00A37674"/>
    <w:rsid w:val="00A40A8D"/>
    <w:rsid w:val="00A41ED6"/>
    <w:rsid w:val="00A41F92"/>
    <w:rsid w:val="00A42AEB"/>
    <w:rsid w:val="00A42DAE"/>
    <w:rsid w:val="00A43547"/>
    <w:rsid w:val="00A44FAF"/>
    <w:rsid w:val="00A456AB"/>
    <w:rsid w:val="00A50C4C"/>
    <w:rsid w:val="00A532A8"/>
    <w:rsid w:val="00A535EC"/>
    <w:rsid w:val="00A54DEC"/>
    <w:rsid w:val="00A555C9"/>
    <w:rsid w:val="00A558E6"/>
    <w:rsid w:val="00A5657C"/>
    <w:rsid w:val="00A577E1"/>
    <w:rsid w:val="00A62884"/>
    <w:rsid w:val="00A641F2"/>
    <w:rsid w:val="00A65EFE"/>
    <w:rsid w:val="00A67C5A"/>
    <w:rsid w:val="00A70919"/>
    <w:rsid w:val="00A712DC"/>
    <w:rsid w:val="00A71330"/>
    <w:rsid w:val="00A71430"/>
    <w:rsid w:val="00A72D4E"/>
    <w:rsid w:val="00A74A17"/>
    <w:rsid w:val="00A74AE5"/>
    <w:rsid w:val="00A7531C"/>
    <w:rsid w:val="00A7560D"/>
    <w:rsid w:val="00A77D2E"/>
    <w:rsid w:val="00A8104D"/>
    <w:rsid w:val="00A81497"/>
    <w:rsid w:val="00A83198"/>
    <w:rsid w:val="00A8319B"/>
    <w:rsid w:val="00A84127"/>
    <w:rsid w:val="00A84897"/>
    <w:rsid w:val="00A84F54"/>
    <w:rsid w:val="00A85EC4"/>
    <w:rsid w:val="00A8753E"/>
    <w:rsid w:val="00A92336"/>
    <w:rsid w:val="00A92747"/>
    <w:rsid w:val="00A94B20"/>
    <w:rsid w:val="00A95B0C"/>
    <w:rsid w:val="00A970F9"/>
    <w:rsid w:val="00A97609"/>
    <w:rsid w:val="00A97802"/>
    <w:rsid w:val="00AA5150"/>
    <w:rsid w:val="00AA5B1F"/>
    <w:rsid w:val="00AA6560"/>
    <w:rsid w:val="00AB30C3"/>
    <w:rsid w:val="00AB3285"/>
    <w:rsid w:val="00AB3B1A"/>
    <w:rsid w:val="00AB4376"/>
    <w:rsid w:val="00AB451E"/>
    <w:rsid w:val="00AB6ECB"/>
    <w:rsid w:val="00AB736D"/>
    <w:rsid w:val="00AB75B4"/>
    <w:rsid w:val="00AC0934"/>
    <w:rsid w:val="00AC14D6"/>
    <w:rsid w:val="00AC2380"/>
    <w:rsid w:val="00AC272A"/>
    <w:rsid w:val="00AC2D39"/>
    <w:rsid w:val="00AC3511"/>
    <w:rsid w:val="00AC3899"/>
    <w:rsid w:val="00AC44AC"/>
    <w:rsid w:val="00AC6A8B"/>
    <w:rsid w:val="00AC7CEB"/>
    <w:rsid w:val="00AD282B"/>
    <w:rsid w:val="00AD3A33"/>
    <w:rsid w:val="00AD3AB8"/>
    <w:rsid w:val="00AE0C5D"/>
    <w:rsid w:val="00AE3347"/>
    <w:rsid w:val="00AE3484"/>
    <w:rsid w:val="00AE6F0E"/>
    <w:rsid w:val="00AE761B"/>
    <w:rsid w:val="00AF0D2D"/>
    <w:rsid w:val="00AF1E48"/>
    <w:rsid w:val="00AF4F68"/>
    <w:rsid w:val="00AF6A0D"/>
    <w:rsid w:val="00AF6ADE"/>
    <w:rsid w:val="00AF7EB8"/>
    <w:rsid w:val="00B00C17"/>
    <w:rsid w:val="00B032DC"/>
    <w:rsid w:val="00B077D4"/>
    <w:rsid w:val="00B10FBF"/>
    <w:rsid w:val="00B11C6B"/>
    <w:rsid w:val="00B11D4A"/>
    <w:rsid w:val="00B11DAD"/>
    <w:rsid w:val="00B1383D"/>
    <w:rsid w:val="00B1445F"/>
    <w:rsid w:val="00B1594C"/>
    <w:rsid w:val="00B15F84"/>
    <w:rsid w:val="00B1640C"/>
    <w:rsid w:val="00B247D3"/>
    <w:rsid w:val="00B251C4"/>
    <w:rsid w:val="00B25BA3"/>
    <w:rsid w:val="00B27FE8"/>
    <w:rsid w:val="00B316E7"/>
    <w:rsid w:val="00B31FDE"/>
    <w:rsid w:val="00B32621"/>
    <w:rsid w:val="00B32F90"/>
    <w:rsid w:val="00B366C1"/>
    <w:rsid w:val="00B37E8C"/>
    <w:rsid w:val="00B42534"/>
    <w:rsid w:val="00B443B8"/>
    <w:rsid w:val="00B45743"/>
    <w:rsid w:val="00B47714"/>
    <w:rsid w:val="00B477BB"/>
    <w:rsid w:val="00B51137"/>
    <w:rsid w:val="00B51B21"/>
    <w:rsid w:val="00B52245"/>
    <w:rsid w:val="00B55090"/>
    <w:rsid w:val="00B57B7F"/>
    <w:rsid w:val="00B57FC8"/>
    <w:rsid w:val="00B609E7"/>
    <w:rsid w:val="00B642C5"/>
    <w:rsid w:val="00B64A2A"/>
    <w:rsid w:val="00B6634E"/>
    <w:rsid w:val="00B66B23"/>
    <w:rsid w:val="00B67EE8"/>
    <w:rsid w:val="00B70D9B"/>
    <w:rsid w:val="00B711DC"/>
    <w:rsid w:val="00B7143C"/>
    <w:rsid w:val="00B722A7"/>
    <w:rsid w:val="00B72755"/>
    <w:rsid w:val="00B742AA"/>
    <w:rsid w:val="00B83B1C"/>
    <w:rsid w:val="00B84E37"/>
    <w:rsid w:val="00B8601D"/>
    <w:rsid w:val="00B860D6"/>
    <w:rsid w:val="00B86D58"/>
    <w:rsid w:val="00B92413"/>
    <w:rsid w:val="00B92F19"/>
    <w:rsid w:val="00B95F83"/>
    <w:rsid w:val="00B97F95"/>
    <w:rsid w:val="00BA140D"/>
    <w:rsid w:val="00BA2993"/>
    <w:rsid w:val="00BA368D"/>
    <w:rsid w:val="00BB0787"/>
    <w:rsid w:val="00BB259E"/>
    <w:rsid w:val="00BB4806"/>
    <w:rsid w:val="00BB54BC"/>
    <w:rsid w:val="00BB63D2"/>
    <w:rsid w:val="00BC0517"/>
    <w:rsid w:val="00BC12EC"/>
    <w:rsid w:val="00BC2B63"/>
    <w:rsid w:val="00BC36B7"/>
    <w:rsid w:val="00BC5CCB"/>
    <w:rsid w:val="00BC7BEE"/>
    <w:rsid w:val="00BD0B8E"/>
    <w:rsid w:val="00BD154C"/>
    <w:rsid w:val="00BD2706"/>
    <w:rsid w:val="00BD359E"/>
    <w:rsid w:val="00BD621B"/>
    <w:rsid w:val="00BD6BD2"/>
    <w:rsid w:val="00BD7985"/>
    <w:rsid w:val="00BE106A"/>
    <w:rsid w:val="00BE37EF"/>
    <w:rsid w:val="00BE3E07"/>
    <w:rsid w:val="00BE41DF"/>
    <w:rsid w:val="00BE6593"/>
    <w:rsid w:val="00BF12FB"/>
    <w:rsid w:val="00BF1363"/>
    <w:rsid w:val="00BF1963"/>
    <w:rsid w:val="00BF1F96"/>
    <w:rsid w:val="00BF2E79"/>
    <w:rsid w:val="00BF5BDC"/>
    <w:rsid w:val="00BF69FB"/>
    <w:rsid w:val="00BF7042"/>
    <w:rsid w:val="00C03097"/>
    <w:rsid w:val="00C03638"/>
    <w:rsid w:val="00C039E8"/>
    <w:rsid w:val="00C04FA9"/>
    <w:rsid w:val="00C05276"/>
    <w:rsid w:val="00C052FF"/>
    <w:rsid w:val="00C058C8"/>
    <w:rsid w:val="00C071D5"/>
    <w:rsid w:val="00C102BF"/>
    <w:rsid w:val="00C10E32"/>
    <w:rsid w:val="00C146F1"/>
    <w:rsid w:val="00C16447"/>
    <w:rsid w:val="00C17F74"/>
    <w:rsid w:val="00C20214"/>
    <w:rsid w:val="00C22586"/>
    <w:rsid w:val="00C2319D"/>
    <w:rsid w:val="00C235D7"/>
    <w:rsid w:val="00C24E12"/>
    <w:rsid w:val="00C24F6D"/>
    <w:rsid w:val="00C262F3"/>
    <w:rsid w:val="00C2643A"/>
    <w:rsid w:val="00C27E00"/>
    <w:rsid w:val="00C30684"/>
    <w:rsid w:val="00C30923"/>
    <w:rsid w:val="00C31423"/>
    <w:rsid w:val="00C33D18"/>
    <w:rsid w:val="00C3710C"/>
    <w:rsid w:val="00C37879"/>
    <w:rsid w:val="00C37F2C"/>
    <w:rsid w:val="00C40DF5"/>
    <w:rsid w:val="00C4220C"/>
    <w:rsid w:val="00C45303"/>
    <w:rsid w:val="00C46051"/>
    <w:rsid w:val="00C46606"/>
    <w:rsid w:val="00C46930"/>
    <w:rsid w:val="00C47644"/>
    <w:rsid w:val="00C503E1"/>
    <w:rsid w:val="00C506AB"/>
    <w:rsid w:val="00C506F9"/>
    <w:rsid w:val="00C54F32"/>
    <w:rsid w:val="00C55730"/>
    <w:rsid w:val="00C57EB5"/>
    <w:rsid w:val="00C62AC0"/>
    <w:rsid w:val="00C642DF"/>
    <w:rsid w:val="00C66487"/>
    <w:rsid w:val="00C66D64"/>
    <w:rsid w:val="00C67AE3"/>
    <w:rsid w:val="00C73DEF"/>
    <w:rsid w:val="00C76205"/>
    <w:rsid w:val="00C770FF"/>
    <w:rsid w:val="00C80931"/>
    <w:rsid w:val="00C82C7B"/>
    <w:rsid w:val="00C82EC3"/>
    <w:rsid w:val="00C848A6"/>
    <w:rsid w:val="00C85D2B"/>
    <w:rsid w:val="00C96581"/>
    <w:rsid w:val="00C96D26"/>
    <w:rsid w:val="00C9748C"/>
    <w:rsid w:val="00CA0967"/>
    <w:rsid w:val="00CA0D25"/>
    <w:rsid w:val="00CA2EAF"/>
    <w:rsid w:val="00CA3B64"/>
    <w:rsid w:val="00CB0E85"/>
    <w:rsid w:val="00CB1249"/>
    <w:rsid w:val="00CB24CF"/>
    <w:rsid w:val="00CB262C"/>
    <w:rsid w:val="00CB2D97"/>
    <w:rsid w:val="00CC0923"/>
    <w:rsid w:val="00CC214A"/>
    <w:rsid w:val="00CC2D36"/>
    <w:rsid w:val="00CC78F3"/>
    <w:rsid w:val="00CD1A31"/>
    <w:rsid w:val="00CD49C1"/>
    <w:rsid w:val="00CD64B8"/>
    <w:rsid w:val="00CD6FA5"/>
    <w:rsid w:val="00CE014D"/>
    <w:rsid w:val="00CE0510"/>
    <w:rsid w:val="00CE1005"/>
    <w:rsid w:val="00CE1DCD"/>
    <w:rsid w:val="00CE3010"/>
    <w:rsid w:val="00CE5A84"/>
    <w:rsid w:val="00CE5EA4"/>
    <w:rsid w:val="00CE6F35"/>
    <w:rsid w:val="00CE7332"/>
    <w:rsid w:val="00CF2694"/>
    <w:rsid w:val="00CF3D05"/>
    <w:rsid w:val="00CF5BEC"/>
    <w:rsid w:val="00CF7D62"/>
    <w:rsid w:val="00D0038B"/>
    <w:rsid w:val="00D013D4"/>
    <w:rsid w:val="00D01765"/>
    <w:rsid w:val="00D01B95"/>
    <w:rsid w:val="00D03181"/>
    <w:rsid w:val="00D051E5"/>
    <w:rsid w:val="00D05822"/>
    <w:rsid w:val="00D05BA2"/>
    <w:rsid w:val="00D067BE"/>
    <w:rsid w:val="00D069BE"/>
    <w:rsid w:val="00D07710"/>
    <w:rsid w:val="00D1109E"/>
    <w:rsid w:val="00D11F06"/>
    <w:rsid w:val="00D1264B"/>
    <w:rsid w:val="00D132F0"/>
    <w:rsid w:val="00D15157"/>
    <w:rsid w:val="00D15577"/>
    <w:rsid w:val="00D1796A"/>
    <w:rsid w:val="00D17A79"/>
    <w:rsid w:val="00D17E69"/>
    <w:rsid w:val="00D2020C"/>
    <w:rsid w:val="00D221B4"/>
    <w:rsid w:val="00D3004D"/>
    <w:rsid w:val="00D3228D"/>
    <w:rsid w:val="00D35C9D"/>
    <w:rsid w:val="00D374E9"/>
    <w:rsid w:val="00D43FE9"/>
    <w:rsid w:val="00D449CC"/>
    <w:rsid w:val="00D456F4"/>
    <w:rsid w:val="00D47686"/>
    <w:rsid w:val="00D5121D"/>
    <w:rsid w:val="00D513A3"/>
    <w:rsid w:val="00D5188D"/>
    <w:rsid w:val="00D539E4"/>
    <w:rsid w:val="00D543EA"/>
    <w:rsid w:val="00D558D8"/>
    <w:rsid w:val="00D55F58"/>
    <w:rsid w:val="00D5795A"/>
    <w:rsid w:val="00D61D7A"/>
    <w:rsid w:val="00D63997"/>
    <w:rsid w:val="00D6443A"/>
    <w:rsid w:val="00D64661"/>
    <w:rsid w:val="00D65163"/>
    <w:rsid w:val="00D65CCB"/>
    <w:rsid w:val="00D66F60"/>
    <w:rsid w:val="00D67757"/>
    <w:rsid w:val="00D71C8A"/>
    <w:rsid w:val="00D72BEC"/>
    <w:rsid w:val="00D73B3C"/>
    <w:rsid w:val="00D80E98"/>
    <w:rsid w:val="00D81043"/>
    <w:rsid w:val="00D82682"/>
    <w:rsid w:val="00D83856"/>
    <w:rsid w:val="00D8388F"/>
    <w:rsid w:val="00D852F5"/>
    <w:rsid w:val="00D85F47"/>
    <w:rsid w:val="00D922EE"/>
    <w:rsid w:val="00D93F2B"/>
    <w:rsid w:val="00D955FA"/>
    <w:rsid w:val="00D960D9"/>
    <w:rsid w:val="00D96BB5"/>
    <w:rsid w:val="00DA4403"/>
    <w:rsid w:val="00DA52BF"/>
    <w:rsid w:val="00DA6EE6"/>
    <w:rsid w:val="00DB0292"/>
    <w:rsid w:val="00DB1B91"/>
    <w:rsid w:val="00DB1C61"/>
    <w:rsid w:val="00DB2277"/>
    <w:rsid w:val="00DB2CE2"/>
    <w:rsid w:val="00DB34B6"/>
    <w:rsid w:val="00DB38B7"/>
    <w:rsid w:val="00DB4410"/>
    <w:rsid w:val="00DB4D2A"/>
    <w:rsid w:val="00DB4DCC"/>
    <w:rsid w:val="00DB58B8"/>
    <w:rsid w:val="00DB5F27"/>
    <w:rsid w:val="00DC0051"/>
    <w:rsid w:val="00DC3C47"/>
    <w:rsid w:val="00DC4CC3"/>
    <w:rsid w:val="00DC5DCB"/>
    <w:rsid w:val="00DC6068"/>
    <w:rsid w:val="00DD41E6"/>
    <w:rsid w:val="00DD719A"/>
    <w:rsid w:val="00DD7F04"/>
    <w:rsid w:val="00DE3852"/>
    <w:rsid w:val="00DE3FEA"/>
    <w:rsid w:val="00DE43E4"/>
    <w:rsid w:val="00DE6637"/>
    <w:rsid w:val="00DF0033"/>
    <w:rsid w:val="00DF3A4F"/>
    <w:rsid w:val="00DF68C6"/>
    <w:rsid w:val="00DF70DE"/>
    <w:rsid w:val="00E006F8"/>
    <w:rsid w:val="00E01AF2"/>
    <w:rsid w:val="00E02CFE"/>
    <w:rsid w:val="00E02D0C"/>
    <w:rsid w:val="00E038B0"/>
    <w:rsid w:val="00E03A7B"/>
    <w:rsid w:val="00E0449A"/>
    <w:rsid w:val="00E05C5D"/>
    <w:rsid w:val="00E0642B"/>
    <w:rsid w:val="00E0764C"/>
    <w:rsid w:val="00E15E60"/>
    <w:rsid w:val="00E160FB"/>
    <w:rsid w:val="00E178AE"/>
    <w:rsid w:val="00E17CC3"/>
    <w:rsid w:val="00E2000C"/>
    <w:rsid w:val="00E21DDB"/>
    <w:rsid w:val="00E22CA9"/>
    <w:rsid w:val="00E23D61"/>
    <w:rsid w:val="00E24066"/>
    <w:rsid w:val="00E243E3"/>
    <w:rsid w:val="00E24A19"/>
    <w:rsid w:val="00E3097C"/>
    <w:rsid w:val="00E30FE7"/>
    <w:rsid w:val="00E31092"/>
    <w:rsid w:val="00E33436"/>
    <w:rsid w:val="00E338DC"/>
    <w:rsid w:val="00E3584D"/>
    <w:rsid w:val="00E36C0B"/>
    <w:rsid w:val="00E4277A"/>
    <w:rsid w:val="00E44F3B"/>
    <w:rsid w:val="00E457F6"/>
    <w:rsid w:val="00E4735A"/>
    <w:rsid w:val="00E50599"/>
    <w:rsid w:val="00E511A1"/>
    <w:rsid w:val="00E51BE7"/>
    <w:rsid w:val="00E51F37"/>
    <w:rsid w:val="00E52C8C"/>
    <w:rsid w:val="00E53ADB"/>
    <w:rsid w:val="00E55A8F"/>
    <w:rsid w:val="00E565EF"/>
    <w:rsid w:val="00E56A89"/>
    <w:rsid w:val="00E56DFA"/>
    <w:rsid w:val="00E56FA2"/>
    <w:rsid w:val="00E60490"/>
    <w:rsid w:val="00E6079B"/>
    <w:rsid w:val="00E61B21"/>
    <w:rsid w:val="00E61B7C"/>
    <w:rsid w:val="00E61B86"/>
    <w:rsid w:val="00E61D0C"/>
    <w:rsid w:val="00E62FA4"/>
    <w:rsid w:val="00E6334E"/>
    <w:rsid w:val="00E642DD"/>
    <w:rsid w:val="00E6460E"/>
    <w:rsid w:val="00E6567C"/>
    <w:rsid w:val="00E66585"/>
    <w:rsid w:val="00E70633"/>
    <w:rsid w:val="00E72242"/>
    <w:rsid w:val="00E76369"/>
    <w:rsid w:val="00E776AA"/>
    <w:rsid w:val="00E8046C"/>
    <w:rsid w:val="00E80628"/>
    <w:rsid w:val="00E8134D"/>
    <w:rsid w:val="00E8331A"/>
    <w:rsid w:val="00E85F2C"/>
    <w:rsid w:val="00E9343D"/>
    <w:rsid w:val="00E94B24"/>
    <w:rsid w:val="00E95921"/>
    <w:rsid w:val="00E95D35"/>
    <w:rsid w:val="00E96D0F"/>
    <w:rsid w:val="00E97DEE"/>
    <w:rsid w:val="00EA260B"/>
    <w:rsid w:val="00EA267B"/>
    <w:rsid w:val="00EA2C41"/>
    <w:rsid w:val="00EA3897"/>
    <w:rsid w:val="00EA5D9F"/>
    <w:rsid w:val="00EA5EC3"/>
    <w:rsid w:val="00EB1114"/>
    <w:rsid w:val="00EB1D53"/>
    <w:rsid w:val="00EB45AE"/>
    <w:rsid w:val="00EB7332"/>
    <w:rsid w:val="00EC260C"/>
    <w:rsid w:val="00EC3BF1"/>
    <w:rsid w:val="00EC6510"/>
    <w:rsid w:val="00EC70CA"/>
    <w:rsid w:val="00EC732C"/>
    <w:rsid w:val="00ED0403"/>
    <w:rsid w:val="00ED2361"/>
    <w:rsid w:val="00ED2B51"/>
    <w:rsid w:val="00ED40A6"/>
    <w:rsid w:val="00ED56A2"/>
    <w:rsid w:val="00ED5754"/>
    <w:rsid w:val="00ED5A3C"/>
    <w:rsid w:val="00ED5B1E"/>
    <w:rsid w:val="00ED76EC"/>
    <w:rsid w:val="00ED7849"/>
    <w:rsid w:val="00ED7C3A"/>
    <w:rsid w:val="00EE0096"/>
    <w:rsid w:val="00EE1328"/>
    <w:rsid w:val="00EE17FF"/>
    <w:rsid w:val="00EE2A32"/>
    <w:rsid w:val="00EE34BC"/>
    <w:rsid w:val="00EE3B42"/>
    <w:rsid w:val="00EE3CE3"/>
    <w:rsid w:val="00EE42EB"/>
    <w:rsid w:val="00EE4F44"/>
    <w:rsid w:val="00EE50D6"/>
    <w:rsid w:val="00EE51A2"/>
    <w:rsid w:val="00EE6D12"/>
    <w:rsid w:val="00EE75E9"/>
    <w:rsid w:val="00EF122A"/>
    <w:rsid w:val="00EF22FA"/>
    <w:rsid w:val="00F02552"/>
    <w:rsid w:val="00F04CF2"/>
    <w:rsid w:val="00F04E79"/>
    <w:rsid w:val="00F05A45"/>
    <w:rsid w:val="00F07A7D"/>
    <w:rsid w:val="00F07B14"/>
    <w:rsid w:val="00F10D95"/>
    <w:rsid w:val="00F1292E"/>
    <w:rsid w:val="00F12BCF"/>
    <w:rsid w:val="00F145DD"/>
    <w:rsid w:val="00F15D1F"/>
    <w:rsid w:val="00F170AA"/>
    <w:rsid w:val="00F20B92"/>
    <w:rsid w:val="00F23342"/>
    <w:rsid w:val="00F23BC0"/>
    <w:rsid w:val="00F24164"/>
    <w:rsid w:val="00F242F9"/>
    <w:rsid w:val="00F25A96"/>
    <w:rsid w:val="00F31453"/>
    <w:rsid w:val="00F31CB7"/>
    <w:rsid w:val="00F3289B"/>
    <w:rsid w:val="00F36A64"/>
    <w:rsid w:val="00F40691"/>
    <w:rsid w:val="00F413AD"/>
    <w:rsid w:val="00F43CC6"/>
    <w:rsid w:val="00F44008"/>
    <w:rsid w:val="00F45AC7"/>
    <w:rsid w:val="00F45F7F"/>
    <w:rsid w:val="00F46156"/>
    <w:rsid w:val="00F4676E"/>
    <w:rsid w:val="00F5010D"/>
    <w:rsid w:val="00F511AA"/>
    <w:rsid w:val="00F51D4A"/>
    <w:rsid w:val="00F53E99"/>
    <w:rsid w:val="00F54CA9"/>
    <w:rsid w:val="00F569F5"/>
    <w:rsid w:val="00F56D63"/>
    <w:rsid w:val="00F57952"/>
    <w:rsid w:val="00F644DB"/>
    <w:rsid w:val="00F646BC"/>
    <w:rsid w:val="00F669F7"/>
    <w:rsid w:val="00F714A7"/>
    <w:rsid w:val="00F73C2A"/>
    <w:rsid w:val="00F7415F"/>
    <w:rsid w:val="00F76DA0"/>
    <w:rsid w:val="00F77F07"/>
    <w:rsid w:val="00F8167A"/>
    <w:rsid w:val="00F82748"/>
    <w:rsid w:val="00F837A6"/>
    <w:rsid w:val="00F83A03"/>
    <w:rsid w:val="00F84F9A"/>
    <w:rsid w:val="00F9070C"/>
    <w:rsid w:val="00F90DD6"/>
    <w:rsid w:val="00F90EEF"/>
    <w:rsid w:val="00F91D5C"/>
    <w:rsid w:val="00F9274C"/>
    <w:rsid w:val="00F95703"/>
    <w:rsid w:val="00F97571"/>
    <w:rsid w:val="00FA0670"/>
    <w:rsid w:val="00FA0B01"/>
    <w:rsid w:val="00FA3946"/>
    <w:rsid w:val="00FA39A8"/>
    <w:rsid w:val="00FA3D43"/>
    <w:rsid w:val="00FA6B97"/>
    <w:rsid w:val="00FB012B"/>
    <w:rsid w:val="00FB21D7"/>
    <w:rsid w:val="00FC0507"/>
    <w:rsid w:val="00FC191A"/>
    <w:rsid w:val="00FC1D9C"/>
    <w:rsid w:val="00FC545D"/>
    <w:rsid w:val="00FD2182"/>
    <w:rsid w:val="00FD28EE"/>
    <w:rsid w:val="00FD3404"/>
    <w:rsid w:val="00FD3EDF"/>
    <w:rsid w:val="00FD448C"/>
    <w:rsid w:val="00FD4B36"/>
    <w:rsid w:val="00FE1344"/>
    <w:rsid w:val="00FE14BE"/>
    <w:rsid w:val="00FE1C2E"/>
    <w:rsid w:val="00FE3D89"/>
    <w:rsid w:val="00FE681B"/>
    <w:rsid w:val="00FE6C81"/>
    <w:rsid w:val="00FE72EF"/>
    <w:rsid w:val="00FF39C8"/>
    <w:rsid w:val="00FF3EB7"/>
    <w:rsid w:val="00FF6B05"/>
    <w:rsid w:val="00FF72D7"/>
    <w:rsid w:val="00FF75BD"/>
    <w:rsid w:val="011E1CB6"/>
    <w:rsid w:val="01BF1877"/>
    <w:rsid w:val="053D579E"/>
    <w:rsid w:val="06D024BC"/>
    <w:rsid w:val="0712477A"/>
    <w:rsid w:val="07B95FFF"/>
    <w:rsid w:val="08D06210"/>
    <w:rsid w:val="0A2166A1"/>
    <w:rsid w:val="0A8245A3"/>
    <w:rsid w:val="0AD87A1C"/>
    <w:rsid w:val="0F784431"/>
    <w:rsid w:val="12F679A6"/>
    <w:rsid w:val="178169D1"/>
    <w:rsid w:val="1C5B2B0F"/>
    <w:rsid w:val="2083786D"/>
    <w:rsid w:val="218912A4"/>
    <w:rsid w:val="230646D0"/>
    <w:rsid w:val="2C6B39A7"/>
    <w:rsid w:val="2E2A3653"/>
    <w:rsid w:val="2F93651B"/>
    <w:rsid w:val="31143DBB"/>
    <w:rsid w:val="31544F2F"/>
    <w:rsid w:val="38787C50"/>
    <w:rsid w:val="3AF22E32"/>
    <w:rsid w:val="3BA26A07"/>
    <w:rsid w:val="3C4F05D0"/>
    <w:rsid w:val="3D7C3F43"/>
    <w:rsid w:val="47A04D6C"/>
    <w:rsid w:val="4A3D7A8D"/>
    <w:rsid w:val="4C607B9A"/>
    <w:rsid w:val="4D6C0517"/>
    <w:rsid w:val="4E247E37"/>
    <w:rsid w:val="56197CEE"/>
    <w:rsid w:val="56D133FC"/>
    <w:rsid w:val="57AF705E"/>
    <w:rsid w:val="5C186FA6"/>
    <w:rsid w:val="5EC713FD"/>
    <w:rsid w:val="60025ECE"/>
    <w:rsid w:val="63141C2A"/>
    <w:rsid w:val="64AF414A"/>
    <w:rsid w:val="64D53C23"/>
    <w:rsid w:val="65594DEE"/>
    <w:rsid w:val="670B1F37"/>
    <w:rsid w:val="68F22488"/>
    <w:rsid w:val="6E3628CA"/>
    <w:rsid w:val="73171838"/>
    <w:rsid w:val="733777E5"/>
    <w:rsid w:val="750A4D48"/>
    <w:rsid w:val="794A2C84"/>
    <w:rsid w:val="7E7F02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8"/>
    <w:autoRedefine/>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39"/>
    <w:autoRedefine/>
    <w:unhideWhenUsed/>
    <w:qFormat/>
    <w:uiPriority w:val="9"/>
    <w:pPr>
      <w:keepNext/>
      <w:keepLines/>
      <w:spacing w:before="260" w:after="260" w:line="416" w:lineRule="auto"/>
      <w:outlineLvl w:val="1"/>
    </w:pPr>
    <w:rPr>
      <w:rFonts w:eastAsia="黑体" w:asciiTheme="majorHAnsi" w:hAnsiTheme="majorHAnsi" w:cstheme="majorBidi"/>
      <w:b/>
      <w:bCs/>
      <w:sz w:val="32"/>
      <w:szCs w:val="32"/>
    </w:rPr>
  </w:style>
  <w:style w:type="paragraph" w:styleId="4">
    <w:name w:val="heading 3"/>
    <w:basedOn w:val="1"/>
    <w:next w:val="1"/>
    <w:link w:val="40"/>
    <w:autoRedefine/>
    <w:semiHidden/>
    <w:unhideWhenUsed/>
    <w:qFormat/>
    <w:uiPriority w:val="9"/>
    <w:pPr>
      <w:keepNext/>
      <w:keepLines/>
      <w:spacing w:before="260" w:after="260" w:line="416" w:lineRule="auto"/>
      <w:outlineLvl w:val="2"/>
    </w:pPr>
    <w:rPr>
      <w:b/>
      <w:bCs/>
      <w:sz w:val="32"/>
      <w:szCs w:val="32"/>
    </w:rPr>
  </w:style>
  <w:style w:type="paragraph" w:styleId="5">
    <w:name w:val="heading 4"/>
    <w:basedOn w:val="1"/>
    <w:next w:val="1"/>
    <w:unhideWhenUsed/>
    <w:qFormat/>
    <w:uiPriority w:val="9"/>
    <w:pPr>
      <w:keepNext/>
      <w:keepLines/>
      <w:spacing w:before="200"/>
      <w:outlineLvl w:val="3"/>
    </w:pPr>
    <w:rPr>
      <w:rFonts w:ascii="宋体"/>
      <w:b/>
      <w:bCs/>
      <w:color w:val="000000"/>
      <w:sz w:val="30"/>
    </w:rPr>
  </w:style>
  <w:style w:type="paragraph" w:styleId="6">
    <w:name w:val="heading 5"/>
    <w:basedOn w:val="1"/>
    <w:next w:val="1"/>
    <w:unhideWhenUsed/>
    <w:qFormat/>
    <w:uiPriority w:val="9"/>
    <w:pPr>
      <w:keepNext/>
      <w:keepLines/>
      <w:spacing w:before="200"/>
      <w:outlineLvl w:val="4"/>
    </w:pPr>
    <w:rPr>
      <w:rFonts w:ascii="宋体"/>
      <w:b/>
      <w:bCs/>
      <w:color w:val="000000"/>
      <w:sz w:val="28"/>
    </w:rPr>
  </w:style>
  <w:style w:type="character" w:default="1" w:styleId="18">
    <w:name w:val="Default Paragraph Font"/>
    <w:unhideWhenUsed/>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unhideWhenUsed/>
    <w:qFormat/>
    <w:uiPriority w:val="0"/>
    <w:rPr>
      <w:rFonts w:eastAsia="黑体" w:asciiTheme="majorHAnsi" w:hAnsiTheme="majorHAnsi" w:cstheme="majorBidi"/>
      <w:sz w:val="20"/>
      <w:szCs w:val="20"/>
    </w:rPr>
  </w:style>
  <w:style w:type="paragraph" w:styleId="8">
    <w:name w:val="annotation text"/>
    <w:basedOn w:val="1"/>
    <w:link w:val="50"/>
    <w:unhideWhenUsed/>
    <w:uiPriority w:val="99"/>
    <w:pPr>
      <w:jc w:val="left"/>
    </w:pPr>
  </w:style>
  <w:style w:type="paragraph" w:styleId="9">
    <w:name w:val="toc 3"/>
    <w:basedOn w:val="1"/>
    <w:next w:val="1"/>
    <w:autoRedefine/>
    <w:qFormat/>
    <w:uiPriority w:val="39"/>
    <w:pPr>
      <w:ind w:left="840" w:leftChars="400"/>
    </w:pPr>
  </w:style>
  <w:style w:type="paragraph" w:styleId="10">
    <w:name w:val="footer"/>
    <w:basedOn w:val="1"/>
    <w:qFormat/>
    <w:uiPriority w:val="99"/>
    <w:pPr>
      <w:tabs>
        <w:tab w:val="center" w:pos="4153"/>
        <w:tab w:val="right" w:pos="8306"/>
      </w:tabs>
      <w:snapToGrid w:val="0"/>
      <w:jc w:val="left"/>
    </w:pPr>
    <w:rPr>
      <w:sz w:val="18"/>
      <w:szCs w:val="18"/>
    </w:rPr>
  </w:style>
  <w:style w:type="paragraph" w:styleId="11">
    <w:name w:val="header"/>
    <w:basedOn w:val="1"/>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qFormat/>
    <w:uiPriority w:val="39"/>
  </w:style>
  <w:style w:type="paragraph" w:styleId="13">
    <w:name w:val="toc 2"/>
    <w:basedOn w:val="1"/>
    <w:next w:val="1"/>
    <w:autoRedefine/>
    <w:qFormat/>
    <w:uiPriority w:val="39"/>
    <w:pPr>
      <w:tabs>
        <w:tab w:val="left" w:pos="1100"/>
        <w:tab w:val="right" w:leader="dot" w:pos="9061"/>
      </w:tabs>
      <w:spacing w:line="324" w:lineRule="auto"/>
      <w:ind w:left="420" w:leftChars="200"/>
    </w:pPr>
  </w:style>
  <w:style w:type="paragraph" w:styleId="14">
    <w:name w:val="Normal (Web)"/>
    <w:basedOn w:val="1"/>
    <w:unhideWhenUsed/>
    <w:qFormat/>
    <w:uiPriority w:val="99"/>
    <w:pPr>
      <w:spacing w:beforeAutospacing="1" w:afterAutospacing="1"/>
      <w:jc w:val="left"/>
    </w:pPr>
    <w:rPr>
      <w:kern w:val="0"/>
      <w:sz w:val="24"/>
    </w:rPr>
  </w:style>
  <w:style w:type="paragraph" w:styleId="15">
    <w:name w:val="annotation subject"/>
    <w:basedOn w:val="8"/>
    <w:next w:val="8"/>
    <w:link w:val="51"/>
    <w:semiHidden/>
    <w:unhideWhenUsed/>
    <w:qFormat/>
    <w:uiPriority w:val="99"/>
    <w:rPr>
      <w:b/>
      <w:bCs/>
    </w:rPr>
  </w:style>
  <w:style w:type="table" w:styleId="17">
    <w:name w:val="Table Grid"/>
    <w:basedOn w:val="16"/>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qFormat/>
    <w:uiPriority w:val="22"/>
    <w:rPr>
      <w:b/>
    </w:rPr>
  </w:style>
  <w:style w:type="character" w:styleId="20">
    <w:name w:val="Hyperlink"/>
    <w:basedOn w:val="18"/>
    <w:qFormat/>
    <w:uiPriority w:val="99"/>
    <w:rPr>
      <w:color w:val="0563C1"/>
      <w:u w:val="single"/>
    </w:rPr>
  </w:style>
  <w:style w:type="character" w:styleId="21">
    <w:name w:val="HTML Code"/>
    <w:basedOn w:val="18"/>
    <w:unhideWhenUsed/>
    <w:qFormat/>
    <w:uiPriority w:val="99"/>
    <w:rPr>
      <w:rFonts w:ascii="宋体" w:hAnsi="宋体" w:eastAsia="宋体" w:cs="宋体"/>
      <w:sz w:val="24"/>
      <w:szCs w:val="24"/>
    </w:rPr>
  </w:style>
  <w:style w:type="character" w:styleId="22">
    <w:name w:val="annotation reference"/>
    <w:basedOn w:val="18"/>
    <w:semiHidden/>
    <w:unhideWhenUsed/>
    <w:qFormat/>
    <w:uiPriority w:val="99"/>
    <w:rPr>
      <w:sz w:val="21"/>
      <w:szCs w:val="21"/>
    </w:rPr>
  </w:style>
  <w:style w:type="paragraph" w:customStyle="1" w:styleId="23">
    <w:name w:val="一级标题"/>
    <w:basedOn w:val="1"/>
    <w:link w:val="24"/>
    <w:autoRedefine/>
    <w:qFormat/>
    <w:uiPriority w:val="0"/>
    <w:pPr>
      <w:numPr>
        <w:ilvl w:val="0"/>
        <w:numId w:val="1"/>
      </w:numPr>
      <w:spacing w:before="312" w:beforeLines="100" w:after="312" w:afterLines="100"/>
      <w:jc w:val="left"/>
      <w:outlineLvl w:val="0"/>
    </w:pPr>
    <w:rPr>
      <w:rFonts w:eastAsia="黑体"/>
      <w:b/>
      <w:sz w:val="32"/>
    </w:rPr>
  </w:style>
  <w:style w:type="character" w:customStyle="1" w:styleId="24">
    <w:name w:val="一级标题 字符"/>
    <w:basedOn w:val="18"/>
    <w:link w:val="23"/>
    <w:autoRedefine/>
    <w:qFormat/>
    <w:uiPriority w:val="0"/>
    <w:rPr>
      <w:rFonts w:eastAsia="黑体"/>
      <w:b/>
      <w:kern w:val="2"/>
      <w:sz w:val="32"/>
      <w:szCs w:val="24"/>
    </w:rPr>
  </w:style>
  <w:style w:type="paragraph" w:customStyle="1" w:styleId="25">
    <w:name w:val="二级标题"/>
    <w:basedOn w:val="1"/>
    <w:link w:val="29"/>
    <w:autoRedefine/>
    <w:qFormat/>
    <w:uiPriority w:val="0"/>
    <w:pPr>
      <w:numPr>
        <w:ilvl w:val="1"/>
        <w:numId w:val="1"/>
      </w:numPr>
      <w:spacing w:before="50" w:beforeLines="50" w:after="50" w:afterLines="50"/>
      <w:outlineLvl w:val="1"/>
    </w:pPr>
    <w:rPr>
      <w:rFonts w:eastAsia="黑体"/>
      <w:b/>
      <w:sz w:val="30"/>
    </w:rPr>
  </w:style>
  <w:style w:type="paragraph" w:customStyle="1" w:styleId="26">
    <w:name w:val="三级标题"/>
    <w:basedOn w:val="1"/>
    <w:next w:val="27"/>
    <w:link w:val="30"/>
    <w:autoRedefine/>
    <w:qFormat/>
    <w:uiPriority w:val="0"/>
    <w:pPr>
      <w:numPr>
        <w:ilvl w:val="2"/>
        <w:numId w:val="1"/>
      </w:numPr>
      <w:spacing w:before="50" w:beforeLines="50" w:after="50" w:afterLines="50"/>
    </w:pPr>
    <w:rPr>
      <w:rFonts w:eastAsia="黑体"/>
      <w:b/>
      <w:sz w:val="28"/>
    </w:rPr>
  </w:style>
  <w:style w:type="paragraph" w:customStyle="1" w:styleId="27">
    <w:name w:val="论文正文"/>
    <w:basedOn w:val="1"/>
    <w:qFormat/>
    <w:uiPriority w:val="0"/>
    <w:pPr>
      <w:spacing w:line="360" w:lineRule="auto"/>
      <w:ind w:firstLine="200" w:firstLineChars="200"/>
    </w:pPr>
    <w:rPr>
      <w:sz w:val="24"/>
    </w:rPr>
  </w:style>
  <w:style w:type="paragraph" w:customStyle="1" w:styleId="28">
    <w:name w:val="四级标题"/>
    <w:basedOn w:val="1"/>
    <w:link w:val="31"/>
    <w:autoRedefine/>
    <w:qFormat/>
    <w:uiPriority w:val="0"/>
    <w:pPr>
      <w:numPr>
        <w:ilvl w:val="3"/>
        <w:numId w:val="1"/>
      </w:numPr>
      <w:spacing w:line="360" w:lineRule="auto"/>
      <w:ind w:left="0" w:firstLine="420"/>
    </w:pPr>
    <w:rPr>
      <w:rFonts w:eastAsia="黑体"/>
      <w:b/>
      <w:sz w:val="24"/>
    </w:rPr>
  </w:style>
  <w:style w:type="character" w:customStyle="1" w:styleId="29">
    <w:name w:val="二级标题 字符"/>
    <w:basedOn w:val="18"/>
    <w:link w:val="25"/>
    <w:autoRedefine/>
    <w:qFormat/>
    <w:uiPriority w:val="0"/>
    <w:rPr>
      <w:rFonts w:eastAsia="黑体"/>
      <w:b/>
      <w:kern w:val="2"/>
      <w:sz w:val="30"/>
      <w:szCs w:val="24"/>
    </w:rPr>
  </w:style>
  <w:style w:type="character" w:customStyle="1" w:styleId="30">
    <w:name w:val="三级标题 字符"/>
    <w:basedOn w:val="18"/>
    <w:link w:val="26"/>
    <w:autoRedefine/>
    <w:qFormat/>
    <w:uiPriority w:val="0"/>
    <w:rPr>
      <w:rFonts w:ascii="Times New Roman" w:hAnsi="Times New Roman" w:eastAsia="黑体" w:cs="Times New Roman"/>
      <w:b/>
      <w:sz w:val="28"/>
      <w:szCs w:val="24"/>
    </w:rPr>
  </w:style>
  <w:style w:type="character" w:customStyle="1" w:styleId="31">
    <w:name w:val="四级标题 字符"/>
    <w:basedOn w:val="18"/>
    <w:link w:val="28"/>
    <w:autoRedefine/>
    <w:qFormat/>
    <w:uiPriority w:val="0"/>
    <w:rPr>
      <w:rFonts w:ascii="Times New Roman" w:hAnsi="Times New Roman" w:eastAsia="黑体" w:cs="Times New Roman"/>
      <w:b/>
      <w:sz w:val="24"/>
      <w:szCs w:val="24"/>
    </w:rPr>
  </w:style>
  <w:style w:type="paragraph" w:customStyle="1" w:styleId="32">
    <w:name w:val="摘要标题"/>
    <w:basedOn w:val="1"/>
    <w:link w:val="33"/>
    <w:autoRedefine/>
    <w:qFormat/>
    <w:uiPriority w:val="0"/>
    <w:pPr>
      <w:spacing w:before="100" w:beforeLines="100" w:after="100" w:afterLines="100"/>
      <w:jc w:val="center"/>
    </w:pPr>
    <w:rPr>
      <w:rFonts w:eastAsia="黑体"/>
      <w:b/>
      <w:sz w:val="32"/>
    </w:rPr>
  </w:style>
  <w:style w:type="character" w:customStyle="1" w:styleId="33">
    <w:name w:val="摘要标题 字符"/>
    <w:basedOn w:val="18"/>
    <w:link w:val="32"/>
    <w:autoRedefine/>
    <w:qFormat/>
    <w:uiPriority w:val="0"/>
    <w:rPr>
      <w:rFonts w:ascii="Times New Roman" w:hAnsi="Times New Roman" w:eastAsia="黑体" w:cs="Times New Roman"/>
      <w:b/>
      <w:sz w:val="32"/>
      <w:szCs w:val="24"/>
    </w:rPr>
  </w:style>
  <w:style w:type="paragraph" w:customStyle="1" w:styleId="34">
    <w:name w:val="英文摘要"/>
    <w:basedOn w:val="1"/>
    <w:link w:val="35"/>
    <w:autoRedefine/>
    <w:qFormat/>
    <w:uiPriority w:val="0"/>
    <w:pPr>
      <w:spacing w:before="100" w:beforeLines="100" w:after="100" w:afterLines="100"/>
      <w:jc w:val="center"/>
    </w:pPr>
    <w:rPr>
      <w:rFonts w:eastAsia="Times New Roman"/>
      <w:b/>
      <w:bCs/>
      <w:sz w:val="32"/>
    </w:rPr>
  </w:style>
  <w:style w:type="character" w:customStyle="1" w:styleId="35">
    <w:name w:val="英文摘要 字符"/>
    <w:basedOn w:val="18"/>
    <w:link w:val="34"/>
    <w:autoRedefine/>
    <w:qFormat/>
    <w:uiPriority w:val="0"/>
    <w:rPr>
      <w:rFonts w:ascii="Times New Roman" w:hAnsi="Times New Roman" w:eastAsia="Times New Roman" w:cs="Times New Roman"/>
      <w:b/>
      <w:bCs/>
      <w:sz w:val="32"/>
      <w:szCs w:val="24"/>
    </w:rPr>
  </w:style>
  <w:style w:type="paragraph" w:customStyle="1" w:styleId="36">
    <w:name w:val="五级标题"/>
    <w:basedOn w:val="1"/>
    <w:link w:val="37"/>
    <w:autoRedefine/>
    <w:qFormat/>
    <w:uiPriority w:val="0"/>
    <w:pPr>
      <w:numPr>
        <w:ilvl w:val="0"/>
        <w:numId w:val="2"/>
      </w:numPr>
      <w:spacing w:line="360" w:lineRule="auto"/>
      <w:ind w:left="0" w:firstLine="200" w:firstLineChars="200"/>
    </w:pPr>
    <w:rPr>
      <w:sz w:val="24"/>
    </w:rPr>
  </w:style>
  <w:style w:type="character" w:customStyle="1" w:styleId="37">
    <w:name w:val="五级标题 字符"/>
    <w:basedOn w:val="18"/>
    <w:link w:val="36"/>
    <w:autoRedefine/>
    <w:qFormat/>
    <w:uiPriority w:val="0"/>
    <w:rPr>
      <w:rFonts w:ascii="Times New Roman" w:hAnsi="Times New Roman" w:eastAsia="宋体" w:cs="Times New Roman"/>
      <w:sz w:val="24"/>
      <w:szCs w:val="24"/>
    </w:rPr>
  </w:style>
  <w:style w:type="character" w:customStyle="1" w:styleId="38">
    <w:name w:val="标题 1 字符"/>
    <w:basedOn w:val="18"/>
    <w:link w:val="2"/>
    <w:autoRedefine/>
    <w:qFormat/>
    <w:uiPriority w:val="9"/>
    <w:rPr>
      <w:rFonts w:ascii="Times New Roman" w:hAnsi="Times New Roman" w:eastAsia="宋体" w:cs="Times New Roman"/>
      <w:b/>
      <w:bCs/>
      <w:kern w:val="44"/>
      <w:sz w:val="44"/>
      <w:szCs w:val="44"/>
    </w:rPr>
  </w:style>
  <w:style w:type="character" w:customStyle="1" w:styleId="39">
    <w:name w:val="标题 2 字符"/>
    <w:basedOn w:val="18"/>
    <w:link w:val="3"/>
    <w:autoRedefine/>
    <w:semiHidden/>
    <w:qFormat/>
    <w:uiPriority w:val="9"/>
    <w:rPr>
      <w:rFonts w:eastAsia="黑体" w:asciiTheme="majorHAnsi" w:hAnsiTheme="majorHAnsi" w:cstheme="majorBidi"/>
      <w:b/>
      <w:bCs/>
      <w:sz w:val="32"/>
      <w:szCs w:val="32"/>
    </w:rPr>
  </w:style>
  <w:style w:type="character" w:customStyle="1" w:styleId="40">
    <w:name w:val="标题 3 字符"/>
    <w:basedOn w:val="18"/>
    <w:link w:val="4"/>
    <w:autoRedefine/>
    <w:semiHidden/>
    <w:qFormat/>
    <w:uiPriority w:val="9"/>
    <w:rPr>
      <w:rFonts w:ascii="Times New Roman" w:hAnsi="Times New Roman" w:eastAsia="宋体" w:cs="Times New Roman"/>
      <w:b/>
      <w:bCs/>
      <w:sz w:val="32"/>
      <w:szCs w:val="32"/>
    </w:rPr>
  </w:style>
  <w:style w:type="paragraph" w:customStyle="1" w:styleId="41">
    <w:name w:val="论文标题"/>
    <w:basedOn w:val="1"/>
    <w:autoRedefine/>
    <w:qFormat/>
    <w:uiPriority w:val="0"/>
    <w:pPr>
      <w:spacing w:before="100" w:beforeLines="100" w:after="100" w:afterLines="100"/>
      <w:jc w:val="center"/>
    </w:pPr>
    <w:rPr>
      <w:rFonts w:eastAsia="黑体"/>
      <w:b/>
      <w:sz w:val="44"/>
    </w:rPr>
  </w:style>
  <w:style w:type="paragraph" w:customStyle="1" w:styleId="42">
    <w:name w:val="英文论文题目"/>
    <w:basedOn w:val="1"/>
    <w:autoRedefine/>
    <w:qFormat/>
    <w:uiPriority w:val="0"/>
    <w:pPr>
      <w:spacing w:before="100" w:beforeLines="100" w:after="100" w:afterLines="100"/>
      <w:jc w:val="center"/>
    </w:pPr>
    <w:rPr>
      <w:rFonts w:eastAsia="Times New Roman"/>
      <w:b/>
      <w:sz w:val="44"/>
    </w:rPr>
  </w:style>
  <w:style w:type="paragraph" w:customStyle="1" w:styleId="43">
    <w:name w:val="英文摘要正文"/>
    <w:basedOn w:val="1"/>
    <w:autoRedefine/>
    <w:qFormat/>
    <w:uiPriority w:val="0"/>
    <w:pPr>
      <w:spacing w:line="360" w:lineRule="auto"/>
      <w:ind w:firstLine="200" w:firstLineChars="200"/>
    </w:pPr>
    <w:rPr>
      <w:rFonts w:eastAsia="Times New Roman"/>
      <w:sz w:val="24"/>
    </w:rPr>
  </w:style>
  <w:style w:type="character" w:customStyle="1" w:styleId="44">
    <w:name w:val="ne-text"/>
    <w:basedOn w:val="18"/>
    <w:autoRedefine/>
    <w:qFormat/>
    <w:uiPriority w:val="0"/>
  </w:style>
  <w:style w:type="character" w:styleId="45">
    <w:name w:val="Placeholder Text"/>
    <w:basedOn w:val="18"/>
    <w:unhideWhenUsed/>
    <w:qFormat/>
    <w:uiPriority w:val="99"/>
    <w:rPr>
      <w:color w:val="666666"/>
    </w:rPr>
  </w:style>
  <w:style w:type="paragraph" w:styleId="46">
    <w:name w:val="List Paragraph"/>
    <w:basedOn w:val="1"/>
    <w:unhideWhenUsed/>
    <w:qFormat/>
    <w:uiPriority w:val="99"/>
    <w:pPr>
      <w:ind w:firstLine="420" w:firstLineChars="200"/>
    </w:pPr>
  </w:style>
  <w:style w:type="paragraph" w:customStyle="1" w:styleId="47">
    <w:name w:val="msonormal"/>
    <w:basedOn w:val="1"/>
    <w:qFormat/>
    <w:uiPriority w:val="0"/>
    <w:pPr>
      <w:widowControl/>
      <w:spacing w:before="100" w:beforeAutospacing="1" w:after="100" w:afterAutospacing="1"/>
      <w:jc w:val="left"/>
    </w:pPr>
    <w:rPr>
      <w:rFonts w:ascii="宋体" w:hAnsi="宋体" w:cs="宋体"/>
      <w:kern w:val="0"/>
      <w:sz w:val="24"/>
    </w:rPr>
  </w:style>
  <w:style w:type="character" w:customStyle="1" w:styleId="48">
    <w:name w:val="关键词 字符"/>
    <w:basedOn w:val="18"/>
    <w:link w:val="49"/>
    <w:autoRedefine/>
    <w:qFormat/>
    <w:uiPriority w:val="0"/>
    <w:rPr>
      <w:rFonts w:eastAsia="黑体"/>
      <w:b/>
      <w:sz w:val="28"/>
      <w:szCs w:val="24"/>
    </w:rPr>
  </w:style>
  <w:style w:type="paragraph" w:customStyle="1" w:styleId="49">
    <w:name w:val="关键词"/>
    <w:basedOn w:val="1"/>
    <w:link w:val="48"/>
    <w:autoRedefine/>
    <w:qFormat/>
    <w:uiPriority w:val="0"/>
    <w:pPr>
      <w:ind w:firstLine="200" w:firstLineChars="200"/>
    </w:pPr>
    <w:rPr>
      <w:rFonts w:eastAsia="黑体"/>
      <w:b/>
      <w:kern w:val="0"/>
      <w:sz w:val="28"/>
    </w:rPr>
  </w:style>
  <w:style w:type="character" w:customStyle="1" w:styleId="50">
    <w:name w:val="批注文字 字符"/>
    <w:basedOn w:val="18"/>
    <w:link w:val="8"/>
    <w:qFormat/>
    <w:uiPriority w:val="99"/>
    <w:rPr>
      <w:kern w:val="2"/>
      <w:sz w:val="21"/>
      <w:szCs w:val="24"/>
    </w:rPr>
  </w:style>
  <w:style w:type="character" w:customStyle="1" w:styleId="51">
    <w:name w:val="批注主题 字符"/>
    <w:basedOn w:val="50"/>
    <w:link w:val="15"/>
    <w:semiHidden/>
    <w:qFormat/>
    <w:uiPriority w:val="99"/>
    <w:rPr>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0" Type="http://schemas.microsoft.com/office/2011/relationships/people" Target="people.xml"/><Relationship Id="rId4" Type="http://schemas.microsoft.com/office/2011/relationships/commentsExtended" Target="commentsExtended.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18.png"/><Relationship Id="rId34" Type="http://schemas.openxmlformats.org/officeDocument/2006/relationships/image" Target="media/image17.png"/><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comments" Target="comments.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jpeg"/><Relationship Id="rId23" Type="http://schemas.openxmlformats.org/officeDocument/2006/relationships/image" Target="media/image6.jpeg"/><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jpe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header" Target="header6.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BD9AC4A-4B45-419E-9742-52D388CBD19F}">
  <ds:schemaRefs/>
</ds:datastoreItem>
</file>

<file path=docProps/app.xml><?xml version="1.0" encoding="utf-8"?>
<Properties xmlns="http://schemas.openxmlformats.org/officeDocument/2006/extended-properties" xmlns:vt="http://schemas.openxmlformats.org/officeDocument/2006/docPropsVTypes">
  <Template>Normal.dotm</Template>
  <Pages>52</Pages>
  <Words>6621</Words>
  <Characters>9035</Characters>
  <Lines>279</Lines>
  <Paragraphs>78</Paragraphs>
  <TotalTime>154</TotalTime>
  <ScaleCrop>false</ScaleCrop>
  <LinksUpToDate>false</LinksUpToDate>
  <CharactersWithSpaces>9788</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2022-04-19T07:47:00Z</dcterms:created>
  <dc:creator>unst K</dc:creator>
  <cp:lastModifiedBy>风风</cp:lastModifiedBy>
  <dcterms:modified xsi:type="dcterms:W3CDTF">2026-04-29T15:57:35Z</dcterms:modified>
  <cp:revision>2555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497709BD09574DE4AAEDF8BA91A24719_13</vt:lpwstr>
  </property>
  <property fmtid="{D5CDD505-2E9C-101B-9397-08002B2CF9AE}" pid="4" name="KSOTemplateDocerSaveRecord">
    <vt:lpwstr>eyJoZGlkIjoiZTI3Zjc1NDUyNGU5OGExMGRkYTQ3ZjQ4MjQxZWYwOTEiLCJ1c2VySWQiOiI2OTUwMTAwNzUifQ==</vt:lpwstr>
  </property>
</Properties>
</file>