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Орлов Дмитрий </w:t>
      </w:r>
    </w:p>
    <w:p w:rsidR="00000000" w:rsidDel="00000000" w:rsidP="00000000" w:rsidRDefault="00000000" w:rsidRPr="00000000" w14:paraId="00000002">
      <w:pP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Кириллович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Группа ПИН-35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БДЗ-1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Вариант 15: Техник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0425" cy="3192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72.49999999999943" w:tblpY="0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7"/>
        <w:gridCol w:w="1419"/>
        <w:gridCol w:w="1277"/>
        <w:gridCol w:w="1417"/>
        <w:gridCol w:w="1559"/>
        <w:gridCol w:w="1701"/>
        <w:tblGridChange w:id="0">
          <w:tblGrid>
            <w:gridCol w:w="1837"/>
            <w:gridCol w:w="1419"/>
            <w:gridCol w:w="1277"/>
            <w:gridCol w:w="1417"/>
            <w:gridCol w:w="1559"/>
            <w:gridCol w:w="1701"/>
          </w:tblGrid>
        </w:tblGridChange>
      </w:tblGrid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Факторы рабочей среды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Величина показателя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Балльная оценка фактора (x)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10"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Продолжительность действия фактора ​, мин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Удельный вес времени действия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480 мин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Оценка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7"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удельной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7"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тяжести и напряженности фактора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7"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рабочей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"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среды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before="19" w:line="22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Температура воздуха на РМ в теплый период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before="19" w:line="221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24…26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21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года,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320/480=0,67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3×0.67=2.01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Освещенность ПМ на уровне санитарных норм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7"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Размер объекта, мм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Разряд зрительной работы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&lt;0.3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420/480=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420/480=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3×0.875=2.625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3×0.875=2.625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Превышение допустимого уровня звука, дБА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420/480=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3×0.875=2.625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ПМ стационарное, поза вынужденная до 50%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в две смены</w:t>
            </w:r>
          </w:p>
          <w:p w:rsidR="00000000" w:rsidDel="00000000" w:rsidP="00000000" w:rsidRDefault="00000000" w:rsidRPr="00000000" w14:paraId="00000055">
            <w:pPr>
              <w:ind w:firstLine="7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Продолжительность непрерывной работы, ч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31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199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Длительность сосредоточенного наблюдения,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10" w:line="221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 продолжительности рабочей смены.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21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Вредное вещество (тетраброметан), кратность превышения ПДК: 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120/480=0,25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3×0.25=0.75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2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4"/>
                <w:szCs w:val="24"/>
                <w:highlight w:val="white"/>
                <w:rtl w:val="0"/>
              </w:rPr>
              <w:t xml:space="preserve">Нервно-эмоциональная нагрузка возникает в результате простых действий по заданному плану с возможной коррекцией: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m:oMath>
        <m:nary>
          <m:naryPr>
            <m:chr m:val="∑"/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фi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 23,64</w:t>
      </w:r>
    </w:p>
    <w:p w:rsidR="00000000" w:rsidDel="00000000" w:rsidP="00000000" w:rsidRDefault="00000000" w:rsidRPr="00000000" w14:paraId="00000079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6-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max</m:t>
                    </m:r>
                  </m:sub>
                </m:sSub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N-1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>×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8.00000000000006" w:lineRule="auto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8.00000000000006" w:lineRule="auto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N = 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8.00000000000006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 =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ambria Math" w:cs="Cambria Math" w:eastAsia="Cambria Math" w:hAnsi="Cambria Math"/>
          <w:b w:val="1"/>
          <w:color w:val="ff0000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= 5 +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6-5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6(9-1)</m:t>
            </m:r>
          </m:den>
        </m:f>
        <m:r>
          <w:rPr>
            <w:rFonts w:ascii="Cambria Math" w:cs="Cambria Math" w:eastAsia="Cambria Math" w:hAnsi="Cambria Math"/>
          </w:rPr>
          <m:t>×</m:t>
        </m:r>
        <m:r>
          <w:rPr>
            <w:rFonts w:ascii="Cambria Math" w:cs="Cambria Math" w:eastAsia="Cambria Math" w:hAnsi="Cambria Math"/>
          </w:rPr>
          <m:t xml:space="preserve">23,64=</m:t>
        </m:r>
        <m:r>
          <w:rPr>
            <w:rFonts w:ascii="Cambria Math" w:cs="Cambria Math" w:eastAsia="Cambria Math" w:hAnsi="Cambria Math"/>
            <w:color w:val="ff0000"/>
          </w:rPr>
          <m:t xml:space="preserve"> </m:t>
        </m:r>
      </m:oMath>
      <m:oMath>
        <m:r>
          <w:rPr>
            <w:rFonts w:ascii="Cambria Math" w:cs="Cambria Math" w:eastAsia="Cambria Math" w:hAnsi="Cambria Math"/>
            <w:b w:val="1"/>
            <w:color w:val="ff0000"/>
          </w:rPr>
          <m:t xml:space="preserve">5,49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5306165" cy="17528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5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6896100</wp:posOffset>
                </wp:positionV>
                <wp:extent cx="3773170" cy="1866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5765" y="3693005"/>
                          <a:ext cx="3760470" cy="17399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6896100</wp:posOffset>
                </wp:positionV>
                <wp:extent cx="3773170" cy="18669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3170" cy="186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Исходя из таблицы, категория тяжести выполнения работ –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