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5"/>
        <w:jc w:val="left"/>
        <w:rPr/>
      </w:pPr>
      <w:r>
        <w:rPr/>
        <w:t>VAMSEE ACHANTA, P.E.</w:t>
      </w:r>
    </w:p>
    <w:p>
      <w:pPr>
        <w:pStyle w:val="Heading2"/>
        <w:bidi w:val="0"/>
        <w:jc w:val="left"/>
        <w:rPr/>
      </w:pPr>
      <w:r>
        <w:rPr/>
        <w:t>Naval Architect | Subsea &amp; Marine Systems Engineering Leader | Digital Transformation Executive</w:t>
      </w:r>
    </w:p>
    <w:p>
      <w:pPr>
        <w:pStyle w:val="BodyText"/>
        <w:bidi w:val="0"/>
        <w:jc w:val="left"/>
        <w:rPr/>
      </w:pPr>
      <w:r>
        <w:rPr>
          <w:rStyle w:val="Strong"/>
        </w:rPr>
        <w:t>Email:</w:t>
      </w:r>
      <w:r>
        <w:rPr/>
        <w:t xml:space="preserve"> vamsee.achanta@aceengineer.com | </w:t>
      </w:r>
      <w:r>
        <w:rPr>
          <w:rStyle w:val="Strong"/>
        </w:rPr>
        <w:t>Phone:</w:t>
      </w:r>
      <w:r>
        <w:rPr/>
        <w:t xml:space="preserve"> 713-306-9029</w:t>
        <w:br/>
      </w:r>
      <w:r>
        <w:rPr>
          <w:rStyle w:val="Strong"/>
        </w:rPr>
        <w:t>LinkedIn:</w:t>
      </w:r>
      <w:r>
        <w:rPr/>
        <w:t xml:space="preserve"> </w:t>
      </w:r>
      <w:hyperlink r:id="rId2">
        <w:r>
          <w:rPr>
            <w:rStyle w:val="Hyperlink"/>
          </w:rPr>
          <w:t>linkedin.com/in/vamseeachanta</w:t>
        </w:r>
      </w:hyperlink>
      <w:r>
        <w:rPr/>
        <w:t xml:space="preserve"> | </w:t>
      </w:r>
      <w:r>
        <w:rPr>
          <w:rStyle w:val="Strong"/>
        </w:rPr>
        <w:t>GitHub:</w:t>
      </w:r>
      <w:r>
        <w:rPr/>
        <w:t xml:space="preserve"> </w:t>
      </w:r>
      <w:hyperlink r:id="rId3">
        <w:r>
          <w:rPr>
            <w:rStyle w:val="Hyperlink"/>
          </w:rPr>
          <w:t>github.com/vamseeachanta</w:t>
        </w:r>
      </w:hyperlink>
      <w:r>
        <w:rPr/>
        <w:t xml:space="preserve"> | </w:t>
      </w:r>
      <w:r>
        <w:rPr>
          <w:rStyle w:val="Strong"/>
        </w:rPr>
        <w:t>Location:</w:t>
      </w:r>
      <w:r>
        <w:rPr/>
        <w:t xml:space="preserve"> Houston, TX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Professional Profile</w:t>
      </w:r>
    </w:p>
    <w:p>
      <w:pPr>
        <w:pStyle w:val="BodyText"/>
        <w:bidi w:val="0"/>
        <w:jc w:val="left"/>
        <w:rPr/>
      </w:pPr>
      <w:r>
        <w:rPr/>
        <w:t>Marine/offshore engineering leader with 23+ years of experience in naval architecture, subsea systems, risers, pipelines, umbilicals, moorings, installation engineering, integrity management, and engineering automation. Professional Engineer in Texas with a track record leading high-consequence offshore work from concept/FEED through detailed analysis, installation support, operations, and emergency response.</w:t>
      </w:r>
    </w:p>
    <w:p>
      <w:pPr>
        <w:pStyle w:val="BodyText"/>
        <w:bidi w:val="0"/>
        <w:jc w:val="left"/>
        <w:rPr/>
      </w:pPr>
      <w:r>
        <w:rPr/>
        <w:t>Combines hands-on technical authority in OrcaFlex, AQWA, OrcaWave, ANSYS, Abaqus, and COMSOL with Python/SQL automation and data-science experience. Known for converting complex engineering workflows into repeatable digital tools, digital twins, and production-grade analytics that reduce analysis cycle time, improve quality, and support faster project decisions.</w:t>
      </w:r>
    </w:p>
    <w:p>
      <w:pPr>
        <w:pStyle w:val="Heading2"/>
        <w:bidi w:val="0"/>
        <w:jc w:val="left"/>
        <w:rPr/>
      </w:pPr>
      <w:r>
        <w:rPr/>
        <w:t>Positions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0"/>
        <w:gridCol w:w="2222"/>
        <w:gridCol w:w="3074"/>
        <w:gridCol w:w="4623"/>
      </w:tblGrid>
      <w:tr>
        <w:trPr>
          <w:tblHeader w:val="true"/>
        </w:trPr>
        <w:tc>
          <w:tcPr>
            <w:tcW w:w="14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5" w:after="75"/>
              <w:jc w:val="left"/>
              <w:rPr/>
            </w:pPr>
            <w:r>
              <w:rPr/>
              <w:t>Period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5" w:after="75"/>
              <w:jc w:val="left"/>
              <w:rPr/>
            </w:pPr>
            <w:r>
              <w:rPr/>
              <w:t>Role</w:t>
            </w:r>
          </w:p>
        </w:tc>
        <w:tc>
          <w:tcPr>
            <w:tcW w:w="30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5" w:after="75"/>
              <w:jc w:val="left"/>
              <w:rPr/>
            </w:pPr>
            <w:r>
              <w:rPr/>
              <w:t>Organization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5" w:after="75"/>
              <w:jc w:val="left"/>
              <w:rPr/>
            </w:pPr>
            <w:r>
              <w:rPr/>
              <w:t>Focus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Dec 2023 – Present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Naval Architect</w:t>
            </w:r>
          </w:p>
        </w:tc>
        <w:tc>
          <w:tcPr>
            <w:tcW w:w="3074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Alan McClure &amp; Associates, Houston, TX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Coupled marine global analysis, diffraction, moorings; WoodFibre LNG FST terminal design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Jun 2016 – Present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VP of Engineering / Co-Founder</w:t>
            </w:r>
          </w:p>
        </w:tc>
        <w:tc>
          <w:tcPr>
            <w:tcW w:w="3074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Frontier Deepwater Appraisal Solutions (FDAS), Houston, TX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Deepwater production concepts, riser/mooring systems, GoM field economics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Jun 2012 – Present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Engineering Lead Consultant</w:t>
            </w:r>
          </w:p>
        </w:tc>
        <w:tc>
          <w:tcPr>
            <w:tcW w:w="3074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AceEngineer (independent practice), Houston, TX &amp; Remote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Subsea/riser/installation analysis, FEA, fitness-for-service, digital twins, open engineering &amp; AI tooling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Sep 2017 – Dec 2020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Engineering SME, Data Science Team</w:t>
            </w:r>
          </w:p>
        </w:tc>
        <w:tc>
          <w:tcPr>
            <w:tcW w:w="3074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Occidental Petroleum, Houston, TX &amp; Remote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Physics-based production/drilling analytics across ~20,000 wells</w:t>
            </w:r>
          </w:p>
        </w:tc>
      </w:tr>
      <w:tr>
        <w:trPr/>
        <w:tc>
          <w:tcPr>
            <w:tcW w:w="1420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Aug 2003 – Jun 2015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Engineering Lead</w:t>
            </w:r>
          </w:p>
        </w:tc>
        <w:tc>
          <w:tcPr>
            <w:tcW w:w="3074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2H Offshore Inc, Houston, TX</w:t>
            </w:r>
          </w:p>
        </w:tc>
        <w:tc>
          <w:tcPr>
            <w:tcW w:w="4623" w:type="dxa"/>
            <w:tcBorders/>
            <w:vAlign w:val="center"/>
          </w:tcPr>
          <w:p>
            <w:pPr>
              <w:pStyle w:val="TableContents"/>
              <w:bidi w:val="0"/>
              <w:spacing w:before="45" w:after="75"/>
              <w:jc w:val="left"/>
              <w:rPr/>
            </w:pPr>
            <w:r>
              <w:rPr/>
              <w:t>Riser design &amp; integrity, 100+ projects, BP Macondo containment riser response, API standards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drawing>
          <wp:inline distT="0" distB="0" distL="0" distR="0">
            <wp:extent cx="3571875" cy="2095500"/>
            <wp:effectExtent l="0" t="0" r="0" b="0"/>
            <wp:docPr id="1" name="Image1" descr="Alan C. McClure Associ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lan C. McClure Associates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9772650" cy="2286000"/>
            <wp:effectExtent l="0" t="0" r="0" b="0"/>
            <wp:docPr id="2" name="Image2" descr="Frontier Deepwater Appraisal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rontier Deepwater Appraisal Solutions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05525" cy="1533525"/>
            <wp:effectExtent l="0" t="0" r="0" b="0"/>
            <wp:docPr id="3" name="Image3" descr="AceEngineer logo&#10;AceEngineer wordmark with angular engineering mark in plum and copp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ceEngineer logo&#10;AceEngineer wordmark with angular engineering mark in plum and copper.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7244715" cy="7427595"/>
            <wp:effectExtent l="0" t="0" r="0" b="0"/>
            <wp:docPr id="4" name="Image4" descr="Occidental Petroleum (Ox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Occidental Petroleum (Oxy)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715" cy="74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752475" cy="447675"/>
            <wp:effectExtent l="0" t="0" r="0" b="0"/>
            <wp:docPr id="5" name="Image5" descr="2H Off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2H Offshore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Roles from 2012 onward run concurrently; project-level detail for each position follows on the next pages.</w:t>
      </w:r>
    </w:p>
    <w:p>
      <w:pPr>
        <w:pStyle w:val="Heading2"/>
        <w:bidi w:val="0"/>
        <w:jc w:val="left"/>
        <w:rPr/>
      </w:pPr>
      <w:r>
        <w:rPr/>
        <w:t>Career Highlights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Emergency response leadership:</w:t>
      </w:r>
      <w:r>
        <w:rPr/>
        <w:t xml:space="preserve"> Engineering Manager for BP Macondo containment riser response; delivered a complete containment riser design in 8 weeks by repurposing existing assets.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Major LNG terminal analysis:</w:t>
      </w:r>
      <w:r>
        <w:rPr/>
        <w:t xml:space="preserve"> WoodFibre LNG Terminal design (British Columbia, $1.8B) — dual Floating Storage Terminals, shore mooring, LNG carrier berthing/fender interaction, extreme-weather assessment.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Subsea and riser authority:</w:t>
      </w:r>
      <w:r>
        <w:rPr/>
        <w:t xml:space="preserve"> 100+ offshore riser and subsea projects across Gulf of Mexico, West Africa, Asia-Pacific, Guyana, and Venezuela for BP, Shell, Chevron, ExxonMobil, ENI, Murphy, Reliance, Talos, and others.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Digital transformation:</w:t>
      </w:r>
      <w:r>
        <w:rPr/>
        <w:t xml:space="preserve"> Python/API-driven automation and digital twins for OrcaFlex, AQWA, OrcaWave, ANSYS, COMSOL, BSEE field economics, drilling analytics, production surveillance, and fitness-for-service.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Open, demonstrable engineering &amp; AI:</w:t>
      </w:r>
      <w:r>
        <w:rPr/>
        <w:t xml:space="preserve"> Live public tools — </w:t>
      </w:r>
      <w:hyperlink r:id="rId9">
        <w:r>
          <w:rPr>
            <w:rStyle w:val="Hyperlink"/>
          </w:rPr>
          <w:t>worldenergydata</w:t>
        </w:r>
      </w:hyperlink>
      <w:r>
        <w:rPr/>
        <w:t xml:space="preserve"> (GoM field economics &amp; well analytics on BSEE data) and digitalmodel (open offshore engineering library) — deterministic, unit-tested, provenance-traced.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>
          <w:rStyle w:val="Strong"/>
        </w:rPr>
        <w:t>Standards and technical credibility:</w:t>
      </w:r>
      <w:r>
        <w:rPr/>
        <w:t xml:space="preserve"> API committee participant/contributor for API-RP-16Q, API-RP-17G, and API-RP-17G2; author/co-author for OTC, OMAE, IADC, and World Oil. </w:t>
      </w:r>
    </w:p>
    <w:p>
      <w:pPr>
        <w:pStyle w:val="Heading2"/>
        <w:bidi w:val="0"/>
        <w:jc w:val="left"/>
        <w:rPr/>
      </w:pPr>
      <w:r>
        <w:rPr/>
        <w:t>Education &amp; Credentials</w:t>
      </w:r>
    </w:p>
    <w:p>
      <w:pPr>
        <w:pStyle w:val="BodyText"/>
        <w:bidi w:val="0"/>
        <w:jc w:val="left"/>
        <w:rPr/>
      </w:pPr>
      <w:r>
        <w:rPr>
          <w:rStyle w:val="Strong"/>
        </w:rPr>
        <w:t>Master of Science, Mechanical Engineering</w:t>
      </w:r>
      <w:r>
        <w:rPr/>
        <w:t xml:space="preserve"> — Texas A&amp;M University, College Station, TX</w:t>
        <w:br/>
      </w:r>
      <w:r>
        <w:rPr>
          <w:rStyle w:val="Strong"/>
        </w:rPr>
        <w:t>Bachelor of Technology, Mechanical Engineering</w:t>
      </w:r>
      <w:r>
        <w:rPr/>
        <w:t xml:space="preserve"> — Indian Institute of Technology (IIT), Madras, India</w:t>
      </w:r>
    </w:p>
    <w:p>
      <w:pPr>
        <w:pStyle w:val="BodyText"/>
        <w:bidi w:val="0"/>
        <w:jc w:val="left"/>
        <w:rPr/>
      </w:pPr>
      <w:r>
        <w:rPr>
          <w:rStyle w:val="Strong"/>
        </w:rPr>
        <w:t>Professional Engineer (P.E.)</w:t>
      </w:r>
      <w:r>
        <w:rPr/>
        <w:t xml:space="preserve"> — Texas</w:t>
        <w:br/>
      </w:r>
      <w:r>
        <w:rPr>
          <w:rStyle w:val="Strong"/>
        </w:rPr>
        <w:t>API Standards Committee Experience:</w:t>
      </w:r>
      <w:r>
        <w:rPr/>
        <w:t xml:space="preserve"> API-RP-16Q, API-RP-17G, API-RP-17G2</w:t>
      </w:r>
    </w:p>
    <w:p>
      <w:pPr>
        <w:pStyle w:val="Heading2"/>
        <w:bidi w:val="0"/>
        <w:ind w:hanging="0" w:left="0" w:right="0"/>
        <w:jc w:val="left"/>
        <w:rPr/>
      </w:pPr>
      <w:r>
        <w:rPr/>
        <w:t>Core Competencies</w:t>
      </w:r>
    </w:p>
    <w:p>
      <w:pPr>
        <w:pStyle w:val="BodyText"/>
        <w:bidi w:val="0"/>
        <w:jc w:val="left"/>
        <w:rPr/>
      </w:pPr>
      <w:r>
        <w:rPr>
          <w:rStyle w:val="Strong"/>
        </w:rPr>
        <w:t>Marine &amp; Subsea Engineering:</w:t>
      </w:r>
      <w:r>
        <w:rPr/>
        <w:t xml:space="preserve"> Naval architecture, floating systems, FST/FPSO/FPU concepts, LNG marine operations, risers (SCR, TTR, hybrid, lazy-wave, simple catenary), pipelines, umbilicals, jumpers, manifolds, moorings, CALM/SALM buoys, installation engineering, integrity management, decommissioning.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Analysis &amp; Simulation:</w:t>
      </w:r>
      <w:r>
        <w:rPr/>
        <w:t xml:space="preserve"> Coupled dynamic analysis, diffraction/radiation analysis, mooring analysis, time-domain simulations, global riser analysis, pipelay and installation windows, detailed FEA, nonlinear elastic-plastic analysis, fracture mechanics, fatigue, corrosion simulation, hydrodynamics, operability assessment.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Software &amp; Automation:</w:t>
      </w:r>
      <w:r>
        <w:rPr/>
        <w:t xml:space="preserve"> OrcaFlex / OrcFxAPI, AQWA, OrcaWave, ANSYS, Abaqus, COMSOL, Flexcom, Python, SQL, Git, Azure DevOps, pandas, NumPy, Matplotlib, Plotly/D3JS, API-driven model generation, batch execution, automated post-processing, engineering dashboards; AI/LLM-augmented engineering workflows and agentic automation, deterministic zero-server static web delivery (GitHub Pages).</w:t>
      </w:r>
    </w:p>
    <w:p>
      <w:pPr>
        <w:pStyle w:val="BodyText"/>
        <w:bidi w:val="0"/>
        <w:jc w:val="left"/>
        <w:rPr/>
      </w:pPr>
      <w:r>
        <w:rPr>
          <w:rStyle w:val="Strong"/>
        </w:rPr>
        <w:t>Standards &amp; Governance:</w:t>
      </w:r>
      <w:r>
        <w:rPr/>
        <w:t xml:space="preserve"> API-RP-16Q, API-RP-17G, API-RP-17G2, API 579-1 / ASME FFS-1, BS 7910, DNV offshore recommended practices, ASME VIII, engineering assurance, contractor deliverable review, design basis development, technical risk assessment.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Leadership:</w:t>
      </w:r>
      <w:r>
        <w:rPr/>
        <w:t xml:space="preserve"> Engineering team leadership, mentoring, client-facing technical advisory, project management, contractor coordination, proposal support, business development, emergency response, cross-functional engineering/data-science integration.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Professional Experience &amp; Project Detail</w:t>
      </w:r>
    </w:p>
    <w:p>
      <w:pPr>
        <w:pStyle w:val="Heading3"/>
        <w:bidi w:val="0"/>
        <w:jc w:val="left"/>
        <w:rPr/>
      </w:pPr>
      <w:r>
        <w:rPr/>
        <w:t>Naval Architect, Alan McClure &amp; Associates</w:t>
      </w:r>
    </w:p>
    <w:p>
      <w:pPr>
        <w:pStyle w:val="BodyText"/>
        <w:bidi w:val="0"/>
        <w:jc w:val="left"/>
        <w:rPr/>
      </w:pPr>
      <w:r>
        <w:rPr>
          <w:rStyle w:val="Strong"/>
        </w:rPr>
        <w:t>Dec 2023 – Present | Houston, TX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WoodFibre LNG Terminal Design — British Columbia ($1.8B project):</w:t>
      </w:r>
      <w:r>
        <w:rPr/>
        <w:t xml:space="preserve"> Performed detailed marine global analysis for two Floating Storage Terminals berthed side-by-side in approximately 35 m water depth, including coupled FST/shore-mooring analysis for extreme weather, FST/LNGC/fender/mooring interaction checks for operating conditions, mooring support for LNG carriers up to 180,000 m³, and AQWA/OrcaWave/OrcaFlex workflows for diffraction, hydrodynamics, mooring, and coupled global analysis.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Diffraction and mooring failure investigations:</w:t>
      </w:r>
      <w:r>
        <w:rPr/>
        <w:t xml:space="preserve"> Performed AQWA/OrcaWave diffraction analysis and OrcaFlex global analysis for moored barges to evaluate mooring line failure mechanisms in extreme weather.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Tug floundering / passing-ship analysis:</w:t>
      </w:r>
      <w:r>
        <w:rPr/>
        <w:t xml:space="preserve"> Investigated tug boat floundering due to passing ship effects using time-domain OrcaFlex analysis to assess tug motions and operational risk.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>
          <w:rStyle w:val="Strong"/>
        </w:rPr>
        <w:t>Digital transformation and analysis automation:</w:t>
      </w:r>
      <w:r>
        <w:rPr/>
        <w:t xml:space="preserve"> Developed Python/API-based digital twins for hull diffraction workflows in AQWA/OrcaWave and mooring analysis workflows in OrcaFlex using OrcFxAPI, automated model creation, execution, result extraction, and engineering plot/report generation. </w:t>
      </w:r>
    </w:p>
    <w:p>
      <w:pPr>
        <w:pStyle w:val="Heading3"/>
        <w:bidi w:val="0"/>
        <w:jc w:val="left"/>
        <w:rPr/>
      </w:pPr>
      <w:r>
        <w:rPr/>
        <w:t>VP of Engineering / Co-Founder, Frontier Deepwater Appraisal Solutions (FDAS)</w:t>
      </w:r>
    </w:p>
    <w:p>
      <w:pPr>
        <w:pStyle w:val="BodyText"/>
        <w:bidi w:val="0"/>
        <w:jc w:val="left"/>
        <w:rPr/>
      </w:pPr>
      <w:r>
        <w:rPr>
          <w:rStyle w:val="Strong"/>
        </w:rPr>
        <w:t>Jun 2016 – Present | Houston, TX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/>
        <w:t xml:space="preserve">Lead concurrent venture-backed engineering and technology development for deepwater field development concepts, riser/mooring systems, field economics, technical marketing, and operator engagement.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6000 ft water-depth semisubmersible production vessel concept:</w:t>
      </w:r>
      <w:r>
        <w:rPr/>
        <w:t xml:space="preserve"> Led feasibility and concept evaluation for converting idle 6th-generation drillships into production assets; delivered riser support, mooring, and hurricane-condition analysis to support cost-effective development decisions.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GoM field economics analytics platform:</w:t>
      </w:r>
      <w:r>
        <w:rPr/>
        <w:t xml:space="preserve"> Built SQL/Python analytics platform using BSEE data for 200+ Gulf of Mexico fields, reducing field evaluation time from weeks to days and supporting stranded-asset opportunity screening.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SEWOL salvage ship critical analysis:</w:t>
      </w:r>
      <w:r>
        <w:rPr/>
        <w:t xml:space="preserve"> Delivered emergency hull FEA analysis within 72 hours for Korean government salvage support; automated ANSYS workflows using Python to accelerate model execution and reporting.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/>
        <w:t xml:space="preserve">Developed technical visualizations and digital engineering collateral for operator meetings, proposal support, and strategic business development. </w:t>
      </w:r>
    </w:p>
    <w:p>
      <w:pPr>
        <w:pStyle w:val="Heading3"/>
        <w:bidi w:val="0"/>
        <w:jc w:val="left"/>
        <w:rPr/>
      </w:pPr>
      <w:r>
        <w:rPr/>
        <w:t>Engineering Lead Consultant, AceEngineer (Independent Consulting Practice)</w:t>
      </w:r>
    </w:p>
    <w:p>
      <w:pPr>
        <w:pStyle w:val="BodyText"/>
        <w:bidi w:val="0"/>
        <w:jc w:val="left"/>
        <w:rPr/>
      </w:pPr>
      <w:r>
        <w:rPr>
          <w:rStyle w:val="Strong"/>
        </w:rPr>
        <w:t>Jun 2012 – Present | Houston, TX &amp; Remote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/>
        <w:t xml:space="preserve">Provide concurrent specialist offshore/subsea engineering consulting for major operators and engineering contractors, covering installation analysis, risers, pipelines, umbilicals, structural FEA, corrosion, and fitness-for-service.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Circular BOP design and analysis:</w:t>
      </w:r>
      <w:r>
        <w:rPr/>
        <w:t xml:space="preserve"> Performed detailed nonlinear and elastic-plastic ANSYS FEA of seals, connectors, annulus seals, drill pipe seals, and metal/elastomer component behavior.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Subsea structure installation analysis:</w:t>
      </w:r>
      <w:r>
        <w:rPr/>
        <w:t xml:space="preserve"> Performed installation analyses for manifolds, PLETs, flexible products, umbilicals, rigid jumpers, and subsea structures.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42-inch thin-walled subsea pipeline installation — Venezuela:</w:t>
      </w:r>
      <w:r>
        <w:rPr/>
        <w:t xml:space="preserve"> Executed detailed FEA to determine bending moment capacity for D/t = 67 pipe outside standard DNV code regime; performed OrcaFlex pipelay analysis and automated results/plots via Python/API workflows.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ExxonMobil Yellowtail installation analysis — Guyana:</w:t>
      </w:r>
      <w:r>
        <w:rPr/>
        <w:t xml:space="preserve"> Analyzed dynamic and static umbilical installation in approximately 6,000 ft water depth; evaluated 100+ load cases and installation windows to reduce execution risk.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Talos Venice Limerock static umbilical installation:</w:t>
      </w:r>
      <w:r>
        <w:rPr/>
        <w:t xml:space="preserve"> Assessed static umbilicals from subsea manifold to subsea tree in approximately 1,050 m water depth, including static installation tables and dynamic wave/current limits.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Chevron Ballymore installation analysis:</w:t>
      </w:r>
      <w:r>
        <w:rPr/>
        <w:t xml:space="preserve"> Performed dynamic and resonance analysis for rigid jumpers and manifolds to support installation planning.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Riser digital twin platform:</w:t>
      </w:r>
      <w:r>
        <w:rPr/>
        <w:t xml:space="preserve"> Implemented database-driven automation for drilling risers, top-tensioned risers, lazy-wave catenary risers, simple catenary risers, global riser analysis, API 579 fitness-for-service, and BS 7910 fatigue/fracture mechanics workflows.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Trendsetter intervention system:</w:t>
      </w:r>
      <w:r>
        <w:rPr/>
        <w:t xml:space="preserve"> Supported intervention system design for water depths from 1,500 ft to 10,000 ft and pressures of 15,000–17,500 psi, including global riser analysis, connector/flange specifications, vessel stroke checks, and upper/lower riser configurations.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Fitness-for-service automation:</w:t>
      </w:r>
      <w:r>
        <w:rPr/>
        <w:t xml:space="preserve"> Built Python workflows using pandas, NumPy, Matplotlib, and D3JS for wall-thickness processing, defect identification, API 579-1/ASME FFS-1 assessments, and BS 7910 fracture mechanics.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Mooring corrosion simulation:</w:t>
      </w:r>
      <w:r>
        <w:rPr/>
        <w:t xml:space="preserve"> Modeled damaged subsea mooring line corrosion in COMSOL using fluid mechanics, mass transfer, diffusion, and electrochemical models; automated model processing with COMSOL Java API, MATLAB, and batch workflows.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>
          <w:rStyle w:val="Strong"/>
        </w:rPr>
        <w:t>Open engineering &amp; AI tooling:</w:t>
      </w:r>
      <w:r>
        <w:rPr/>
        <w:t xml:space="preserve"> Built and shipped public, deterministic engineering sites and libraries — </w:t>
      </w:r>
      <w:hyperlink r:id="rId10">
        <w:r>
          <w:rPr>
            <w:rStyle w:val="Hyperlink"/>
          </w:rPr>
          <w:t>worldenergydata</w:t>
        </w:r>
      </w:hyperlink>
      <w:r>
        <w:rPr/>
        <w:t xml:space="preserve"> (live GoM field economics &amp; well analytics on BSEE data: Lower-Tertiary NPVs, 56-well benchmarking, 3D well paths), digitalmodel (open offshore engineering library), and a Raw-to-Knowledge playbook — every result unit-tested and provenance-traced, delivered as zero-server static HTML, with AI/LLM as narrative support over deterministic cores. </w:t>
      </w:r>
    </w:p>
    <w:p>
      <w:pPr>
        <w:pStyle w:val="Heading3"/>
        <w:bidi w:val="0"/>
        <w:jc w:val="left"/>
        <w:rPr/>
      </w:pPr>
      <w:r>
        <w:rPr/>
        <w:t>Engineering SME for Data Science Team, Occidental Petroleum</w:t>
      </w:r>
    </w:p>
    <w:p>
      <w:pPr>
        <w:pStyle w:val="BodyText"/>
        <w:bidi w:val="0"/>
        <w:jc w:val="left"/>
        <w:rPr/>
      </w:pPr>
      <w:r>
        <w:rPr>
          <w:rStyle w:val="Strong"/>
        </w:rPr>
        <w:t>Sep 2017 – Dec 2020 | Houston, TX &amp; Remote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/>
        <w:t xml:space="preserve">Served as domain engineering lead bridging production engineering, drilling, data science, and software teams for large-scale analytics deployment.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Production optimization platform:</w:t>
      </w:r>
      <w:r>
        <w:rPr/>
        <w:t xml:space="preserve"> Deployed 50+ physics-based algorithms monitoring approximately 20,000 wells in real time with logging, exception handling, and production-support workflows.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Real-time drilling analytics:</w:t>
      </w:r>
      <w:r>
        <w:rPr/>
        <w:t xml:space="preserve"> Implemented bit-position estimation, torque/drag monitoring, rig-state logic, and edge-computing workflows supporting 20+ concurrent drilling campaigns.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Production surveillance:</w:t>
      </w:r>
      <w:r>
        <w:rPr/>
        <w:t xml:space="preserve"> Automated dynacard analysis, ESP surveillance, well-test validation, and time-shed analytics to improve exception-based operations and reduce manual review effort.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/>
        <w:t xml:space="preserve">Designed SQL data models, stored procedures, Python class libraries, analytics pipelines, dashboards, and validation routines for production-grade engineering analytics. </w:t>
      </w:r>
    </w:p>
    <w:p>
      <w:pPr>
        <w:pStyle w:val="Heading3"/>
        <w:bidi w:val="0"/>
        <w:jc w:val="left"/>
        <w:rPr/>
      </w:pPr>
      <w:r>
        <w:rPr/>
        <w:t>Engineering Lead, 2H Offshore Inc</w:t>
      </w:r>
    </w:p>
    <w:p>
      <w:pPr>
        <w:pStyle w:val="BodyText"/>
        <w:bidi w:val="0"/>
        <w:jc w:val="left"/>
        <w:rPr/>
      </w:pPr>
      <w:r>
        <w:rPr>
          <w:rStyle w:val="Strong"/>
        </w:rPr>
        <w:t>Aug 2003 – Jun 2015 | Houston, TX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/>
        <w:t xml:space="preserve">Progressed through analyst, lead, manager, and technical authority roles for riser design, subsea systems, installation analysis, integrity management, and API standards work.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BP Macondo emergency response:</w:t>
      </w:r>
      <w:r>
        <w:rPr/>
        <w:t xml:space="preserve"> Engineering Manager for containment riser response; led 24/7 multidisciplinary engineering effort across multiple locations and delivered complete design in 8 weeks by repurposing existing assets.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Chevron Bangka SCR/flexible riser FEED:</w:t>
      </w:r>
      <w:r>
        <w:rPr/>
        <w:t xml:space="preserve"> Led FEED design for production risers in shallow-water development, optimizing riser configuration and installation strategy while delivering ahead of schedule.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Major riser and integrity portfolio:</w:t>
      </w:r>
      <w:r>
        <w:rPr/>
        <w:t xml:space="preserve"> Led or supported BP Thunder Horse, Atlantis, Horn Mountain; Chevron Jack/St. Malo; ENI Devils Tower; Reliance KG-D6; Shell/BP HPHT systems; and multiple Gulf of Mexico, West Africa, and Asia-Pacific developments.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API standards contribution:</w:t>
      </w:r>
      <w:r>
        <w:rPr/>
        <w:t xml:space="preserve"> Committee member/contributor for API-RP-16Q and related riser/structural standards.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/>
        <w:t xml:space="preserve">Managed client communication, technical reports, design reviews, team coordination, mentorship, and project delivery for 100+ assignments.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Selected Project Portfolio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WoodFibre LNG Terminal:</w:t>
      </w:r>
      <w:r>
        <w:rPr/>
        <w:t xml:space="preserve"> Dual FST global analysis, LNG carrier berthing, fender/mooring interaction, operational and extreme conditions.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BP Macondo containment riser:</w:t>
      </w:r>
      <w:r>
        <w:rPr/>
        <w:t xml:space="preserve"> Emergency engineering response, rapid design, existing asset repurposing, high-consequence delivery.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ExxonMobil Yellowtail:</w:t>
      </w:r>
      <w:r>
        <w:rPr/>
        <w:t xml:space="preserve"> Dynamic/static umbilical installation, 6,000 ft water depth, installation windows and load-case automation.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Chevron Ballymore / Talos Venice Limerock:</w:t>
      </w:r>
      <w:r>
        <w:rPr/>
        <w:t xml:space="preserve"> Rigid jumper, manifold, and static umbilical installation analysis.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42-inch Venezuela pipeline:</w:t>
      </w:r>
      <w:r>
        <w:rPr/>
        <w:t xml:space="preserve"> Thin-walled pipeline bending capacity and pipelay analysis beyond standard DNV D/t regime.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SEWOL salvage:</w:t>
      </w:r>
      <w:r>
        <w:rPr/>
        <w:t xml:space="preserve"> Rapid-response hull FEA and automated ANSYS reporting for salvage operations.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Drilling/riser digital twins:</w:t>
      </w:r>
      <w:r>
        <w:rPr/>
        <w:t xml:space="preserve"> Automated OrcaFlex model generation, batch execution, results extraction, and API 579 / BS 7910 integrity workflows.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>
          <w:rStyle w:val="Strong"/>
        </w:rPr>
        <w:t>worldenergydata (open):</w:t>
      </w:r>
      <w:r>
        <w:rPr/>
        <w:t xml:space="preserve"> Live, deterministic Gulf of Mexico field-economics &amp; well-analytics site on public BSEE data — Lower-Tertiary NPVs, 56-well benchmarking, interactive 3D well paths; unit-tested numbers with full provenance. </w:t>
      </w:r>
    </w:p>
    <w:p>
      <w:pPr>
        <w:pStyle w:val="Heading2"/>
        <w:bidi w:val="0"/>
        <w:jc w:val="left"/>
        <w:rPr/>
      </w:pPr>
      <w:r>
        <w:rPr/>
        <w:t>Selected Publications &amp; Thought Leadership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World Oil (2024):</w:t>
      </w:r>
      <w:r>
        <w:rPr/>
        <w:t xml:space="preserve"> “Wellbay Innovation Supports Lower-Cost HP DW Discoveries”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OTC (2017):</w:t>
      </w:r>
      <w:r>
        <w:rPr/>
        <w:t xml:space="preserve"> “Heavy Lift Dynamics — Sewol Ferry Offshore Salvage”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IADC (2015):</w:t>
      </w:r>
      <w:r>
        <w:rPr/>
        <w:t xml:space="preserve"> Contributing Author, </w:t>
      </w:r>
      <w:r>
        <w:rPr>
          <w:rStyle w:val="Emphasis"/>
        </w:rPr>
        <w:t>Floating Drilling Equipment and Operations</w:t>
      </w:r>
      <w:r>
        <w:rPr/>
        <w:t xml:space="preserve">, 12th Edition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54" w:leader="none"/>
        </w:tabs>
        <w:bidi w:val="0"/>
        <w:spacing w:before="45" w:after="0"/>
        <w:ind w:hanging="283" w:left="754"/>
        <w:jc w:val="left"/>
        <w:rPr/>
      </w:pPr>
      <w:r>
        <w:rPr>
          <w:rStyle w:val="Strong"/>
        </w:rPr>
        <w:t>OMAE (2009):</w:t>
      </w:r>
      <w:r>
        <w:rPr/>
        <w:t xml:space="preserve"> “Benchmarking SHEAR7v4.5: Full-Scale Drilling Riser VIV Data”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54" w:leader="none"/>
        </w:tabs>
        <w:bidi w:val="0"/>
        <w:ind w:hanging="283" w:left="754"/>
        <w:jc w:val="left"/>
        <w:rPr/>
      </w:pPr>
      <w:r>
        <w:rPr>
          <w:rStyle w:val="Strong"/>
        </w:rPr>
        <w:t>World Oil Industry Reference (April 2026):</w:t>
      </w:r>
      <w:r>
        <w:rPr/>
        <w:t xml:space="preserve"> “SF Offshore Technology—Shilling (Frontier Deepwater Appraisal Solutions LLC)” </w:t>
      </w:r>
    </w:p>
    <w:p>
      <w:pPr>
        <w:pStyle w:val="Heading2"/>
        <w:bidi w:val="0"/>
        <w:jc w:val="left"/>
        <w:rPr/>
      </w:pPr>
      <w:r>
        <w:rPr/>
        <w:t>Professional Affiliations</w:t>
      </w:r>
    </w:p>
    <w:p>
      <w:pPr>
        <w:pStyle w:val="BodyText"/>
        <w:bidi w:val="0"/>
        <w:jc w:val="left"/>
        <w:rPr/>
      </w:pPr>
      <w:r>
        <w:rPr/>
        <w:t>Society of Petroleum Engineers (SPE) | American Society of Mechanical Engineers (ASME) | Marine Technology Society (MTS) | API Standards Committees</w:t>
      </w:r>
    </w:p>
    <w:p>
      <w:pPr>
        <w:pStyle w:val="Heading2"/>
        <w:bidi w:val="0"/>
        <w:jc w:val="left"/>
        <w:rPr/>
      </w:pPr>
      <w:r>
        <w:rPr/>
        <w:t>Languages</w:t>
      </w:r>
    </w:p>
    <w:p>
      <w:pPr>
        <w:pStyle w:val="BodyText"/>
        <w:bidi w:val="0"/>
        <w:jc w:val="left"/>
        <w:rPr/>
      </w:pPr>
      <w:r>
        <w:rPr/>
        <w:t>English — Excellent | Telugu — Excellent | Hindi — Good</w:t>
      </w:r>
    </w:p>
    <w:p>
      <w:pPr>
        <w:pStyle w:val="Heading2"/>
        <w:bidi w:val="0"/>
        <w:jc w:val="left"/>
        <w:rPr/>
      </w:pPr>
      <w:r>
        <w:rPr/>
        <w:t>References</w:t>
      </w:r>
    </w:p>
    <w:p>
      <w:pPr>
        <w:pStyle w:val="BodyText"/>
        <w:bidi w:val="0"/>
        <w:spacing w:before="45" w:after="75"/>
        <w:jc w:val="left"/>
        <w:rPr/>
      </w:pPr>
      <w:r>
        <w:rPr/>
        <w:t>Available upon request.</w:t>
      </w:r>
    </w:p>
    <w:sectPr>
      <w:type w:val="nextPage"/>
      <w:pgSz w:w="11906" w:h="16838"/>
      <w:pgMar w:left="893" w:right="893" w:gutter="0" w:header="0" w:top="792" w:footer="0" w:bottom="792"/>
      <w:pgNumType w:fmt="decimal"/>
      <w:formProt w:val="false"/>
      <w:textDirection w:val="lrTb"/>
      <w:docGrid w:type="default" w:linePitch="600" w:charSpace="4259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7"/>
    </w:pPr>
    <w:rPr>
      <w:rFonts w:ascii="Arial;Helvetica;sans-serif" w:hAnsi="Arial;Helvetica;sans-serif" w:eastAsia="Arial;Helvetica;sans-serif" w:cs="Arial;Helvetica;sans-serif"/>
      <w:color w:val="1F2933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5"/>
    </w:pPr>
    <w:rPr>
      <w:rFonts w:ascii="Noto Sans" w:hAnsi="Noto Sans"/>
      <w:b/>
      <w:bCs/>
      <w:color w:val="0B1F33"/>
      <w:spacing w:val="0"/>
      <w:sz w:val="42"/>
      <w:szCs w:val="42"/>
    </w:rPr>
  </w:style>
  <w:style w:type="paragraph" w:styleId="Heading2">
    <w:name w:val="Heading 2"/>
    <w:basedOn w:val="Heading"/>
    <w:next w:val="BodyText"/>
    <w:qFormat/>
    <w:pPr>
      <w:keepNext w:val="true"/>
      <w:spacing w:before="120" w:after="45"/>
      <w:ind w:left="120" w:right="120"/>
      <w:outlineLvl w:val="1"/>
    </w:pPr>
    <w:rPr>
      <w:rFonts w:ascii="Liberation Serif" w:hAnsi="Liberation Serif" w:eastAsia="Noto Serif CJK SC" w:cs="Noto Sans Devanagari"/>
      <w:b/>
      <w:bCs/>
      <w:color w:val="0F4C81"/>
      <w:sz w:val="23"/>
      <w:szCs w:val="23"/>
    </w:rPr>
  </w:style>
  <w:style w:type="paragraph" w:styleId="Heading3">
    <w:name w:val="Heading 3"/>
    <w:basedOn w:val="Heading"/>
    <w:next w:val="BodyText"/>
    <w:qFormat/>
    <w:pPr>
      <w:keepNext w:val="true"/>
      <w:pBdr>
        <w:bottom w:val="single" w:sz="2" w:space="2" w:color="D5DDE5"/>
      </w:pBdr>
      <w:spacing w:before="180" w:after="30"/>
      <w:ind w:left="180" w:right="180"/>
      <w:outlineLvl w:val="2"/>
    </w:pPr>
    <w:rPr>
      <w:rFonts w:ascii="Liberation Serif" w:hAnsi="Liberation Serif" w:eastAsia="Noto Serif CJK SC" w:cs="Noto Sans Devanagari"/>
      <w:b/>
      <w:bCs/>
      <w:color w:val="0B1F33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F4C81"/>
      <w:u w:val="none"/>
      <w:effect w:val="none"/>
    </w:rPr>
  </w:style>
  <w:style w:type="character" w:styleId="Strong">
    <w:name w:val="Strong"/>
    <w:qFormat/>
    <w:rPr>
      <w:b/>
      <w:bCs/>
      <w:color w:val="0B1F33"/>
    </w:rPr>
  </w:style>
  <w:style w:type="character" w:styleId="FollowedHyperlink">
    <w:name w:val="FollowedHyperlink"/>
    <w:rPr>
      <w:strike w:val="false"/>
      <w:dstrike w:val="false"/>
      <w:color w:val="0F4C81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45" w:after="75"/>
      <w:ind w:left="45" w:right="45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0F4C8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vamseeachanta" TargetMode="External"/><Relationship Id="rId3" Type="http://schemas.openxmlformats.org/officeDocument/2006/relationships/hyperlink" Target="https://github.com/vamseeachanta" TargetMode="External"/><Relationship Id="rId4" Type="http://schemas.openxmlformats.org/officeDocument/2006/relationships/image" Target="file:///mnt/local-analysis/teamresumes/cv/assets/logos/acma-logo.gif" TargetMode="External"/><Relationship Id="rId5" Type="http://schemas.openxmlformats.org/officeDocument/2006/relationships/image" Target="file:///mnt/local-analysis/teamresumes/cv/assets/logos/fdas-logo.png" TargetMode="External"/><Relationship Id="rId6" Type="http://schemas.openxmlformats.org/officeDocument/2006/relationships/image" Target="file:///mnt/local-analysis/teamresumes/cv/assets/logos/aceengineer-logo.svg" TargetMode="External"/><Relationship Id="rId7" Type="http://schemas.openxmlformats.org/officeDocument/2006/relationships/image" Target="file:///mnt/local-analysis/teamresumes/cv/assets/logos/oxy-logo.svg" TargetMode="External"/><Relationship Id="rId8" Type="http://schemas.openxmlformats.org/officeDocument/2006/relationships/image" Target="file:///mnt/local-analysis/teamresumes/cv/assets/logos/2h-logo.svg" TargetMode="External"/><Relationship Id="rId9" Type="http://schemas.openxmlformats.org/officeDocument/2006/relationships/hyperlink" Target="https://vamseeachanta.github.io/worldenergydata/" TargetMode="External"/><Relationship Id="rId10" Type="http://schemas.openxmlformats.org/officeDocument/2006/relationships/hyperlink" Target="https://vamseeachanta.github.io/worldenergydata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Vamsee Achanta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