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3C3E" w14:textId="77777777" w:rsidR="00D60A05" w:rsidRPr="00D60A05" w:rsidRDefault="00D60A05" w:rsidP="00D60A05">
      <w:r w:rsidRPr="00D60A05">
        <w:rPr>
          <w:b/>
          <w:bCs/>
        </w:rPr>
        <w:t>Title: Breaking the Subsea Mold: Why Dry Trees and Deep Draft Semis Will Unlock the Lower Tertiary</w:t>
      </w:r>
    </w:p>
    <w:p w14:paraId="7569E199" w14:textId="2AFCB9C8" w:rsidR="00D60A05" w:rsidRPr="00D60A05" w:rsidRDefault="00D60A05" w:rsidP="00D60A05">
      <w:r w:rsidRPr="00D60A05">
        <w:rPr>
          <w:b/>
          <w:bCs/>
        </w:rPr>
        <w:t xml:space="preserve">By Roy Shilling, </w:t>
      </w:r>
      <w:r w:rsidR="00C664FF">
        <w:rPr>
          <w:b/>
          <w:bCs/>
        </w:rPr>
        <w:t xml:space="preserve">Chuck White, Vamsee Achanta, </w:t>
      </w:r>
      <w:r w:rsidRPr="00D60A05">
        <w:rPr>
          <w:b/>
          <w:bCs/>
        </w:rPr>
        <w:t>Reference contributor</w:t>
      </w:r>
    </w:p>
    <w:p w14:paraId="7A00AAEE" w14:textId="77777777" w:rsidR="00D60A05" w:rsidRPr="00D60A05" w:rsidRDefault="00D60A05" w:rsidP="00D60A05">
      <w:r w:rsidRPr="00D60A05">
        <w:pict w14:anchorId="3DA2456D">
          <v:rect id="_x0000_i1031" style="width:0;height:1.5pt" o:hralign="center" o:hrstd="t" o:hr="t" fillcolor="#a0a0a0" stroked="f"/>
        </w:pict>
      </w:r>
    </w:p>
    <w:p w14:paraId="06AA7283" w14:textId="77777777" w:rsidR="00D60A05" w:rsidRPr="00D60A05" w:rsidRDefault="00D60A05" w:rsidP="00D60A05">
      <w:r w:rsidRPr="00D60A05">
        <w:rPr>
          <w:b/>
          <w:bCs/>
        </w:rPr>
        <w:t>Introduction: A 20-Year Standoff in the Deepwater Frontier</w:t>
      </w:r>
    </w:p>
    <w:p w14:paraId="53F7BD6B" w14:textId="77777777" w:rsidR="00D60A05" w:rsidRPr="00D60A05" w:rsidRDefault="00D60A05" w:rsidP="00D60A05">
      <w:r w:rsidRPr="00D60A05">
        <w:t>The Gulf of Mexico's Lower Tertiary Wilcox trend has long promised vast oil resources, yet two decades after Kaskida, Tiber, and Shenandoah made headlines, their reservoirs remain largely untouched. Industry has drilled, logged, and appraised billions of barrels. But even now, major discoveries lie stranded. The culprits are not geology or resource quality, but rather outdated assumptions about how to develop deepwater high-pressure fields.</w:t>
      </w:r>
    </w:p>
    <w:p w14:paraId="622A83B1" w14:textId="77777777" w:rsidR="00D60A05" w:rsidRPr="00D60A05" w:rsidRDefault="00D60A05" w:rsidP="00D60A05">
      <w:r w:rsidRPr="00D60A05">
        <w:t>The industry remains locked in a subsea mindset, anchored by capital-heavy, inflexible development strategies. Most sanctioned Lower Tertiary projects have relied on 20,000 psi subsea trees, risers, and dynamically positioned MODUs that carry extraordinary cost, schedule risk, and long-term operational burdens. The result: protracted appraisals, delayed first oil, diminished returns, and often, no final investment decision (FID) at all.</w:t>
      </w:r>
    </w:p>
    <w:p w14:paraId="140B04A1" w14:textId="77777777" w:rsidR="00D60A05" w:rsidRPr="00D60A05" w:rsidRDefault="00D60A05" w:rsidP="00D60A05">
      <w:r w:rsidRPr="00D60A05">
        <w:t>But what if this paradigm is not only inefficient but fundamentally unnecessary? What if a dry tree solution using a deep draft semisubmersible—with proven riser technologies and fully integrated drilling—can safely access the same reservoirs, reduce total lifecycle costs by more than 35%, and deliver up to 30% greater recovery?</w:t>
      </w:r>
    </w:p>
    <w:p w14:paraId="05BD5A7A" w14:textId="77777777" w:rsidR="00D60A05" w:rsidRPr="00D60A05" w:rsidRDefault="00D60A05" w:rsidP="00D60A05">
      <w:r w:rsidRPr="00D60A05">
        <w:t>Reference contributor has been advancing that case since 2020. With new lifecycle performance data from the BMT SLOOP model, historical cost benchmarking, and detailed comparisons from our Gulf of Mexico Drilling and Completion Performance Study (2014), and validation from third-party studies like Shell’s DDS riser and motion modeling (AC12282785), the dry tree approach is no longer a what-if. It is a viable—and in many cases, superior—option for unlocking the Lower Tertiary.</w:t>
      </w:r>
    </w:p>
    <w:p w14:paraId="2D5A20B7" w14:textId="77777777" w:rsidR="00DB0A55" w:rsidRPr="00DB0A55" w:rsidRDefault="00DB0A55" w:rsidP="00DB0A55">
      <w:pPr>
        <w:rPr>
          <w:b/>
          <w:bCs/>
        </w:rPr>
      </w:pPr>
      <w:r w:rsidRPr="00DB0A55">
        <w:rPr>
          <w:b/>
          <w:bCs/>
        </w:rPr>
        <w:t>1. The Subsea Trap: Cost, Delay, and Diminishing Returns</w:t>
      </w:r>
    </w:p>
    <w:p w14:paraId="75A5D6E2" w14:textId="77777777" w:rsidR="00DB0A55" w:rsidRPr="00DB0A55" w:rsidRDefault="00DB0A55" w:rsidP="00DB0A55">
      <w:r w:rsidRPr="00DB0A55">
        <w:t>Operators are deploying 20K subsea wells with per-well costs exceeding $750 million. Historical data show average drilling and completion costs at $498 million per subsea well compared to $220 million per dry tree well, saving over $278 million per well. These savings, scaled across multi-well developments, range from $900 million to $2.3 billion. Yet the subsea approach remains dominant despite repeated delays:</w:t>
      </w:r>
    </w:p>
    <w:p w14:paraId="76318419" w14:textId="77777777" w:rsidR="00DB0A55" w:rsidRPr="00DB0A55" w:rsidRDefault="00DB0A55" w:rsidP="00DB0A55">
      <w:pPr>
        <w:numPr>
          <w:ilvl w:val="0"/>
          <w:numId w:val="5"/>
        </w:numPr>
      </w:pPr>
      <w:r w:rsidRPr="00DB0A55">
        <w:t>Kaskida: Discovered in 2006, still no FID after numerous costly appraisals.</w:t>
      </w:r>
    </w:p>
    <w:p w14:paraId="64A5B7C7" w14:textId="77777777" w:rsidR="00DB0A55" w:rsidRPr="00DB0A55" w:rsidRDefault="00DB0A55" w:rsidP="00DB0A55">
      <w:pPr>
        <w:numPr>
          <w:ilvl w:val="0"/>
          <w:numId w:val="5"/>
        </w:numPr>
      </w:pPr>
      <w:r w:rsidRPr="00DB0A55">
        <w:t>Anchor: Sanctioned at $5.7 billion initially; costs per well exceed $700 million.</w:t>
      </w:r>
    </w:p>
    <w:p w14:paraId="44884182" w14:textId="77777777" w:rsidR="00DB0A55" w:rsidRPr="00DB0A55" w:rsidRDefault="00DB0A55" w:rsidP="00DB0A55">
      <w:pPr>
        <w:numPr>
          <w:ilvl w:val="0"/>
          <w:numId w:val="5"/>
        </w:numPr>
      </w:pPr>
      <w:r w:rsidRPr="00DB0A55">
        <w:lastRenderedPageBreak/>
        <w:t>Shenandoah: Years of appraisal, delayed development, and escalating costs.</w:t>
      </w:r>
    </w:p>
    <w:p w14:paraId="3A45E780" w14:textId="77777777" w:rsidR="00DB0A55" w:rsidRPr="00DB0A55" w:rsidRDefault="00DB0A55" w:rsidP="00DB0A55">
      <w:r w:rsidRPr="00DB0A55">
        <w:t>Technical Appendix: Clarifying Cost Comparisons</w:t>
      </w:r>
    </w:p>
    <w:p w14:paraId="26CEFA16" w14:textId="77777777" w:rsidR="00DB0A55" w:rsidRPr="00DB0A55" w:rsidRDefault="00DB0A55" w:rsidP="00DB0A55">
      <w:r w:rsidRPr="00DB0A55">
        <w:t>Readers might notice differences in cost figures between sections. The $498 million (subsea) and $220 million (dry tree) figures mentioned above are historical averages taken from extensive benchmarking across various Gulf of Mexico deepwater wells, as detailed in the "Gulf of Mexico Drilling and Completion Performance Comparison (2014)." These historical benchmarks reflect average costs across diverse project scenarios during that period.</w:t>
      </w:r>
    </w:p>
    <w:p w14:paraId="6D5CD6A3" w14:textId="77777777" w:rsidR="00DB0A55" w:rsidRPr="00DB0A55" w:rsidRDefault="00DB0A55" w:rsidP="00DB0A55">
      <w:r w:rsidRPr="00DB0A55">
        <w:t>The cost figures presented later in Section 3 ($350 million for subsea and $150 million for dry tree drilling and completion) specifically represent current, forward-looking estimates for modern 20K Lower Tertiary wells. They incorporate advances in technology, operational efficiencies, and current market dynamics unique to today's ultra-high pressure (20K) environments.</w:t>
      </w:r>
    </w:p>
    <w:p w14:paraId="60A16CDC" w14:textId="1595ABF0" w:rsidR="00DB0A55" w:rsidRPr="00C664FF" w:rsidRDefault="00DB0A55" w:rsidP="00D60A05">
      <w:r w:rsidRPr="00DB0A55">
        <w:t>Thus, the apparent discrepancy arises from comparing general historical benchmarks against today's precise cost estimates for Lower Tertiary developments. Both sets of figures are accurate in their respective contexts and underscore the significant cost advantages achievable with the FrPS approach.</w:t>
      </w:r>
    </w:p>
    <w:p w14:paraId="6C668F8E" w14:textId="317E9831" w:rsidR="00D60A05" w:rsidRPr="00D60A05" w:rsidRDefault="00D60A05" w:rsidP="00D60A05">
      <w:r w:rsidRPr="00D60A05">
        <w:rPr>
          <w:b/>
          <w:bCs/>
        </w:rPr>
        <w:t>2. Introducing the FrPS Dry Tree System</w:t>
      </w:r>
    </w:p>
    <w:p w14:paraId="359E359F" w14:textId="77777777" w:rsidR="00D60A05" w:rsidRPr="00D60A05" w:rsidRDefault="00D60A05" w:rsidP="00D60A05">
      <w:r w:rsidRPr="00D60A05">
        <w:t>The Frontier Production System (FrPS) integrates a movable wellbay, surface BOP, dual-barrier completions, and 65,000 bopd production capacity on a deep draft semisubmersible platform. FrPS supports phased development, starting with five wells, expandable based on reservoir performance data.</w:t>
      </w:r>
    </w:p>
    <w:p w14:paraId="117BD222" w14:textId="77777777" w:rsidR="00D60A05" w:rsidRPr="00D60A05" w:rsidRDefault="00D60A05" w:rsidP="00D60A05">
      <w:r w:rsidRPr="00D60A05">
        <w:t>FrPS enables:</w:t>
      </w:r>
    </w:p>
    <w:p w14:paraId="56390CC3" w14:textId="77777777" w:rsidR="00D60A05" w:rsidRPr="00D60A05" w:rsidRDefault="00D60A05" w:rsidP="00D60A05">
      <w:pPr>
        <w:numPr>
          <w:ilvl w:val="0"/>
          <w:numId w:val="2"/>
        </w:numPr>
      </w:pPr>
      <w:r w:rsidRPr="00D60A05">
        <w:t>Direct vertical access for well interventions.</w:t>
      </w:r>
    </w:p>
    <w:p w14:paraId="65AB6755" w14:textId="77777777" w:rsidR="00D60A05" w:rsidRPr="00D60A05" w:rsidRDefault="00D60A05" w:rsidP="00D60A05">
      <w:pPr>
        <w:numPr>
          <w:ilvl w:val="0"/>
          <w:numId w:val="2"/>
        </w:numPr>
      </w:pPr>
      <w:r w:rsidRPr="00D60A05">
        <w:t>Efficient artificial lift deployment (ESP, gas lift, plunger lift).</w:t>
      </w:r>
    </w:p>
    <w:p w14:paraId="7BA8278E" w14:textId="77777777" w:rsidR="00D60A05" w:rsidRPr="00D60A05" w:rsidRDefault="00D60A05" w:rsidP="00D60A05">
      <w:pPr>
        <w:numPr>
          <w:ilvl w:val="0"/>
          <w:numId w:val="2"/>
        </w:numPr>
      </w:pPr>
      <w:r w:rsidRPr="00D60A05">
        <w:t>Minimal appraisal footprint, needing just two wells to sanction development.</w:t>
      </w:r>
    </w:p>
    <w:p w14:paraId="7D026034" w14:textId="77777777" w:rsidR="00D60A05" w:rsidRPr="00D60A05" w:rsidRDefault="00D60A05" w:rsidP="00D60A05">
      <w:pPr>
        <w:numPr>
          <w:ilvl w:val="0"/>
          <w:numId w:val="2"/>
        </w:numPr>
      </w:pPr>
      <w:r w:rsidRPr="00D60A05">
        <w:t>Significant schedule acceleration, reaching first oil years earlier than subsea equivalents.</w:t>
      </w:r>
    </w:p>
    <w:p w14:paraId="5F31A133" w14:textId="77777777" w:rsidR="00D60A05" w:rsidRPr="00D60A05" w:rsidRDefault="00D60A05" w:rsidP="00D60A05">
      <w:r w:rsidRPr="00D60A05">
        <w:t>BMT’s SLOOP simulations demonstrate FrPS’s tangible advantages:</w:t>
      </w:r>
    </w:p>
    <w:p w14:paraId="0E021A8A" w14:textId="77777777" w:rsidR="00D60A05" w:rsidRPr="00D60A05" w:rsidRDefault="00D60A05" w:rsidP="00D60A05">
      <w:pPr>
        <w:numPr>
          <w:ilvl w:val="0"/>
          <w:numId w:val="3"/>
        </w:numPr>
      </w:pPr>
      <w:r w:rsidRPr="00D60A05">
        <w:t>Produced an additional 109 MMbbl oil.</w:t>
      </w:r>
    </w:p>
    <w:p w14:paraId="01C0E106" w14:textId="77777777" w:rsidR="00D60A05" w:rsidRPr="00D60A05" w:rsidRDefault="00D60A05" w:rsidP="00D60A05">
      <w:pPr>
        <w:numPr>
          <w:ilvl w:val="0"/>
          <w:numId w:val="3"/>
        </w:numPr>
      </w:pPr>
      <w:r w:rsidRPr="00D60A05">
        <w:t>Reached first oil 1.1 years sooner.</w:t>
      </w:r>
    </w:p>
    <w:p w14:paraId="5F856231" w14:textId="77777777" w:rsidR="00D60A05" w:rsidRPr="00D60A05" w:rsidRDefault="00D60A05" w:rsidP="00D60A05">
      <w:pPr>
        <w:numPr>
          <w:ilvl w:val="0"/>
          <w:numId w:val="3"/>
        </w:numPr>
      </w:pPr>
      <w:r w:rsidRPr="00D60A05">
        <w:lastRenderedPageBreak/>
        <w:t>Reduced total rig operating days by over 2,800.</w:t>
      </w:r>
    </w:p>
    <w:p w14:paraId="1B14E8CB" w14:textId="77777777" w:rsidR="00D60A05" w:rsidRPr="00D60A05" w:rsidRDefault="00D60A05" w:rsidP="00D60A05">
      <w:r w:rsidRPr="00D60A05">
        <w:rPr>
          <w:b/>
          <w:bCs/>
        </w:rPr>
        <w:t>3. Economics: Demonstrating a $20 Billion Advantage</w:t>
      </w:r>
    </w:p>
    <w:p w14:paraId="0C3368F3" w14:textId="77777777" w:rsidR="00D60A05" w:rsidRPr="00D60A05" w:rsidRDefault="00D60A05" w:rsidP="00D60A05">
      <w:r w:rsidRPr="00D60A05">
        <w:t>Comparative lifecycle economics between subsea and FrPS are stark: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2186"/>
        <w:gridCol w:w="2383"/>
      </w:tblGrid>
      <w:tr w:rsidR="00D60A05" w:rsidRPr="00D60A05" w14:paraId="38E6DCB8" w14:textId="77777777">
        <w:trPr>
          <w:tblHeader/>
          <w:tblCellSpacing w:w="15" w:type="dxa"/>
        </w:trPr>
        <w:tc>
          <w:tcPr>
            <w:tcW w:w="0" w:type="auto"/>
            <w:vAlign w:val="center"/>
            <w:hideMark/>
          </w:tcPr>
          <w:p w14:paraId="2B4DE468" w14:textId="77777777" w:rsidR="00D60A05" w:rsidRPr="00D60A05" w:rsidRDefault="00D60A05" w:rsidP="00D60A05">
            <w:pPr>
              <w:rPr>
                <w:b/>
                <w:bCs/>
              </w:rPr>
            </w:pPr>
            <w:r w:rsidRPr="00D60A05">
              <w:rPr>
                <w:b/>
                <w:bCs/>
              </w:rPr>
              <w:t>Metric</w:t>
            </w:r>
          </w:p>
        </w:tc>
        <w:tc>
          <w:tcPr>
            <w:tcW w:w="0" w:type="auto"/>
            <w:vAlign w:val="center"/>
            <w:hideMark/>
          </w:tcPr>
          <w:p w14:paraId="6640311C" w14:textId="77777777" w:rsidR="00D60A05" w:rsidRPr="00D60A05" w:rsidRDefault="00D60A05" w:rsidP="00D60A05">
            <w:pPr>
              <w:rPr>
                <w:b/>
                <w:bCs/>
              </w:rPr>
            </w:pPr>
            <w:r w:rsidRPr="00D60A05">
              <w:rPr>
                <w:b/>
                <w:bCs/>
              </w:rPr>
              <w:t>Subsea 20K System</w:t>
            </w:r>
          </w:p>
        </w:tc>
        <w:tc>
          <w:tcPr>
            <w:tcW w:w="0" w:type="auto"/>
            <w:vAlign w:val="center"/>
            <w:hideMark/>
          </w:tcPr>
          <w:p w14:paraId="47A8FC60" w14:textId="77777777" w:rsidR="00D60A05" w:rsidRPr="00D60A05" w:rsidRDefault="00D60A05" w:rsidP="00D60A05">
            <w:pPr>
              <w:rPr>
                <w:b/>
                <w:bCs/>
              </w:rPr>
            </w:pPr>
            <w:r w:rsidRPr="00D60A05">
              <w:rPr>
                <w:b/>
                <w:bCs/>
              </w:rPr>
              <w:t>FrPS Dry Tree System</w:t>
            </w:r>
          </w:p>
        </w:tc>
      </w:tr>
      <w:tr w:rsidR="00D60A05" w:rsidRPr="00D60A05" w14:paraId="73A06C9F" w14:textId="77777777">
        <w:trPr>
          <w:tblCellSpacing w:w="15" w:type="dxa"/>
        </w:trPr>
        <w:tc>
          <w:tcPr>
            <w:tcW w:w="0" w:type="auto"/>
            <w:vAlign w:val="center"/>
            <w:hideMark/>
          </w:tcPr>
          <w:p w14:paraId="0BAE63A0" w14:textId="77777777" w:rsidR="00D60A05" w:rsidRPr="00D60A05" w:rsidRDefault="00D60A05" w:rsidP="00D60A05">
            <w:r w:rsidRPr="00D60A05">
              <w:t>Drilling &amp; Completion (per well)</w:t>
            </w:r>
          </w:p>
        </w:tc>
        <w:tc>
          <w:tcPr>
            <w:tcW w:w="0" w:type="auto"/>
            <w:vAlign w:val="center"/>
            <w:hideMark/>
          </w:tcPr>
          <w:p w14:paraId="3C30B05D" w14:textId="77777777" w:rsidR="00D60A05" w:rsidRPr="00D60A05" w:rsidRDefault="00D60A05" w:rsidP="00D60A05">
            <w:r w:rsidRPr="00D60A05">
              <w:t>$350M</w:t>
            </w:r>
          </w:p>
        </w:tc>
        <w:tc>
          <w:tcPr>
            <w:tcW w:w="0" w:type="auto"/>
            <w:vAlign w:val="center"/>
            <w:hideMark/>
          </w:tcPr>
          <w:p w14:paraId="32EAC550" w14:textId="77777777" w:rsidR="00D60A05" w:rsidRPr="00D60A05" w:rsidRDefault="00D60A05" w:rsidP="00D60A05">
            <w:r w:rsidRPr="00D60A05">
              <w:t>$150M</w:t>
            </w:r>
          </w:p>
        </w:tc>
      </w:tr>
      <w:tr w:rsidR="00D60A05" w:rsidRPr="00D60A05" w14:paraId="38555D4C" w14:textId="77777777">
        <w:trPr>
          <w:tblCellSpacing w:w="15" w:type="dxa"/>
        </w:trPr>
        <w:tc>
          <w:tcPr>
            <w:tcW w:w="0" w:type="auto"/>
            <w:vAlign w:val="center"/>
            <w:hideMark/>
          </w:tcPr>
          <w:p w14:paraId="6C73F271" w14:textId="77777777" w:rsidR="00D60A05" w:rsidRPr="00D60A05" w:rsidRDefault="00D60A05" w:rsidP="00D60A05">
            <w:r w:rsidRPr="00D60A05">
              <w:t>Subsea/Riser Equipment</w:t>
            </w:r>
          </w:p>
        </w:tc>
        <w:tc>
          <w:tcPr>
            <w:tcW w:w="0" w:type="auto"/>
            <w:vAlign w:val="center"/>
            <w:hideMark/>
          </w:tcPr>
          <w:p w14:paraId="3728BB6F" w14:textId="77777777" w:rsidR="00D60A05" w:rsidRPr="00D60A05" w:rsidRDefault="00D60A05" w:rsidP="00D60A05">
            <w:r w:rsidRPr="00D60A05">
              <w:t>$400M</w:t>
            </w:r>
          </w:p>
        </w:tc>
        <w:tc>
          <w:tcPr>
            <w:tcW w:w="0" w:type="auto"/>
            <w:vAlign w:val="center"/>
            <w:hideMark/>
          </w:tcPr>
          <w:p w14:paraId="30AB57D5" w14:textId="77777777" w:rsidR="00D60A05" w:rsidRPr="00D60A05" w:rsidRDefault="00D60A05" w:rsidP="00D60A05">
            <w:r w:rsidRPr="00D60A05">
              <w:t>$80M</w:t>
            </w:r>
          </w:p>
        </w:tc>
      </w:tr>
      <w:tr w:rsidR="00D60A05" w:rsidRPr="00D60A05" w14:paraId="583D9506" w14:textId="77777777">
        <w:trPr>
          <w:tblCellSpacing w:w="15" w:type="dxa"/>
        </w:trPr>
        <w:tc>
          <w:tcPr>
            <w:tcW w:w="0" w:type="auto"/>
            <w:vAlign w:val="center"/>
            <w:hideMark/>
          </w:tcPr>
          <w:p w14:paraId="3DE8FB0F" w14:textId="77777777" w:rsidR="00D60A05" w:rsidRPr="00D60A05" w:rsidRDefault="00D60A05" w:rsidP="00D60A05">
            <w:r w:rsidRPr="00D60A05">
              <w:t>Total per-well cost</w:t>
            </w:r>
          </w:p>
        </w:tc>
        <w:tc>
          <w:tcPr>
            <w:tcW w:w="0" w:type="auto"/>
            <w:vAlign w:val="center"/>
            <w:hideMark/>
          </w:tcPr>
          <w:p w14:paraId="2DF44F1C" w14:textId="77777777" w:rsidR="00D60A05" w:rsidRPr="00D60A05" w:rsidRDefault="00D60A05" w:rsidP="00D60A05">
            <w:r w:rsidRPr="00D60A05">
              <w:t>$750M</w:t>
            </w:r>
          </w:p>
        </w:tc>
        <w:tc>
          <w:tcPr>
            <w:tcW w:w="0" w:type="auto"/>
            <w:vAlign w:val="center"/>
            <w:hideMark/>
          </w:tcPr>
          <w:p w14:paraId="108BA4CA" w14:textId="77777777" w:rsidR="00D60A05" w:rsidRPr="00D60A05" w:rsidRDefault="00D60A05" w:rsidP="00D60A05">
            <w:r w:rsidRPr="00D60A05">
              <w:t>$230M</w:t>
            </w:r>
          </w:p>
        </w:tc>
      </w:tr>
      <w:tr w:rsidR="00D60A05" w:rsidRPr="00D60A05" w14:paraId="6A3C8587" w14:textId="77777777">
        <w:trPr>
          <w:tblCellSpacing w:w="15" w:type="dxa"/>
        </w:trPr>
        <w:tc>
          <w:tcPr>
            <w:tcW w:w="0" w:type="auto"/>
            <w:vAlign w:val="center"/>
            <w:hideMark/>
          </w:tcPr>
          <w:p w14:paraId="4D8AF77F" w14:textId="77777777" w:rsidR="00D60A05" w:rsidRPr="00D60A05" w:rsidRDefault="00D60A05" w:rsidP="00D60A05">
            <w:r w:rsidRPr="00D60A05">
              <w:t>Total field development</w:t>
            </w:r>
          </w:p>
        </w:tc>
        <w:tc>
          <w:tcPr>
            <w:tcW w:w="0" w:type="auto"/>
            <w:vAlign w:val="center"/>
            <w:hideMark/>
          </w:tcPr>
          <w:p w14:paraId="6745A7B0" w14:textId="77777777" w:rsidR="00D60A05" w:rsidRPr="00D60A05" w:rsidRDefault="00D60A05" w:rsidP="00D60A05">
            <w:r w:rsidRPr="00D60A05">
              <w:t>$7.5B</w:t>
            </w:r>
          </w:p>
        </w:tc>
        <w:tc>
          <w:tcPr>
            <w:tcW w:w="0" w:type="auto"/>
            <w:vAlign w:val="center"/>
            <w:hideMark/>
          </w:tcPr>
          <w:p w14:paraId="763F01FF" w14:textId="77777777" w:rsidR="00D60A05" w:rsidRPr="00D60A05" w:rsidRDefault="00D60A05" w:rsidP="00D60A05">
            <w:r w:rsidRPr="00D60A05">
              <w:t>$2.3B</w:t>
            </w:r>
          </w:p>
        </w:tc>
      </w:tr>
      <w:tr w:rsidR="00D60A05" w:rsidRPr="00D60A05" w14:paraId="57A3D2BF" w14:textId="77777777">
        <w:trPr>
          <w:tblCellSpacing w:w="15" w:type="dxa"/>
        </w:trPr>
        <w:tc>
          <w:tcPr>
            <w:tcW w:w="0" w:type="auto"/>
            <w:vAlign w:val="center"/>
            <w:hideMark/>
          </w:tcPr>
          <w:p w14:paraId="2EDB697B" w14:textId="77777777" w:rsidR="00D60A05" w:rsidRPr="00D60A05" w:rsidRDefault="00D60A05" w:rsidP="00D60A05">
            <w:r w:rsidRPr="00D60A05">
              <w:t>Host Facility (hub vs. FrPS x2)</w:t>
            </w:r>
          </w:p>
        </w:tc>
        <w:tc>
          <w:tcPr>
            <w:tcW w:w="0" w:type="auto"/>
            <w:vAlign w:val="center"/>
            <w:hideMark/>
          </w:tcPr>
          <w:p w14:paraId="326A5A91" w14:textId="77777777" w:rsidR="00D60A05" w:rsidRPr="00D60A05" w:rsidRDefault="00D60A05" w:rsidP="00D60A05">
            <w:r w:rsidRPr="00D60A05">
              <w:t>$1.5B</w:t>
            </w:r>
          </w:p>
        </w:tc>
        <w:tc>
          <w:tcPr>
            <w:tcW w:w="0" w:type="auto"/>
            <w:vAlign w:val="center"/>
            <w:hideMark/>
          </w:tcPr>
          <w:p w14:paraId="35214012" w14:textId="77777777" w:rsidR="00D60A05" w:rsidRPr="00D60A05" w:rsidRDefault="00D60A05" w:rsidP="00D60A05">
            <w:r w:rsidRPr="00D60A05">
              <w:t>$2.25B</w:t>
            </w:r>
          </w:p>
        </w:tc>
      </w:tr>
      <w:tr w:rsidR="00D60A05" w:rsidRPr="00D60A05" w14:paraId="1C50B342" w14:textId="77777777">
        <w:trPr>
          <w:tblCellSpacing w:w="15" w:type="dxa"/>
        </w:trPr>
        <w:tc>
          <w:tcPr>
            <w:tcW w:w="0" w:type="auto"/>
            <w:vAlign w:val="center"/>
            <w:hideMark/>
          </w:tcPr>
          <w:p w14:paraId="42D8CBEB" w14:textId="77777777" w:rsidR="00D60A05" w:rsidRPr="00D60A05" w:rsidRDefault="00D60A05" w:rsidP="00D60A05">
            <w:r w:rsidRPr="00D60A05">
              <w:t>Rig Operating Cost (30 yrs)</w:t>
            </w:r>
          </w:p>
        </w:tc>
        <w:tc>
          <w:tcPr>
            <w:tcW w:w="0" w:type="auto"/>
            <w:vAlign w:val="center"/>
            <w:hideMark/>
          </w:tcPr>
          <w:p w14:paraId="1213CABE" w14:textId="77777777" w:rsidR="00D60A05" w:rsidRPr="00D60A05" w:rsidRDefault="00D60A05" w:rsidP="00D60A05">
            <w:r w:rsidRPr="00D60A05">
              <w:t>$11B+</w:t>
            </w:r>
          </w:p>
        </w:tc>
        <w:tc>
          <w:tcPr>
            <w:tcW w:w="0" w:type="auto"/>
            <w:vAlign w:val="center"/>
            <w:hideMark/>
          </w:tcPr>
          <w:p w14:paraId="1C55A2BB" w14:textId="77777777" w:rsidR="00D60A05" w:rsidRPr="00D60A05" w:rsidRDefault="00D60A05" w:rsidP="00D60A05">
            <w:r w:rsidRPr="00D60A05">
              <w:t>$5.5B</w:t>
            </w:r>
          </w:p>
        </w:tc>
      </w:tr>
      <w:tr w:rsidR="00D60A05" w:rsidRPr="00D60A05" w14:paraId="2411723F" w14:textId="77777777">
        <w:trPr>
          <w:tblCellSpacing w:w="15" w:type="dxa"/>
        </w:trPr>
        <w:tc>
          <w:tcPr>
            <w:tcW w:w="0" w:type="auto"/>
            <w:vAlign w:val="center"/>
            <w:hideMark/>
          </w:tcPr>
          <w:p w14:paraId="5EF99DDA" w14:textId="77777777" w:rsidR="00D60A05" w:rsidRPr="00D60A05" w:rsidRDefault="00D60A05" w:rsidP="00D60A05">
            <w:r w:rsidRPr="00D60A05">
              <w:t>Total Capex + Opex</w:t>
            </w:r>
          </w:p>
        </w:tc>
        <w:tc>
          <w:tcPr>
            <w:tcW w:w="0" w:type="auto"/>
            <w:vAlign w:val="center"/>
            <w:hideMark/>
          </w:tcPr>
          <w:p w14:paraId="29299AD9" w14:textId="77777777" w:rsidR="00D60A05" w:rsidRPr="00D60A05" w:rsidRDefault="00D60A05" w:rsidP="00D60A05">
            <w:r w:rsidRPr="00D60A05">
              <w:t>~$20B</w:t>
            </w:r>
          </w:p>
        </w:tc>
        <w:tc>
          <w:tcPr>
            <w:tcW w:w="0" w:type="auto"/>
            <w:vAlign w:val="center"/>
            <w:hideMark/>
          </w:tcPr>
          <w:p w14:paraId="3C264AD4" w14:textId="77777777" w:rsidR="00D60A05" w:rsidRPr="00D60A05" w:rsidRDefault="00D60A05" w:rsidP="00D60A05">
            <w:r w:rsidRPr="00D60A05">
              <w:t>~$10B</w:t>
            </w:r>
          </w:p>
        </w:tc>
      </w:tr>
    </w:tbl>
    <w:p w14:paraId="4C589C73" w14:textId="77777777" w:rsidR="00D60A05" w:rsidRPr="00D60A05" w:rsidRDefault="00D60A05" w:rsidP="00D60A05">
      <w:r w:rsidRPr="00D60A05">
        <w:t>The NPV advantage for FrPS exceeds $20 billion at $100 WTI, reflecting faster first oil, enhanced recovery, and reduced operational complexity.</w:t>
      </w:r>
    </w:p>
    <w:p w14:paraId="7E76BF24" w14:textId="77777777" w:rsidR="00D60A05" w:rsidRPr="00D60A05" w:rsidRDefault="00D60A05" w:rsidP="00D60A05">
      <w:r w:rsidRPr="00D60A05">
        <w:rPr>
          <w:b/>
          <w:bCs/>
        </w:rPr>
        <w:t>4. Operational Advantages: ESP and Lift Innovations</w:t>
      </w:r>
    </w:p>
    <w:p w14:paraId="2C8FC057" w14:textId="77777777" w:rsidR="00D60A05" w:rsidRPr="00D60A05" w:rsidRDefault="00D60A05" w:rsidP="00D60A05">
      <w:r w:rsidRPr="00D60A05">
        <w:t>Dry trees provide unmatched capability for deploying, monitoring, and maintaining dual-canned ESP systems, significantly enhancing well productivity. OTC-26002-MS validated ESP integration in 20K HPHT wells, confirming additional recovery of 14%-25% compared to subsea counterparts, where ESP integration is often prohibitively complex and costly.</w:t>
      </w:r>
    </w:p>
    <w:p w14:paraId="21D2919D" w14:textId="77777777" w:rsidR="00D60A05" w:rsidRPr="00D60A05" w:rsidRDefault="00D60A05" w:rsidP="00D60A05">
      <w:r w:rsidRPr="00D60A05">
        <w:rPr>
          <w:b/>
          <w:bCs/>
        </w:rPr>
        <w:t>5. Deep Draft Semis Validated by Shell</w:t>
      </w:r>
    </w:p>
    <w:p w14:paraId="2628FCDE" w14:textId="77777777" w:rsidR="00D60A05" w:rsidRPr="00D60A05" w:rsidRDefault="00D60A05" w:rsidP="00D60A05">
      <w:r w:rsidRPr="00D60A05">
        <w:t>Shell’s 2012 DDS study (AC12282785) independently confirms FrPS’s feasibility, with risers validated under severe storm conditions (100-year and 1,000-year hurricanes). DDS platforms consistently outperform TLPs and MODUs in riser response and operational resilience, marking FrPS as not only technically feasible but superior in real-world applications.</w:t>
      </w:r>
    </w:p>
    <w:p w14:paraId="0D799968" w14:textId="77777777" w:rsidR="00D60A05" w:rsidRPr="00D60A05" w:rsidRDefault="00D60A05" w:rsidP="00D60A05">
      <w:r w:rsidRPr="00D60A05">
        <w:rPr>
          <w:b/>
          <w:bCs/>
        </w:rPr>
        <w:t>6. Field Proven: Insights from Anchor, Jack/St Malo, and Others</w:t>
      </w:r>
    </w:p>
    <w:p w14:paraId="0CFEEC92" w14:textId="77777777" w:rsidR="00D60A05" w:rsidRPr="00D60A05" w:rsidRDefault="00D60A05" w:rsidP="00D60A05">
      <w:r w:rsidRPr="00D60A05">
        <w:t>Real-world data from developments such as Anchor, Jack/St Malo, and Big Foot illustrate FrPS’s practical advantages:</w:t>
      </w:r>
    </w:p>
    <w:p w14:paraId="2AC662F3" w14:textId="77777777" w:rsidR="00D60A05" w:rsidRPr="00D60A05" w:rsidRDefault="00D60A05" w:rsidP="00D60A05">
      <w:pPr>
        <w:numPr>
          <w:ilvl w:val="0"/>
          <w:numId w:val="4"/>
        </w:numPr>
      </w:pPr>
      <w:r w:rsidRPr="00D60A05">
        <w:t>Anchor’s initial phase confirmed subsea cost inefficiencies.</w:t>
      </w:r>
    </w:p>
    <w:p w14:paraId="17CEC9D0" w14:textId="77777777" w:rsidR="00D60A05" w:rsidRPr="00D60A05" w:rsidRDefault="00D60A05" w:rsidP="00D60A05">
      <w:pPr>
        <w:numPr>
          <w:ilvl w:val="0"/>
          <w:numId w:val="4"/>
        </w:numPr>
      </w:pPr>
      <w:r w:rsidRPr="00D60A05">
        <w:lastRenderedPageBreak/>
        <w:t>Jack/St Malo and Julia demonstrated intervention and downtime reduction potential with surface completions.</w:t>
      </w:r>
    </w:p>
    <w:p w14:paraId="7320F99D" w14:textId="77777777" w:rsidR="00D60A05" w:rsidRPr="00D60A05" w:rsidRDefault="00D60A05" w:rsidP="00D60A05">
      <w:pPr>
        <w:numPr>
          <w:ilvl w:val="0"/>
          <w:numId w:val="4"/>
        </w:numPr>
      </w:pPr>
      <w:r w:rsidRPr="00D60A05">
        <w:t>Big Foot’s successful ESP deployments validate FrPS’s artificial lift strategies.</w:t>
      </w:r>
    </w:p>
    <w:p w14:paraId="5315000F" w14:textId="77777777" w:rsidR="00D60A05" w:rsidRPr="00D60A05" w:rsidRDefault="00D60A05" w:rsidP="00D60A05">
      <w:r w:rsidRPr="00D60A05">
        <w:t>These examples substantiate FrPS’s substantial economic, operational, and environmental advantages over subsea alternatives.</w:t>
      </w:r>
    </w:p>
    <w:p w14:paraId="67B01B62" w14:textId="77777777" w:rsidR="00D60A05" w:rsidRPr="00D60A05" w:rsidRDefault="00D60A05" w:rsidP="00D60A05">
      <w:r w:rsidRPr="00D60A05">
        <w:rPr>
          <w:b/>
          <w:bCs/>
        </w:rPr>
        <w:t>7. Next Steps: Real Data, Real Decisions</w:t>
      </w:r>
    </w:p>
    <w:p w14:paraId="6A1779EE" w14:textId="77777777" w:rsidR="00D60A05" w:rsidRPr="00D60A05" w:rsidRDefault="00D60A05" w:rsidP="00D60A05">
      <w:r w:rsidRPr="00D60A05">
        <w:t>Reference contributor is leveraging real-time drilling, completion, and production data to finalize detailed field-by-field analyses, updating decline curves, completion effectiveness, intervention frequencies, and accurate financial modeling for fields like Kaskida and Shenandoah. This robust data-driven approach will empower clearer, more strategic FID decisions.</w:t>
      </w:r>
    </w:p>
    <w:p w14:paraId="21AD9EEB" w14:textId="77777777" w:rsidR="00D60A05" w:rsidRPr="00D60A05" w:rsidRDefault="00D60A05" w:rsidP="00D60A05">
      <w:r w:rsidRPr="00D60A05">
        <w:rPr>
          <w:b/>
          <w:bCs/>
        </w:rPr>
        <w:t>Conclusion: The Time for Dry Trees is Now</w:t>
      </w:r>
    </w:p>
    <w:p w14:paraId="1CB64FBA" w14:textId="77777777" w:rsidR="00D60A05" w:rsidRPr="00D60A05" w:rsidRDefault="00D60A05" w:rsidP="00D60A05">
      <w:r w:rsidRPr="00D60A05">
        <w:t>The Lower Tertiary awaits action, not further appraisal. Dry tree systems with FrPS represent a practical, economically superior, and environmentally responsible path forward. Operators who embrace this shift stand to gain substantial financial and operational advantages.</w:t>
      </w:r>
    </w:p>
    <w:p w14:paraId="191D4872" w14:textId="77777777" w:rsidR="00D60A05" w:rsidRPr="00D60A05" w:rsidRDefault="00D60A05" w:rsidP="00D60A05">
      <w:r w:rsidRPr="00D60A05">
        <w:t>The FrPS isn’t merely innovation—it is a necessity whose time has unquestionably arrived.</w:t>
      </w:r>
    </w:p>
    <w:p w14:paraId="58013B2C" w14:textId="77777777" w:rsidR="007D4F74" w:rsidRDefault="007D4F74"/>
    <w:sectPr w:rsidR="007D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EDB"/>
    <w:multiLevelType w:val="multilevel"/>
    <w:tmpl w:val="F37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54B6"/>
    <w:multiLevelType w:val="multilevel"/>
    <w:tmpl w:val="019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06452"/>
    <w:multiLevelType w:val="multilevel"/>
    <w:tmpl w:val="DC8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72E6E"/>
    <w:multiLevelType w:val="multilevel"/>
    <w:tmpl w:val="E64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C4003"/>
    <w:multiLevelType w:val="multilevel"/>
    <w:tmpl w:val="041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200258">
    <w:abstractNumId w:val="3"/>
  </w:num>
  <w:num w:numId="2" w16cid:durableId="1439911907">
    <w:abstractNumId w:val="4"/>
  </w:num>
  <w:num w:numId="3" w16cid:durableId="1503659695">
    <w:abstractNumId w:val="1"/>
  </w:num>
  <w:num w:numId="4" w16cid:durableId="1919748145">
    <w:abstractNumId w:val="0"/>
  </w:num>
  <w:num w:numId="5" w16cid:durableId="385689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A05"/>
    <w:rsid w:val="002E6BCC"/>
    <w:rsid w:val="007D4F74"/>
    <w:rsid w:val="00A83A3B"/>
    <w:rsid w:val="00C664FF"/>
    <w:rsid w:val="00D60A05"/>
    <w:rsid w:val="00DB0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F8249"/>
  <w15:chartTrackingRefBased/>
  <w15:docId w15:val="{2506E7BC-DD9A-4DDD-BB38-EAE9FAC5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A05"/>
    <w:rPr>
      <w:rFonts w:eastAsiaTheme="majorEastAsia" w:cstheme="majorBidi"/>
      <w:color w:val="272727" w:themeColor="text1" w:themeTint="D8"/>
    </w:rPr>
  </w:style>
  <w:style w:type="paragraph" w:styleId="Title">
    <w:name w:val="Title"/>
    <w:basedOn w:val="Normal"/>
    <w:next w:val="Normal"/>
    <w:link w:val="TitleChar"/>
    <w:uiPriority w:val="10"/>
    <w:qFormat/>
    <w:rsid w:val="00D60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A05"/>
    <w:pPr>
      <w:spacing w:before="160"/>
      <w:jc w:val="center"/>
    </w:pPr>
    <w:rPr>
      <w:i/>
      <w:iCs/>
      <w:color w:val="404040" w:themeColor="text1" w:themeTint="BF"/>
    </w:rPr>
  </w:style>
  <w:style w:type="character" w:customStyle="1" w:styleId="QuoteChar">
    <w:name w:val="Quote Char"/>
    <w:basedOn w:val="DefaultParagraphFont"/>
    <w:link w:val="Quote"/>
    <w:uiPriority w:val="29"/>
    <w:rsid w:val="00D60A05"/>
    <w:rPr>
      <w:i/>
      <w:iCs/>
      <w:color w:val="404040" w:themeColor="text1" w:themeTint="BF"/>
    </w:rPr>
  </w:style>
  <w:style w:type="paragraph" w:styleId="ListParagraph">
    <w:name w:val="List Paragraph"/>
    <w:basedOn w:val="Normal"/>
    <w:uiPriority w:val="34"/>
    <w:qFormat/>
    <w:rsid w:val="00D60A05"/>
    <w:pPr>
      <w:ind w:left="720"/>
      <w:contextualSpacing/>
    </w:pPr>
  </w:style>
  <w:style w:type="character" w:styleId="IntenseEmphasis">
    <w:name w:val="Intense Emphasis"/>
    <w:basedOn w:val="DefaultParagraphFont"/>
    <w:uiPriority w:val="21"/>
    <w:qFormat/>
    <w:rsid w:val="00D60A05"/>
    <w:rPr>
      <w:i/>
      <w:iCs/>
      <w:color w:val="0F4761" w:themeColor="accent1" w:themeShade="BF"/>
    </w:rPr>
  </w:style>
  <w:style w:type="paragraph" w:styleId="IntenseQuote">
    <w:name w:val="Intense Quote"/>
    <w:basedOn w:val="Normal"/>
    <w:next w:val="Normal"/>
    <w:link w:val="IntenseQuoteChar"/>
    <w:uiPriority w:val="30"/>
    <w:qFormat/>
    <w:rsid w:val="00D60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A05"/>
    <w:rPr>
      <w:i/>
      <w:iCs/>
      <w:color w:val="0F4761" w:themeColor="accent1" w:themeShade="BF"/>
    </w:rPr>
  </w:style>
  <w:style w:type="character" w:styleId="IntenseReference">
    <w:name w:val="Intense Reference"/>
    <w:basedOn w:val="DefaultParagraphFont"/>
    <w:uiPriority w:val="32"/>
    <w:qFormat/>
    <w:rsid w:val="00D60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1097</Words>
  <Characters>6256</Characters>
  <Application>Microsoft Office Word</Application>
  <DocSecurity>0</DocSecurity>
  <Lines>52</Lines>
  <Paragraphs>14</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Shilling</dc:creator>
  <cp:keywords/>
  <dc:description/>
  <cp:lastModifiedBy>Roy Shilling</cp:lastModifiedBy>
  <cp:revision>3</cp:revision>
  <dcterms:created xsi:type="dcterms:W3CDTF">2025-07-19T18:44:00Z</dcterms:created>
  <dcterms:modified xsi:type="dcterms:W3CDTF">2025-07-19T18:45:00Z</dcterms:modified>
</cp:coreProperties>
</file>