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BSEE Lower Tertiary Data Analysis — Summary Report</w:t>
      </w:r>
    </w:p>
    <w:p>
      <w:pPr>
        <w:pStyle w:val="Heading1"/>
      </w:pPr>
      <w:r>
        <w:t>1. Introduction</w:t>
      </w:r>
    </w:p>
    <w:p>
      <w:r>
        <w:t>This report documents the comprehensive analytical effort undertaken to process, interpret, and model the Bureau of Safety and Environmental Enforcement (BSEE) well activity data from the Gulf of Mexico’s Lower Tertiary trend. The Lower Tertiary, representing some of the deepest and most technically challenging offshore reservoirs, has historically lacked a standardized dataset to support cross-field analysis of drilling and completion performance, production trends, and development economics.</w:t>
      </w:r>
    </w:p>
    <w:p>
      <w:pPr>
        <w:pStyle w:val="Heading1"/>
      </w:pPr>
      <w:r>
        <w:t>2. Data Sources and Scope</w:t>
      </w:r>
    </w:p>
    <w:p>
      <w:r>
        <w:t>The project centered around parsing and structuring well-level records from BSEE WAR (Well Activity Report) files, including:</w:t>
        <w:br/>
        <w:t>- mv_war_main.txt</w:t>
        <w:br/>
        <w:t>- mv_war_main_prop_remark.txt</w:t>
        <w:br/>
        <w:t>- mv_war_main_prop.txt</w:t>
        <w:br/>
        <w:br/>
        <w:t>These files contain chronological activity records, free-text remarks, and metadata on drilling operations across thousands of wells in the Gulf of Mexico. Lease-level filtering was implemented to isolate fields of interest, including Jack/St. Malo, Anchor, Cascade/Chinook, Stones, Julia, Shenandoah, Kaskida, and Tiber.</w:t>
      </w:r>
    </w:p>
    <w:p>
      <w:pPr>
        <w:pStyle w:val="Heading1"/>
      </w:pPr>
      <w:r>
        <w:t>3. Methodology</w:t>
      </w:r>
    </w:p>
    <w:p>
      <w:r>
        <w:t>The workflow was built around a set of modular Python scripts that processed raw BSEE data to produce structured outputs. Key phases of the methodology include:</w:t>
        <w:br/>
        <w:br/>
        <w:t>• Lease-based filtering using standardized lease lists from `leases.xlsx`, supporting grouped analysis (e.g., Cascade + Chinook).</w:t>
        <w:br/>
        <w:t>• Remark parsing logic that infers spud dates, sidetrack kickoffs, total depth (TD) milestones, and completion windows.</w:t>
        <w:br/>
        <w:t>• Reconstruction of continuous rig-on-well timelines using a combination of WAR_START_DT and remark triggers.</w:t>
        <w:br/>
        <w:t>• Capture of operational metadata such as maximum measured depth, mud weights, and casing intervals.</w:t>
        <w:br/>
        <w:t>• Calculation of drilling and completion days per well, with custom logic to handle long inactivity gaps and multi-segment wells.</w:t>
        <w:br/>
        <w:t>• Export of final timelines and operational summaries to Excel for cross-validation.</w:t>
      </w:r>
    </w:p>
    <w:p>
      <w:pPr>
        <w:pStyle w:val="Heading1"/>
      </w:pPr>
      <w:r>
        <w:t>4. Technical Findings</w:t>
      </w:r>
    </w:p>
    <w:p>
      <w:r>
        <w:t>Analysis across more than a dozen Lower Tertiary wells revealed several key technical insights:</w:t>
        <w:br/>
        <w:br/>
        <w:t>- Spud-to-TD timelines varied significantly by field and design, ranging from 70 to 300+ days depending on sidetracks and rig movement.</w:t>
        <w:br/>
        <w:t>- Completion windows were often separated from drilling by months or years, requiring logic to handle large gaps.</w:t>
        <w:br/>
        <w:t>- Sidetracks were reliably identifiable via phrases such as 'kicked off bypass', 'window milled', and 'sidetrack initiated'.</w:t>
        <w:br/>
        <w:t>- Maximum TD and associated mud weights were captured from remarks with over 90% reliability across the dataset.</w:t>
        <w:br/>
        <w:t>- Several fields (e.g., Anchor and Kaskida) showed evolving well design trends across successive development wells.</w:t>
      </w:r>
    </w:p>
    <w:p>
      <w:pPr>
        <w:pStyle w:val="Heading1"/>
      </w:pPr>
      <w:r>
        <w:t>5. Financial Modeling and Lease-Level Outputs</w:t>
      </w:r>
    </w:p>
    <w:p>
      <w:r>
        <w:t>The structured drilling and completion timeline data was integrated into a lease-level economic model (Financial Analysis V18). This model:</w:t>
        <w:br/>
        <w:br/>
        <w:t>- Combines monthly production, revenue, and CapEx data.</w:t>
        <w:br/>
        <w:t>- Groups leases into project-level worksheets (e.g., 'Cascade Chinook', 'Jack') for clarity.</w:t>
        <w:br/>
        <w:t>- Applies tax, royalty, and pricing assumptions to calculate net cash flow.</w:t>
        <w:br/>
        <w:t>- Produces formatted Excel workbooks with a README, executive summary, debug sheets, and grouped monthly tabs.</w:t>
        <w:br/>
        <w:br/>
        <w:t>This integrated output allows analysts to quickly assess well-level efficiency, lease performance, and economic viability.</w:t>
      </w:r>
    </w:p>
    <w:p>
      <w:pPr>
        <w:pStyle w:val="Heading1"/>
      </w:pPr>
      <w:r>
        <w:t>6. Use Cases and Strategic Applications</w:t>
      </w:r>
    </w:p>
    <w:p>
      <w:r>
        <w:t>The cleaned and processed BSEE dataset supports multiple high-value use cases:</w:t>
        <w:br/>
        <w:br/>
        <w:t>- Benchmarking of drilling durations across operators and fields</w:t>
        <w:br/>
        <w:t>- Identifying high-performing or underperforming wells</w:t>
        <w:br/>
        <w:t>- Supporting trade-off analysis between subsea vs. dry tree development</w:t>
        <w:br/>
        <w:t>- Enabling decline curve analysis using monthly production history</w:t>
        <w:br/>
        <w:t>- Facilitating investor presentations and technical marketing of low-cost alternatives (e.g., FrPS)</w:t>
        <w:br/>
        <w:t>- Comparing mud weight strategies, sidetrack frequency, and completion timing</w:t>
      </w:r>
    </w:p>
    <w:p>
      <w:pPr>
        <w:pStyle w:val="Heading1"/>
      </w:pPr>
      <w:r>
        <w:t>7. Future Work and Enhancements</w:t>
      </w:r>
    </w:p>
    <w:p>
      <w:r>
        <w:t>Ongoing development includes:</w:t>
        <w:br/>
        <w:br/>
        <w:t>- Automating decline curve fitting and EUR estimation</w:t>
        <w:br/>
        <w:t>- Adding visuals: drilling timeline charts, cost per foot bar graphs, completion histograms</w:t>
        <w:br/>
        <w:t>- Extending WAR parsing to capture recompletions and interventions</w:t>
        <w:br/>
        <w:t>- Building a web-based dashboard to visualize field performance</w:t>
        <w:br/>
        <w:t>- Linking financial model outputs with Monte Carlo risk scenarios for economic stress testing</w:t>
        <w:br/>
        <w:t>- Publishing selected findings in trade journals such as *World Oil* or *Journal of Petroleum Technology*</w:t>
      </w:r>
    </w:p>
    <w:p>
      <w:pPr>
        <w:pStyle w:val="Heading1"/>
      </w:pPr>
      <w:r>
        <w:t>8. Conclusion</w:t>
      </w:r>
    </w:p>
    <w:p>
      <w:r>
        <w:t>This project has successfully transformed a large, unstructured government dataset into a usable tool for technical and economic analysis. By integrating drilling, completion, and production data, the workflow enables both granular well-level review and high-level lease grouping. The output is now robust enough to support peer-reviewed publications, industry briefings, and strategic decision-making for Lower Tertiary developments.</w:t>
      </w:r>
    </w:p>
    <w:p>
      <w:r>
        <w:br/>
        <w:t>Prepared on August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