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Security Architecture Specification v1</w:t>
      </w:r>
    </w:p>
    <w:p>
      <w:r>
        <w:t>Tenant Isolation: Strict row-level security and isolated storage directories.</w:t>
      </w:r>
    </w:p>
    <w:p>
      <w:r>
        <w:t>AST SQL Guardrails: All write/DDL queries are parsed and rejected by AST safety rules.</w:t>
      </w:r>
    </w:p>
    <w:p>
      <w:r>
        <w:t>Role-Based Access Control: Granular permissions for Admin, Manager, Member, Viewer.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