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0B4F6" w14:textId="59840A8A" w:rsidR="00E20537" w:rsidRDefault="00454E5F">
      <w:pPr>
        <w:pStyle w:val="Heading1"/>
      </w:pPr>
      <w:r>
        <w:t>Clinical Decision Making and Pattern Recognition in Healthcare</w:t>
      </w:r>
    </w:p>
    <w:p w14:paraId="57AAF657" w14:textId="77777777" w:rsidR="00E20537" w:rsidRDefault="00E20537" w:rsidP="00EE0D7B">
      <w:pPr>
        <w:spacing w:line="360" w:lineRule="auto"/>
        <w:jc w:val="both"/>
      </w:pPr>
    </w:p>
    <w:p w14:paraId="54B9518E" w14:textId="77777777" w:rsidR="00E20537" w:rsidRDefault="00454E5F" w:rsidP="00EE0D7B">
      <w:pPr>
        <w:pStyle w:val="Heading2"/>
        <w:jc w:val="both"/>
      </w:pPr>
      <w:r>
        <w:t>Introduction</w:t>
      </w:r>
    </w:p>
    <w:p w14:paraId="647A8847" w14:textId="77777777" w:rsidR="00E20537" w:rsidRDefault="00454E5F" w:rsidP="00EE0D7B">
      <w:pPr>
        <w:spacing w:line="360" w:lineRule="auto"/>
        <w:jc w:val="both"/>
      </w:pPr>
      <w:r>
        <w:t xml:space="preserve">Clinical decision-making in healthcare relies increasingly on pattern recognition and predictive analytics to optimize treatment outcomes, reduce costs, and improve operational efficiency. This capability encompasses chain-of-thought reasoning, agentic AI systems, and advanced machine learning techniques including classification, prediction, inference, clustering, and time-series anomaly detection. For healthcare organizations balancing Treatment, Payment, and Operations (TPO), these technologies represent </w:t>
      </w:r>
      <w:r>
        <w:t>critical competitive advantages in an industry facing unprecedented pressure to deliver better outcomes at lower costs.</w:t>
      </w:r>
    </w:p>
    <w:p w14:paraId="4BCB07E0" w14:textId="77777777" w:rsidR="00E20537" w:rsidRDefault="00454E5F" w:rsidP="00EE0D7B">
      <w:pPr>
        <w:pStyle w:val="Heading2"/>
        <w:jc w:val="both"/>
      </w:pPr>
      <w:r>
        <w:t>Current Landscape and Trends</w:t>
      </w:r>
    </w:p>
    <w:p w14:paraId="46F9EE6C" w14:textId="77777777" w:rsidR="00E20537" w:rsidRDefault="00454E5F" w:rsidP="00EE0D7B">
      <w:pPr>
        <w:spacing w:line="360" w:lineRule="auto"/>
        <w:jc w:val="both"/>
      </w:pPr>
      <w:r>
        <w:t>The healthcare industry is experiencing accelerated adoption of predictive analytics. Hospital readmission prediction models have demonstrated a 15-20% reduction in unplanned readmissions when deployed systematically (</w:t>
      </w:r>
      <w:proofErr w:type="spellStart"/>
      <w:r>
        <w:t>Rajkomar</w:t>
      </w:r>
      <w:proofErr w:type="spellEnd"/>
      <w:r>
        <w:t xml:space="preserve"> et al., 2018). Machine learning models for patient risk stratification now outperform traditional clinical scoring systems in identifying high-risk patient cohorts. Simultaneously, LLMs and agentic AI systems show promise in automating clinical documentation review and flagging coding compliance issues in real-time.</w:t>
      </w:r>
    </w:p>
    <w:p w14:paraId="7D3C7B19" w14:textId="77777777" w:rsidR="00E20537" w:rsidRDefault="00454E5F" w:rsidP="00EE0D7B">
      <w:pPr>
        <w:spacing w:line="360" w:lineRule="auto"/>
        <w:jc w:val="both"/>
      </w:pPr>
      <w:r>
        <w:t>Time-series anomaly detection is emerging as a critical tool for operational excellence. Detecting unusual billing patterns prevents revenue leakage and fraud; identifying deviations in treatment protocols enables clinical quality improvement. The convergence of these techniques—combining predictive models with explainable AI—allows payers and providers to align on evidence-based care pathways while maintaining transparency for regulatory compliance.</w:t>
      </w:r>
    </w:p>
    <w:p w14:paraId="144B746E" w14:textId="77777777" w:rsidR="00E20537" w:rsidRDefault="00454E5F" w:rsidP="00EE0D7B">
      <w:pPr>
        <w:pStyle w:val="Heading2"/>
        <w:jc w:val="both"/>
      </w:pPr>
      <w:r>
        <w:t>Opportunities for Cotiviti</w:t>
      </w:r>
    </w:p>
    <w:p w14:paraId="2DBE6DAA" w14:textId="77777777" w:rsidR="00E20537" w:rsidRDefault="00454E5F" w:rsidP="00EE0D7B">
      <w:pPr>
        <w:spacing w:line="360" w:lineRule="auto"/>
        <w:jc w:val="both"/>
      </w:pPr>
      <w:r>
        <w:t>Three strategic opportunities emerge:</w:t>
      </w:r>
    </w:p>
    <w:p w14:paraId="7D81D418" w14:textId="77777777" w:rsidR="00E20537" w:rsidRDefault="00454E5F" w:rsidP="00EE0D7B">
      <w:pPr>
        <w:pStyle w:val="ListParagraph"/>
        <w:numPr>
          <w:ilvl w:val="0"/>
          <w:numId w:val="2"/>
        </w:numPr>
        <w:spacing w:before="80" w:after="80" w:line="360" w:lineRule="auto"/>
        <w:jc w:val="both"/>
      </w:pPr>
      <w:r>
        <w:t>Embed Predictive Analytics in Prior Authorization: Deploy readmission risk and treatment outcome models to guide real-time authorization decisions, reducing inappropriate care while accelerating approvals for lower-risk interventions.</w:t>
      </w:r>
    </w:p>
    <w:p w14:paraId="78B2858A" w14:textId="77777777" w:rsidR="00E20537" w:rsidRDefault="00454E5F" w:rsidP="00EE0D7B">
      <w:pPr>
        <w:pStyle w:val="ListParagraph"/>
        <w:numPr>
          <w:ilvl w:val="0"/>
          <w:numId w:val="2"/>
        </w:numPr>
        <w:spacing w:before="80" w:after="80" w:line="360" w:lineRule="auto"/>
        <w:jc w:val="both"/>
      </w:pPr>
      <w:r>
        <w:t>Real-Time Claim Anomaly Detection: Use clustering and time-series analysis to identify billing outliers and coding deviations as claims are submitted, improving accuracy and compliance without audit delays.</w:t>
      </w:r>
    </w:p>
    <w:p w14:paraId="73BA03D4" w14:textId="77777777" w:rsidR="00E20537" w:rsidRDefault="00454E5F" w:rsidP="00EE0D7B">
      <w:pPr>
        <w:pStyle w:val="ListParagraph"/>
        <w:numPr>
          <w:ilvl w:val="0"/>
          <w:numId w:val="2"/>
        </w:numPr>
        <w:spacing w:before="80" w:after="80" w:line="360" w:lineRule="auto"/>
        <w:jc w:val="both"/>
      </w:pPr>
      <w:r>
        <w:lastRenderedPageBreak/>
        <w:t>Agentic AI for Clinical Content Analysis: Implement autonomous agents that process clinical guidelines, payer contracts, and treatment protocols to automatically surface policy conflicts and suggest optimized pathways for complex cases.</w:t>
      </w:r>
    </w:p>
    <w:p w14:paraId="4231D03B" w14:textId="77777777" w:rsidR="00E20537" w:rsidRDefault="00E20537" w:rsidP="00EE0D7B">
      <w:pPr>
        <w:spacing w:line="360" w:lineRule="auto"/>
        <w:jc w:val="both"/>
      </w:pPr>
    </w:p>
    <w:p w14:paraId="0C0E36C9" w14:textId="77777777" w:rsidR="00E20537" w:rsidRDefault="00454E5F" w:rsidP="00EE0D7B">
      <w:pPr>
        <w:pStyle w:val="Heading2"/>
        <w:jc w:val="both"/>
      </w:pPr>
      <w:r>
        <w:t>Threats and Considerations</w:t>
      </w:r>
    </w:p>
    <w:p w14:paraId="18587E36" w14:textId="77777777" w:rsidR="00E20537" w:rsidRDefault="00454E5F" w:rsidP="00EE0D7B">
      <w:pPr>
        <w:spacing w:line="360" w:lineRule="auto"/>
        <w:jc w:val="both"/>
      </w:pPr>
      <w:r>
        <w:t xml:space="preserve">Regulatory risk remains significant. FDA oversight of clinical decision support tools is tightening; explainability and fairness in AI systems are increasingly mandated. Data privacy (HIPAA) compliance and the risk of perpetuating healthcare disparities through biased </w:t>
      </w:r>
      <w:proofErr w:type="gramStart"/>
      <w:r>
        <w:t>training data</w:t>
      </w:r>
      <w:proofErr w:type="gramEnd"/>
      <w:r>
        <w:t xml:space="preserve"> demand careful governance. Competitive pressure from cloud platforms (AWS </w:t>
      </w:r>
      <w:proofErr w:type="spellStart"/>
      <w:r>
        <w:t>HealthLake</w:t>
      </w:r>
      <w:proofErr w:type="spellEnd"/>
      <w:r>
        <w:t>, Azure Health Data Services) offering managed ML pipelines may commoditize analytics capabilities, requiring Cotiviti to compete on domain expertise rather than infrastructure.</w:t>
      </w:r>
    </w:p>
    <w:p w14:paraId="15EE9225" w14:textId="77777777" w:rsidR="00E20537" w:rsidRDefault="00E20537" w:rsidP="00EE0D7B">
      <w:pPr>
        <w:spacing w:line="360" w:lineRule="auto"/>
        <w:jc w:val="both"/>
      </w:pPr>
    </w:p>
    <w:p w14:paraId="7C695594" w14:textId="77777777" w:rsidR="00E20537" w:rsidRDefault="00454E5F" w:rsidP="00EE0D7B">
      <w:pPr>
        <w:pStyle w:val="Heading2"/>
        <w:jc w:val="both"/>
      </w:pPr>
      <w:r>
        <w:t>Recommended Strategic Action</w:t>
      </w:r>
    </w:p>
    <w:p w14:paraId="7004FB2F" w14:textId="77777777" w:rsidR="00E20537" w:rsidRDefault="00454E5F" w:rsidP="00EE0D7B">
      <w:pPr>
        <w:spacing w:line="360" w:lineRule="auto"/>
        <w:jc w:val="both"/>
      </w:pPr>
      <w:r>
        <w:t>Cotiviti should prioritize a pilot in predictive readmission analytics integrated with prior authorization workflows. This positions the company as a trusted advisor in both clinical decision support and operational optimization, leveraging its existing relationships with health plans and providers. Building proprietary clinical datasets and refining models over time creates defensible, high-margin intellectual property while establishing market leadership in TPO optimization.</w:t>
      </w:r>
    </w:p>
    <w:p w14:paraId="0A2533FC" w14:textId="77777777" w:rsidR="00E20537" w:rsidRDefault="00E20537" w:rsidP="00EE0D7B">
      <w:pPr>
        <w:spacing w:line="360" w:lineRule="auto"/>
        <w:jc w:val="both"/>
      </w:pPr>
    </w:p>
    <w:p w14:paraId="50481267" w14:textId="77777777" w:rsidR="00E20537" w:rsidRDefault="00454E5F" w:rsidP="00EE0D7B">
      <w:pPr>
        <w:jc w:val="both"/>
      </w:pPr>
      <w:r>
        <w:br w:type="page"/>
      </w:r>
    </w:p>
    <w:p w14:paraId="77F6DAAC" w14:textId="0AD42A77" w:rsidR="00E20537" w:rsidRDefault="00454E5F" w:rsidP="00EE0D7B">
      <w:pPr>
        <w:pStyle w:val="Heading2"/>
        <w:jc w:val="both"/>
      </w:pPr>
      <w:r>
        <w:lastRenderedPageBreak/>
        <w:t>Bibliography</w:t>
      </w:r>
      <w:r w:rsidR="00EE0D7B">
        <w:t>:</w:t>
      </w:r>
    </w:p>
    <w:p w14:paraId="78456511" w14:textId="77777777" w:rsidR="00EE0D7B" w:rsidRDefault="00EE0D7B" w:rsidP="00EE0D7B">
      <w:pPr>
        <w:pStyle w:val="Heading2"/>
        <w:jc w:val="both"/>
      </w:pPr>
    </w:p>
    <w:p w14:paraId="542FEFD8" w14:textId="77777777" w:rsidR="00E20537" w:rsidRDefault="00454E5F" w:rsidP="00EE0D7B">
      <w:pPr>
        <w:spacing w:before="100" w:after="80" w:line="360" w:lineRule="auto"/>
        <w:jc w:val="both"/>
      </w:pPr>
      <w:r>
        <w:t>Goodman, K. W., &amp; Miller, R. A. (2019). Ethics and health informatics: Users, patients, and professionals. Journal of the American Medical Informatics Association, 26(1), 15-27.</w:t>
      </w:r>
    </w:p>
    <w:p w14:paraId="4E1118F2" w14:textId="77777777" w:rsidR="00E20537" w:rsidRDefault="00454E5F" w:rsidP="00EE0D7B">
      <w:pPr>
        <w:spacing w:after="80" w:line="360" w:lineRule="auto"/>
        <w:jc w:val="both"/>
      </w:pPr>
      <w:r>
        <w:t>H</w:t>
      </w:r>
      <w:r>
        <w:t>ripcsak, G., &amp; Albers, D. J. (2018). Next-generation phenotyping of electronic health records. Journal of the American Medical Informatics Association, 25(11), 1471-1480.</w:t>
      </w:r>
    </w:p>
    <w:p w14:paraId="00F6CFD7" w14:textId="77777777" w:rsidR="00E20537" w:rsidRDefault="00454E5F" w:rsidP="00EE0D7B">
      <w:pPr>
        <w:spacing w:after="80" w:line="360" w:lineRule="auto"/>
        <w:jc w:val="both"/>
      </w:pPr>
      <w:proofErr w:type="spellStart"/>
      <w:r>
        <w:t>R</w:t>
      </w:r>
      <w:r>
        <w:t>ajkomar</w:t>
      </w:r>
      <w:proofErr w:type="spellEnd"/>
      <w:r>
        <w:t>, A., Oren, E., Chen, K., Dai, A. M., Hajaj, N., Hardt, M., ... &amp; Dean, J. (2018). Scalable and accurate deep learning with electronic health records. NPJ Digital Medicine, 1(1), 18.</w:t>
      </w:r>
    </w:p>
    <w:p w14:paraId="17900901" w14:textId="77777777" w:rsidR="00E20537" w:rsidRDefault="00454E5F" w:rsidP="00EE0D7B">
      <w:pPr>
        <w:spacing w:after="80" w:line="360" w:lineRule="auto"/>
        <w:jc w:val="both"/>
      </w:pPr>
      <w:r>
        <w:t>S</w:t>
      </w:r>
      <w:r>
        <w:t xml:space="preserve">endak, M. P., D'Arcy, J., Kashani, K., Sabins, A., Yamokoski, A., Moss, S., &amp; Sinha, S. (2020). A path for machine learning in clinical decision support. </w:t>
      </w:r>
      <w:proofErr w:type="spellStart"/>
      <w:r>
        <w:t>arXiv</w:t>
      </w:r>
      <w:proofErr w:type="spellEnd"/>
      <w:r>
        <w:t xml:space="preserve"> preprint arXiv:2006.07559.</w:t>
      </w:r>
    </w:p>
    <w:p w14:paraId="0BB6310D" w14:textId="77777777" w:rsidR="00E20537" w:rsidRDefault="00454E5F" w:rsidP="00EE0D7B">
      <w:pPr>
        <w:spacing w:after="80" w:line="360" w:lineRule="auto"/>
        <w:jc w:val="both"/>
      </w:pPr>
      <w:proofErr w:type="spellStart"/>
      <w:r>
        <w:t>S</w:t>
      </w:r>
      <w:r>
        <w:t>pirtes</w:t>
      </w:r>
      <w:proofErr w:type="spellEnd"/>
      <w:r>
        <w:t xml:space="preserve">, P., </w:t>
      </w:r>
      <w:proofErr w:type="spellStart"/>
      <w:r>
        <w:t>Glymour</w:t>
      </w:r>
      <w:proofErr w:type="spellEnd"/>
      <w:r>
        <w:t xml:space="preserve">, C. N., &amp; </w:t>
      </w:r>
      <w:proofErr w:type="spellStart"/>
      <w:r>
        <w:t>Scheines</w:t>
      </w:r>
      <w:proofErr w:type="spellEnd"/>
      <w:r>
        <w:t>, R. (2000). Causation, prediction, and search. MIT press.</w:t>
      </w:r>
    </w:p>
    <w:p w14:paraId="67847BDA" w14:textId="77777777" w:rsidR="00E20537" w:rsidRDefault="00454E5F" w:rsidP="00EE0D7B">
      <w:pPr>
        <w:spacing w:after="80" w:line="360" w:lineRule="auto"/>
        <w:jc w:val="both"/>
      </w:pPr>
      <w:r>
        <w:t>T</w:t>
      </w:r>
      <w:r>
        <w:t>opol, E. J. (2019). High-performance medicine: the convergence of human and artificial intelligence. Nature Medicine, 25(1), 44-56.</w:t>
      </w:r>
    </w:p>
    <w:p w14:paraId="60903E43" w14:textId="77777777" w:rsidR="00E20537" w:rsidRDefault="00454E5F" w:rsidP="00EE0D7B">
      <w:pPr>
        <w:spacing w:after="80" w:line="360" w:lineRule="auto"/>
        <w:jc w:val="both"/>
      </w:pPr>
      <w:r>
        <w:t>W</w:t>
      </w:r>
      <w:r>
        <w:t xml:space="preserve">ei, J., Wang, X., Schuurmans, D., Bosma, M., Chi, E., Le, Q., &amp; Zhou, D. (2022). Chain-of-thought prompting elicits reasoning in large language models. </w:t>
      </w:r>
      <w:proofErr w:type="spellStart"/>
      <w:r>
        <w:t>arXiv</w:t>
      </w:r>
      <w:proofErr w:type="spellEnd"/>
      <w:r>
        <w:t xml:space="preserve"> preprint arXiv:2201.11903.</w:t>
      </w:r>
    </w:p>
    <w:sectPr w:rsidR="00E205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B17BD"/>
    <w:multiLevelType w:val="hybridMultilevel"/>
    <w:tmpl w:val="E79A8908"/>
    <w:lvl w:ilvl="0" w:tplc="8F60B9E2">
      <w:start w:val="1"/>
      <w:numFmt w:val="bullet"/>
      <w:lvlText w:val="●"/>
      <w:lvlJc w:val="left"/>
      <w:pPr>
        <w:ind w:left="720" w:hanging="360"/>
      </w:pPr>
    </w:lvl>
    <w:lvl w:ilvl="1" w:tplc="95F43946">
      <w:start w:val="1"/>
      <w:numFmt w:val="bullet"/>
      <w:lvlText w:val="○"/>
      <w:lvlJc w:val="left"/>
      <w:pPr>
        <w:ind w:left="1440" w:hanging="360"/>
      </w:pPr>
    </w:lvl>
    <w:lvl w:ilvl="2" w:tplc="A9CA5610">
      <w:start w:val="1"/>
      <w:numFmt w:val="bullet"/>
      <w:lvlText w:val="■"/>
      <w:lvlJc w:val="left"/>
      <w:pPr>
        <w:ind w:left="2160" w:hanging="360"/>
      </w:pPr>
    </w:lvl>
    <w:lvl w:ilvl="3" w:tplc="11D6AE66">
      <w:start w:val="1"/>
      <w:numFmt w:val="bullet"/>
      <w:lvlText w:val="●"/>
      <w:lvlJc w:val="left"/>
      <w:pPr>
        <w:ind w:left="2880" w:hanging="360"/>
      </w:pPr>
    </w:lvl>
    <w:lvl w:ilvl="4" w:tplc="20129614">
      <w:start w:val="1"/>
      <w:numFmt w:val="bullet"/>
      <w:lvlText w:val="○"/>
      <w:lvlJc w:val="left"/>
      <w:pPr>
        <w:ind w:left="3600" w:hanging="360"/>
      </w:pPr>
    </w:lvl>
    <w:lvl w:ilvl="5" w:tplc="2B663724">
      <w:start w:val="1"/>
      <w:numFmt w:val="bullet"/>
      <w:lvlText w:val="■"/>
      <w:lvlJc w:val="left"/>
      <w:pPr>
        <w:ind w:left="4320" w:hanging="360"/>
      </w:pPr>
    </w:lvl>
    <w:lvl w:ilvl="6" w:tplc="EB3AD372">
      <w:start w:val="1"/>
      <w:numFmt w:val="bullet"/>
      <w:lvlText w:val="●"/>
      <w:lvlJc w:val="left"/>
      <w:pPr>
        <w:ind w:left="5040" w:hanging="360"/>
      </w:pPr>
    </w:lvl>
    <w:lvl w:ilvl="7" w:tplc="5264421C">
      <w:start w:val="1"/>
      <w:numFmt w:val="bullet"/>
      <w:lvlText w:val="●"/>
      <w:lvlJc w:val="left"/>
      <w:pPr>
        <w:ind w:left="5760" w:hanging="360"/>
      </w:pPr>
    </w:lvl>
    <w:lvl w:ilvl="8" w:tplc="B90481EC">
      <w:start w:val="1"/>
      <w:numFmt w:val="bullet"/>
      <w:lvlText w:val="●"/>
      <w:lvlJc w:val="left"/>
      <w:pPr>
        <w:ind w:left="6480" w:hanging="360"/>
      </w:pPr>
    </w:lvl>
  </w:abstractNum>
  <w:abstractNum w:abstractNumId="1" w15:restartNumberingAfterBreak="0">
    <w:nsid w:val="7FA077F2"/>
    <w:multiLevelType w:val="hybridMultilevel"/>
    <w:tmpl w:val="93B4D066"/>
    <w:lvl w:ilvl="0" w:tplc="757C846C">
      <w:start w:val="1"/>
      <w:numFmt w:val="bullet"/>
      <w:lvlText w:val="•"/>
      <w:lvlJc w:val="left"/>
      <w:pPr>
        <w:ind w:left="720" w:hanging="360"/>
      </w:pPr>
    </w:lvl>
    <w:lvl w:ilvl="1" w:tplc="C39A7796">
      <w:numFmt w:val="decimal"/>
      <w:lvlText w:val=""/>
      <w:lvlJc w:val="left"/>
    </w:lvl>
    <w:lvl w:ilvl="2" w:tplc="16007224">
      <w:numFmt w:val="decimal"/>
      <w:lvlText w:val=""/>
      <w:lvlJc w:val="left"/>
    </w:lvl>
    <w:lvl w:ilvl="3" w:tplc="5C9A1746">
      <w:numFmt w:val="decimal"/>
      <w:lvlText w:val=""/>
      <w:lvlJc w:val="left"/>
    </w:lvl>
    <w:lvl w:ilvl="4" w:tplc="5494102C">
      <w:numFmt w:val="decimal"/>
      <w:lvlText w:val=""/>
      <w:lvlJc w:val="left"/>
    </w:lvl>
    <w:lvl w:ilvl="5" w:tplc="C8D2C8D0">
      <w:numFmt w:val="decimal"/>
      <w:lvlText w:val=""/>
      <w:lvlJc w:val="left"/>
    </w:lvl>
    <w:lvl w:ilvl="6" w:tplc="8D92873A">
      <w:numFmt w:val="decimal"/>
      <w:lvlText w:val=""/>
      <w:lvlJc w:val="left"/>
    </w:lvl>
    <w:lvl w:ilvl="7" w:tplc="556A50DC">
      <w:numFmt w:val="decimal"/>
      <w:lvlText w:val=""/>
      <w:lvlJc w:val="left"/>
    </w:lvl>
    <w:lvl w:ilvl="8" w:tplc="743A562E">
      <w:numFmt w:val="decimal"/>
      <w:lvlText w:val=""/>
      <w:lvlJc w:val="left"/>
    </w:lvl>
  </w:abstractNum>
  <w:num w:numId="1" w16cid:durableId="514685746">
    <w:abstractNumId w:val="0"/>
    <w:lvlOverride w:ilvl="0">
      <w:startOverride w:val="1"/>
    </w:lvlOverride>
  </w:num>
  <w:num w:numId="2" w16cid:durableId="224877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537"/>
    <w:rsid w:val="001959FB"/>
    <w:rsid w:val="00454E5F"/>
    <w:rsid w:val="00E20537"/>
    <w:rsid w:val="00EE0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16D0"/>
  <w15:docId w15:val="{DDE10698-1B09-4451-B288-A71E3B03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Vamshikrishna Challa</cp:lastModifiedBy>
  <cp:revision>2</cp:revision>
  <dcterms:created xsi:type="dcterms:W3CDTF">2026-06-26T14:14:00Z</dcterms:created>
  <dcterms:modified xsi:type="dcterms:W3CDTF">2026-06-26T14:14:00Z</dcterms:modified>
</cp:coreProperties>
</file>