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635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Here are some common reasons why this error might occur and possible solutions: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1. </w:t>
      </w:r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>DNS Issues</w:t>
      </w:r>
    </w:p>
    <w:p w:rsidR="00F6357B" w:rsidRPr="00F6357B" w:rsidRDefault="00F6357B" w:rsidP="00F6357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Description:</w:t>
      </w:r>
      <w:r w:rsidRPr="00F635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If the server's fully qualified domain name (FQDN) cannot be resolved correctly by the client, this error might occur.</w:t>
      </w:r>
    </w:p>
    <w:p w:rsidR="00F6357B" w:rsidRPr="00F6357B" w:rsidRDefault="00F6357B" w:rsidP="00F6357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Solution:</w:t>
      </w:r>
      <w:r w:rsidRPr="00F635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Check DNS settings and ensure that both the client and server can resolve each other's FQDNs. Use the </w:t>
      </w:r>
      <w:r w:rsidRPr="00F6357B">
        <w:rPr>
          <w:rFonts w:ascii="Courier New" w:eastAsia="Times New Roman" w:hAnsi="Courier New" w:cs="Courier New"/>
          <w:b/>
          <w:bCs/>
          <w:color w:val="0D0D0D"/>
          <w:sz w:val="21"/>
          <w:lang w:eastAsia="en-IN"/>
        </w:rPr>
        <w:t>ping</w:t>
      </w:r>
      <w:r w:rsidRPr="00F635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command to test connectivity.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2. </w:t>
      </w:r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>Kerberos Authentication Issues</w:t>
      </w:r>
    </w:p>
    <w:p w:rsidR="00F6357B" w:rsidRPr="00F6357B" w:rsidRDefault="00F6357B" w:rsidP="00F6357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Description:</w:t>
      </w:r>
      <w:r w:rsidRPr="00F635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SQL Server often uses Kerberos for authentication in Windows environments. Issues with Kerberos can prevent the SSPI context from being generated.</w:t>
      </w:r>
    </w:p>
    <w:p w:rsidR="00F6357B" w:rsidRPr="00F6357B" w:rsidRDefault="00F6357B" w:rsidP="00F6357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Solution:</w:t>
      </w:r>
      <w:r w:rsidRPr="00F635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Ensure that the server's SPN (Service Principal Name) is correctly registered. You can use the </w:t>
      </w:r>
      <w:proofErr w:type="spellStart"/>
      <w:r w:rsidRPr="00F6357B">
        <w:rPr>
          <w:rFonts w:ascii="Courier New" w:eastAsia="Times New Roman" w:hAnsi="Courier New" w:cs="Courier New"/>
          <w:b/>
          <w:bCs/>
          <w:color w:val="0D0D0D"/>
          <w:sz w:val="21"/>
          <w:lang w:eastAsia="en-IN"/>
        </w:rPr>
        <w:t>setspn</w:t>
      </w:r>
      <w:proofErr w:type="spellEnd"/>
      <w:r w:rsidRPr="00F635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tool to register the SPN:</w:t>
      </w:r>
    </w:p>
    <w:p w:rsidR="00306437" w:rsidRDefault="00F6357B">
      <w:proofErr w:type="spellStart"/>
      <w:proofErr w:type="gramStart"/>
      <w:r w:rsidRPr="00F6357B">
        <w:t>setspn</w:t>
      </w:r>
      <w:proofErr w:type="spellEnd"/>
      <w:proofErr w:type="gramEnd"/>
      <w:r w:rsidRPr="00F6357B">
        <w:t xml:space="preserve"> -L [</w:t>
      </w:r>
      <w:proofErr w:type="spellStart"/>
      <w:r w:rsidRPr="00F6357B">
        <w:t>accountname</w:t>
      </w:r>
      <w:proofErr w:type="spellEnd"/>
      <w:r w:rsidRPr="00F6357B">
        <w:t>]</w:t>
      </w:r>
    </w:p>
    <w:p w:rsidR="00F6357B" w:rsidRPr="00F6357B" w:rsidRDefault="00F6357B" w:rsidP="00F6357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Verify that the SPN is correct and registered to the right account.</w:t>
      </w:r>
    </w:p>
    <w:p w:rsidR="00F6357B" w:rsidRDefault="00F6357B"/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3. </w:t>
      </w:r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>Service Account Issues</w:t>
      </w:r>
    </w:p>
    <w:p w:rsidR="00F6357B" w:rsidRPr="00F6357B" w:rsidRDefault="00F6357B" w:rsidP="00F6357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Description: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Problems with the account running the SQL Server service can cause SSPI context generation failures.</w:t>
      </w:r>
    </w:p>
    <w:p w:rsidR="00F6357B" w:rsidRPr="00F6357B" w:rsidRDefault="00F6357B" w:rsidP="00F6357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Solution: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Ensure that the SQL Server service account has the necessary permissions. You may also try changing the service account to a different account with appropriate privileges.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4. </w:t>
      </w:r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>Time Synchronization Issues</w:t>
      </w:r>
    </w:p>
    <w:p w:rsidR="00F6357B" w:rsidRPr="00F6357B" w:rsidRDefault="00F6357B" w:rsidP="00F6357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Description: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If there is a significant time difference between the client and server machines, Kerberos authentication can fail.</w:t>
      </w:r>
    </w:p>
    <w:p w:rsidR="00F6357B" w:rsidRPr="00F6357B" w:rsidRDefault="00F6357B" w:rsidP="00F6357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Solution: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Ensure that both the client and server machines have synchronized clocks. This can be done by configuring them to use the same NTP (Network Time Protocol) server.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5. </w:t>
      </w:r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>Network Issues</w:t>
      </w:r>
    </w:p>
    <w:p w:rsidR="00F6357B" w:rsidRPr="00F6357B" w:rsidRDefault="00F6357B" w:rsidP="00F6357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lastRenderedPageBreak/>
        <w:t>Description: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Network problems such as firewalls, NAT issues, or blocked ports can cause this error.</w:t>
      </w:r>
    </w:p>
    <w:p w:rsidR="00F6357B" w:rsidRPr="00F6357B" w:rsidRDefault="00F6357B" w:rsidP="00F6357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Solution: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Check for network connectivity issues and ensure that necessary ports (like 1433 for SQL Server) are open.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6. </w:t>
      </w:r>
      <w:proofErr w:type="spellStart"/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>Misconfigured</w:t>
      </w:r>
      <w:proofErr w:type="spellEnd"/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 xml:space="preserve"> SQL Server</w:t>
      </w:r>
    </w:p>
    <w:p w:rsidR="00F6357B" w:rsidRPr="00F6357B" w:rsidRDefault="00F6357B" w:rsidP="00F6357B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Description: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</w:t>
      </w:r>
      <w:proofErr w:type="spellStart"/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Misconfigurations</w:t>
      </w:r>
      <w:proofErr w:type="spellEnd"/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in SQL Server settings can cause SSPI issues.</w:t>
      </w:r>
    </w:p>
    <w:p w:rsidR="00F6357B" w:rsidRPr="00F6357B" w:rsidRDefault="00F6357B" w:rsidP="00F6357B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Solution: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Check the SQL Server configuration settings, especially the authentication mode settings. Ensure SQL Server is configured to allow Windows Authentication if that's what's being used.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7. </w:t>
      </w:r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>Local Security Policy Issues</w:t>
      </w:r>
    </w:p>
    <w:p w:rsidR="00F6357B" w:rsidRPr="00F6357B" w:rsidRDefault="00F6357B" w:rsidP="00F6357B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Description: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Local security policies on the server or client can interfere with SSPI context generation.</w:t>
      </w:r>
    </w:p>
    <w:p w:rsidR="00F6357B" w:rsidRPr="00F6357B" w:rsidRDefault="00F6357B" w:rsidP="00F6357B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Solution: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Check the local security policy settings related to network security and authentication. Policies like "Network security: LAN Manager </w:t>
      </w:r>
      <w:proofErr w:type="gramStart"/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>authentication</w:t>
      </w:r>
      <w:proofErr w:type="gramEnd"/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level" should be appropriately configured.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8. </w:t>
      </w:r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>Caching Issues</w:t>
      </w:r>
    </w:p>
    <w:p w:rsidR="00F6357B" w:rsidRPr="00F6357B" w:rsidRDefault="00F6357B" w:rsidP="00F6357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Description: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Sometimes, cached credentials can cause problems.</w:t>
      </w:r>
    </w:p>
    <w:p w:rsidR="00F6357B" w:rsidRPr="00F6357B" w:rsidRDefault="00F6357B" w:rsidP="00F6357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Solution: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Clear the Kerberos ticket cache by using the </w:t>
      </w:r>
      <w:proofErr w:type="spellStart"/>
      <w:r w:rsidRPr="00F6357B">
        <w:rPr>
          <w:rFonts w:ascii="Courier New" w:eastAsia="Times New Roman" w:hAnsi="Courier New" w:cs="Courier New"/>
          <w:b/>
          <w:bCs/>
          <w:color w:val="0D0D0D"/>
          <w:sz w:val="24"/>
          <w:lang w:eastAsia="en-IN"/>
        </w:rPr>
        <w:t>klist</w:t>
      </w:r>
      <w:proofErr w:type="spellEnd"/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command</w:t>
      </w:r>
    </w:p>
    <w:p w:rsidR="00F6357B" w:rsidRDefault="00F6357B">
      <w:proofErr w:type="spellStart"/>
      <w:proofErr w:type="gramStart"/>
      <w:r w:rsidRPr="00F6357B">
        <w:t>klist</w:t>
      </w:r>
      <w:proofErr w:type="spellEnd"/>
      <w:proofErr w:type="gramEnd"/>
      <w:r w:rsidRPr="00F6357B">
        <w:t xml:space="preserve"> purge</w:t>
      </w:r>
    </w:p>
    <w:p w:rsidR="00F6357B" w:rsidRDefault="00F6357B"/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9. </w:t>
      </w:r>
      <w:r w:rsidRPr="00F6357B">
        <w:rPr>
          <w:rFonts w:ascii="Segoe UI" w:eastAsia="Times New Roman" w:hAnsi="Segoe UI" w:cs="Segoe UI"/>
          <w:b/>
          <w:bCs/>
          <w:color w:val="0D0D0D"/>
          <w:sz w:val="30"/>
          <w:lang w:eastAsia="en-IN"/>
        </w:rPr>
        <w:t>Active Directory Issues</w:t>
      </w:r>
    </w:p>
    <w:p w:rsidR="00F6357B" w:rsidRPr="00F6357B" w:rsidRDefault="00F6357B" w:rsidP="00F6357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Description: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Issues with Active Directory can affect authentication.</w:t>
      </w:r>
    </w:p>
    <w:p w:rsidR="00F6357B" w:rsidRPr="00F6357B" w:rsidRDefault="00F6357B" w:rsidP="00F6357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Solution: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Ensure that both the client and the server are properly joined to the domain and that the domain controllers are reachable and functioning correctly.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Troubleshooting Steps</w:t>
      </w:r>
    </w:p>
    <w:p w:rsidR="00F6357B" w:rsidRPr="00F6357B" w:rsidRDefault="00F6357B" w:rsidP="00F6357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t>Check Event Logs: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Look at the Windows Event Logs on both the client and the server for any related errors or warnings.</w:t>
      </w:r>
    </w:p>
    <w:p w:rsidR="00F6357B" w:rsidRPr="00F6357B" w:rsidRDefault="00F6357B" w:rsidP="00F6357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27"/>
          <w:lang w:eastAsia="en-IN"/>
        </w:rPr>
        <w:lastRenderedPageBreak/>
        <w:t>Enable Kerberos Logging:</w:t>
      </w: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Enabling Kerberos event logging can provide more detailed information. This can be done by setting the following registry key:</w:t>
      </w:r>
    </w:p>
    <w:p w:rsidR="00F6357B" w:rsidRDefault="00F6357B">
      <w:r w:rsidRPr="00F6357B">
        <w:t>HKEY_LOCAL_MACHINE\SYSTEM\CurrentControlSet\Control\Lsa\Kerberos\Parameters</w:t>
      </w:r>
    </w:p>
    <w:p w:rsidR="00F6357B" w:rsidRDefault="00F6357B"/>
    <w:p w:rsidR="00F6357B" w:rsidRPr="00F6357B" w:rsidRDefault="00F6357B" w:rsidP="00F6357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Add a DWORD value named </w:t>
      </w:r>
      <w:proofErr w:type="spellStart"/>
      <w:r w:rsidRPr="00F6357B">
        <w:rPr>
          <w:rFonts w:ascii="Courier New" w:eastAsia="Times New Roman" w:hAnsi="Courier New" w:cs="Courier New"/>
          <w:b/>
          <w:bCs/>
          <w:color w:val="0D0D0D"/>
          <w:sz w:val="24"/>
          <w:lang w:eastAsia="en-IN"/>
        </w:rPr>
        <w:t>LogLevel</w:t>
      </w:r>
      <w:proofErr w:type="spellEnd"/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and set it to 0x1.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635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Example Command to Check SPNs</w:t>
      </w:r>
    </w:p>
    <w:p w:rsidR="00F6357B" w:rsidRPr="00F6357B" w:rsidRDefault="00F6357B" w:rsidP="00F635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</w:pPr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To check if the SPN is correctly registered, you can use the </w:t>
      </w:r>
      <w:proofErr w:type="spellStart"/>
      <w:r w:rsidRPr="00F6357B">
        <w:rPr>
          <w:rFonts w:ascii="Courier New" w:eastAsia="Times New Roman" w:hAnsi="Courier New" w:cs="Courier New"/>
          <w:b/>
          <w:bCs/>
          <w:color w:val="0D0D0D"/>
          <w:sz w:val="24"/>
          <w:lang w:eastAsia="en-IN"/>
        </w:rPr>
        <w:t>setspn</w:t>
      </w:r>
      <w:proofErr w:type="spellEnd"/>
      <w:r w:rsidRPr="00F6357B">
        <w:rPr>
          <w:rFonts w:ascii="Segoe UI" w:eastAsia="Times New Roman" w:hAnsi="Segoe UI" w:cs="Segoe UI"/>
          <w:color w:val="0D0D0D"/>
          <w:sz w:val="27"/>
          <w:szCs w:val="27"/>
          <w:lang w:eastAsia="en-IN"/>
        </w:rPr>
        <w:t xml:space="preserve"> command:</w:t>
      </w:r>
    </w:p>
    <w:p w:rsidR="00F6357B" w:rsidRDefault="00F6357B">
      <w:proofErr w:type="spellStart"/>
      <w:proofErr w:type="gramStart"/>
      <w:r w:rsidRPr="00F6357B">
        <w:t>setspn</w:t>
      </w:r>
      <w:proofErr w:type="spellEnd"/>
      <w:proofErr w:type="gramEnd"/>
      <w:r w:rsidRPr="00F6357B">
        <w:t xml:space="preserve"> -L &lt;</w:t>
      </w:r>
      <w:proofErr w:type="spellStart"/>
      <w:r w:rsidRPr="00F6357B">
        <w:t>SQLServerServiceAccount</w:t>
      </w:r>
      <w:proofErr w:type="spellEnd"/>
      <w:r w:rsidRPr="00F6357B">
        <w:t>&gt;</w:t>
      </w:r>
    </w:p>
    <w:p w:rsidR="00F6357B" w:rsidRDefault="00F6357B"/>
    <w:p w:rsidR="00F6357B" w:rsidRDefault="00F6357B" w:rsidP="00F63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Command to Register an SPN</w:t>
      </w:r>
    </w:p>
    <w:p w:rsidR="00F6357B" w:rsidRDefault="00F6357B" w:rsidP="00F6357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7"/>
          <w:szCs w:val="27"/>
        </w:rPr>
      </w:pPr>
      <w:r>
        <w:rPr>
          <w:rFonts w:ascii="Segoe UI" w:hAnsi="Segoe UI" w:cs="Segoe UI"/>
          <w:color w:val="0D0D0D"/>
          <w:sz w:val="27"/>
          <w:szCs w:val="27"/>
        </w:rPr>
        <w:t>To register an SPN for SQL Server, you can use:</w:t>
      </w:r>
    </w:p>
    <w:p w:rsidR="00F6357B" w:rsidRDefault="00F6357B">
      <w:proofErr w:type="spellStart"/>
      <w:proofErr w:type="gramStart"/>
      <w:r w:rsidRPr="00F6357B">
        <w:t>setspn</w:t>
      </w:r>
      <w:proofErr w:type="spellEnd"/>
      <w:proofErr w:type="gramEnd"/>
      <w:r w:rsidRPr="00F6357B">
        <w:t xml:space="preserve"> -A </w:t>
      </w:r>
      <w:proofErr w:type="spellStart"/>
      <w:r w:rsidRPr="00F6357B">
        <w:t>MSSQLSvc</w:t>
      </w:r>
      <w:proofErr w:type="spellEnd"/>
      <w:r w:rsidRPr="00F6357B">
        <w:t>/&lt;FQDN&gt;:&lt;port&gt; &lt;</w:t>
      </w:r>
      <w:proofErr w:type="spellStart"/>
      <w:r w:rsidRPr="00F6357B">
        <w:t>SQLServerServiceAccount</w:t>
      </w:r>
      <w:proofErr w:type="spellEnd"/>
      <w:r w:rsidRPr="00F6357B">
        <w:t>&gt;</w:t>
      </w:r>
    </w:p>
    <w:p w:rsidR="00F6357B" w:rsidRDefault="00F6357B"/>
    <w:p w:rsidR="00F6357B" w:rsidRDefault="00F6357B" w:rsidP="00F6357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By following these steps, you should be able to diagnose and resolve the "Cannot </w:t>
      </w:r>
      <w:proofErr w:type="gramStart"/>
      <w:r>
        <w:rPr>
          <w:rFonts w:ascii="Segoe UI" w:hAnsi="Segoe UI" w:cs="Segoe UI"/>
          <w:color w:val="0D0D0D"/>
        </w:rPr>
        <w:t>generate</w:t>
      </w:r>
      <w:proofErr w:type="gramEnd"/>
      <w:r>
        <w:rPr>
          <w:rFonts w:ascii="Segoe UI" w:hAnsi="Segoe UI" w:cs="Segoe UI"/>
          <w:color w:val="0D0D0D"/>
        </w:rPr>
        <w:t xml:space="preserve"> SSPI context" error. If the problem persists, it may be necessary to involve your network or domain administrator for further assistance.</w:t>
      </w:r>
    </w:p>
    <w:p w:rsidR="00F6357B" w:rsidRDefault="00F6357B"/>
    <w:sectPr w:rsidR="00F6357B" w:rsidSect="005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6617"/>
    <w:multiLevelType w:val="multilevel"/>
    <w:tmpl w:val="743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236C9F"/>
    <w:multiLevelType w:val="multilevel"/>
    <w:tmpl w:val="DE82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277F4"/>
    <w:multiLevelType w:val="multilevel"/>
    <w:tmpl w:val="27F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E02CB2"/>
    <w:multiLevelType w:val="multilevel"/>
    <w:tmpl w:val="C48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383060"/>
    <w:multiLevelType w:val="multilevel"/>
    <w:tmpl w:val="3D9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D04895"/>
    <w:multiLevelType w:val="multilevel"/>
    <w:tmpl w:val="A12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C54C8B"/>
    <w:multiLevelType w:val="multilevel"/>
    <w:tmpl w:val="624A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171076"/>
    <w:multiLevelType w:val="multilevel"/>
    <w:tmpl w:val="52CA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7F062F"/>
    <w:multiLevelType w:val="multilevel"/>
    <w:tmpl w:val="F71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AE598F"/>
    <w:multiLevelType w:val="multilevel"/>
    <w:tmpl w:val="120E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A92B7B"/>
    <w:multiLevelType w:val="multilevel"/>
    <w:tmpl w:val="A15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987DEE"/>
    <w:multiLevelType w:val="multilevel"/>
    <w:tmpl w:val="C052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941635B"/>
    <w:multiLevelType w:val="multilevel"/>
    <w:tmpl w:val="B93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AEF5E7D"/>
    <w:multiLevelType w:val="multilevel"/>
    <w:tmpl w:val="617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BD4180B"/>
    <w:multiLevelType w:val="multilevel"/>
    <w:tmpl w:val="40FA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E90170E"/>
    <w:multiLevelType w:val="multilevel"/>
    <w:tmpl w:val="389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12A424C"/>
    <w:multiLevelType w:val="multilevel"/>
    <w:tmpl w:val="56BC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7487E1B"/>
    <w:multiLevelType w:val="multilevel"/>
    <w:tmpl w:val="394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75B69CB"/>
    <w:multiLevelType w:val="multilevel"/>
    <w:tmpl w:val="AF34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C104B9"/>
    <w:multiLevelType w:val="multilevel"/>
    <w:tmpl w:val="DEA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E94556"/>
    <w:multiLevelType w:val="multilevel"/>
    <w:tmpl w:val="7528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DFD2349"/>
    <w:multiLevelType w:val="multilevel"/>
    <w:tmpl w:val="A0A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1"/>
  </w:num>
  <w:num w:numId="3">
    <w:abstractNumId w:val="20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8"/>
  </w:num>
  <w:num w:numId="9">
    <w:abstractNumId w:val="17"/>
  </w:num>
  <w:num w:numId="10">
    <w:abstractNumId w:val="18"/>
  </w:num>
  <w:num w:numId="11">
    <w:abstractNumId w:val="13"/>
  </w:num>
  <w:num w:numId="12">
    <w:abstractNumId w:val="16"/>
  </w:num>
  <w:num w:numId="13">
    <w:abstractNumId w:val="9"/>
  </w:num>
  <w:num w:numId="14">
    <w:abstractNumId w:val="11"/>
  </w:num>
  <w:num w:numId="15">
    <w:abstractNumId w:val="15"/>
  </w:num>
  <w:num w:numId="16">
    <w:abstractNumId w:val="14"/>
  </w:num>
  <w:num w:numId="17">
    <w:abstractNumId w:val="3"/>
  </w:num>
  <w:num w:numId="18">
    <w:abstractNumId w:val="7"/>
  </w:num>
  <w:num w:numId="19">
    <w:abstractNumId w:val="5"/>
  </w:num>
  <w:num w:numId="20">
    <w:abstractNumId w:val="19"/>
  </w:num>
  <w:num w:numId="21">
    <w:abstractNumId w:val="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357B"/>
    <w:rsid w:val="005B60E5"/>
    <w:rsid w:val="00876B7D"/>
    <w:rsid w:val="008F6D82"/>
    <w:rsid w:val="00F6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0E5"/>
  </w:style>
  <w:style w:type="paragraph" w:styleId="Heading3">
    <w:name w:val="heading 3"/>
    <w:basedOn w:val="Normal"/>
    <w:link w:val="Heading3Char"/>
    <w:uiPriority w:val="9"/>
    <w:qFormat/>
    <w:rsid w:val="00F63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5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6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35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35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5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741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19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904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4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045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40771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63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81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254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919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5504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8226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76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2855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2525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3601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936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978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9776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7717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621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4317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7527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58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11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4365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450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8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1</cp:revision>
  <dcterms:created xsi:type="dcterms:W3CDTF">2024-05-22T12:19:00Z</dcterms:created>
  <dcterms:modified xsi:type="dcterms:W3CDTF">2024-05-22T12:23:00Z</dcterms:modified>
</cp:coreProperties>
</file>