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svg" ContentType="image/svg+xml;charset=utf-8"/>
  <Override PartName="/word/media/rId10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</w:p>
    <w:p>
      <w:pPr>
        <w:pStyle w:val="BodyText"/>
      </w:pPr>
      <w:hyperlink r:id="rId9">
        <w:r>
          <w:rPr>
            <w:rStyle w:val="Hyperlink"/>
          </w:rPr>
          <w:t xml:space="preserve">vamshi455@gmail.com</w:t>
        </w:r>
      </w:hyperlink>
    </w:p>
    <w:p>
      <w:pPr>
        <w:pStyle w:val="BodyText"/>
      </w:pPr>
      <w:hyperlink r:id="rId13">
        <w:r>
          <w:drawing>
            <wp:inline>
              <wp:extent cx="542925" cy="190500"/>
              <wp:effectExtent b="0" l="0" r="0" t="0"/>
              <wp:docPr descr="LinkedIn" title="" id="11" name="Picture"/>
              <a:graphic>
                <a:graphicData uri="http://schemas.openxmlformats.org/drawingml/2006/picture">
                  <pic:pic>
                    <pic:nvPicPr>
                      <pic:cNvPr descr="https://img.shields.io/badge/LinkedIn-0A66C2?logo=linkedin&amp;logoColor=white" id="1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29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7">
        <w:r>
          <w:drawing>
            <wp:inline>
              <wp:extent cx="619125" cy="190500"/>
              <wp:effectExtent b="0" l="0" r="0" t="0"/>
              <wp:docPr descr="GitHub" title="" id="15" name="Picture"/>
              <a:graphic>
                <a:graphicData uri="http://schemas.openxmlformats.org/drawingml/2006/picture">
                  <pic:pic>
                    <pic:nvPicPr>
                      <pic:cNvPr descr="https://img.shields.io/badge/GitHub-181717?logo=github&amp;logoColor=white" id="1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191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Agentic AI 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SCADA, PI</w:t>
      </w:r>
      <w:r>
        <w:t xml:space="preserve"> </w:t>
      </w:r>
      <w:r>
        <w:t xml:space="preserve">Historian, and SAP ERP systems via Fivetran connectors and AWS Glue</w:t>
      </w:r>
      <w:r>
        <w:t xml:space="preserve"> </w:t>
      </w:r>
      <w:r>
        <w:t xml:space="preserve">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PAR Stuzo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replica_par,</w:t>
      </w:r>
      <w:r>
        <w:t xml:space="preserve"> </w:t>
      </w:r>
      <w:r>
        <w:t xml:space="preserve">udm_core, and mdm_core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KittyHawk Modernization – Right Angle CTRM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Right Angle (CTRM),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SQL Server (KittyHawk) receiving data from the Right Angle CTRM</w:t>
      </w:r>
      <w:r>
        <w:t xml:space="preserve"> </w:t>
      </w:r>
      <w:r>
        <w:t xml:space="preserve">application onto Azure Synapse (I&amp;DP platform), spanning 98 master and</w:t>
      </w:r>
      <w:r>
        <w:t xml:space="preserve"> </w:t>
      </w:r>
      <w:r>
        <w:t xml:space="preserve">transaction tables across two schemas — Replica_Kittyhawk (CDC replica)</w:t>
      </w:r>
      <w:r>
        <w:t xml:space="preserve"> </w:t>
      </w:r>
      <w:r>
        <w:t xml:space="preserve">and kh_core (curated analytical layer).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Replica_Kittyhawk, followed by ADF pipelines performing FULL LOAD</w:t>
      </w:r>
      <w:r>
        <w:t xml:space="preserve"> </w:t>
      </w:r>
      <w:r>
        <w:t xml:space="preserve">and incremental delta loads into kh_core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MovementTransaction (MPC and MPLX</w:t>
      </w:r>
      <w:r>
        <w:t xml:space="preserve"> </w:t>
      </w:r>
      <w:r>
        <w:t xml:space="preserve">variants), InventoryHistory, InventoryForecast, and</w:t>
      </w:r>
      <w:r>
        <w:t xml:space="preserve"> </w:t>
      </w:r>
      <w:r>
        <w:t xml:space="preserve">BulkTransferExpense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(KH_PL_Master_Main/Child,</w:t>
      </w:r>
      <w:r>
        <w:t xml:space="preserve"> </w:t>
      </w:r>
      <w:r>
        <w:t xml:space="preserve">KH_PL_Transac_Delta_Main/Child)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M1-M5 master waves,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kh_core schema for CTRM analytics</w:t>
      </w:r>
      <w:r>
        <w:t xml:space="preserve"> </w:t>
      </w:r>
      <w:r>
        <w:t xml:space="preserve">including movement tracking, bulk transfer expense analysis, inventory</w:t>
      </w:r>
      <w:r>
        <w:t xml:space="preserve"> </w:t>
      </w:r>
      <w:r>
        <w:t xml:space="preserve">forecasting, and trading operations dashboards.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DARE (formerly AMDB – Fuel Rewards Program Database)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DARE project.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PREP Layer (make</w:t>
      </w:r>
      <w:r>
        <w:t xml:space="preserve"> </w:t>
      </w:r>
      <w:r>
        <w:t xml:space="preserve">data ready for curation)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Shell's IRM and GDPR/CCPA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PREP Layer (for</w:t>
      </w:r>
      <w:r>
        <w:t xml:space="preserve"> </w:t>
      </w:r>
      <w:r>
        <w:t xml:space="preserve">curation)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IRM (Internal Risk Management Rules)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Lepton is the critical first step in operationalizing data lake which</w:t>
      </w:r>
      <w:r>
        <w:t xml:space="preserve"> </w:t>
      </w:r>
      <w:r>
        <w:t xml:space="preserve">gets Natural gas and Power trading data to provide a combined view of</w:t>
      </w:r>
      <w:r>
        <w:t xml:space="preserve"> </w:t>
      </w:r>
      <w:r>
        <w:t xml:space="preserve">PNL, Limits Exposure, Manual Risk Adjustments, Transaction limits and</w:t>
      </w:r>
      <w:r>
        <w:t xml:space="preserve"> </w:t>
      </w:r>
      <w:r>
        <w:t xml:space="preserve">Volumetric reporting, these reports will enable Traders with latest data</w:t>
      </w:r>
      <w:r>
        <w:t xml:space="preserve"> </w:t>
      </w:r>
      <w:r>
        <w:t xml:space="preserve">and have them equipped with much required digital advantage in</w:t>
      </w:r>
      <w:r>
        <w:t xml:space="preserve"> </w:t>
      </w:r>
      <w:r>
        <w:t xml:space="preserve">performing their day-to-day activities. Lepton not only automates data</w:t>
      </w:r>
      <w:r>
        <w:t xml:space="preserve"> </w:t>
      </w:r>
      <w:r>
        <w:t xml:space="preserve">ingestion but also key functionality that must accompany ingestion to</w:t>
      </w:r>
      <w:r>
        <w:t xml:space="preserve"> </w:t>
      </w:r>
      <w:r>
        <w:t xml:space="preserve">establish a complete foundation for analytics.  Data onboarding with</w:t>
      </w:r>
      <w:r>
        <w:t xml:space="preserve"> </w:t>
      </w:r>
      <w:r>
        <w:t xml:space="preserve">Lepton automates: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VCS&amp;O Optimization Engine will be a tool used every day by the value</w:t>
      </w:r>
      <w:r>
        <w:t xml:space="preserve"> </w:t>
      </w:r>
      <w:r>
        <w:t xml:space="preserve">chain optimization decision makers across the P66 operating functions to</w:t>
      </w:r>
      <w:r>
        <w:t xml:space="preserve"> </w:t>
      </w:r>
      <w:r>
        <w:t xml:space="preserve">enable better decisions for the general interest: Refinery</w:t>
      </w:r>
      <w:r>
        <w:t xml:space="preserve"> </w:t>
      </w:r>
      <w:r>
        <w:t xml:space="preserve">Planning Staff, Commercial Traders &amp; Schedulers, Marketing, Sales,</w:t>
      </w:r>
      <w:r>
        <w:t xml:space="preserve"> </w:t>
      </w:r>
      <w:r>
        <w:t xml:space="preserve">Pricing &amp; Supply Staff, VCS&amp;O Optimization Directors.  VCO Optimization</w:t>
      </w:r>
      <w:r>
        <w:t xml:space="preserve"> </w:t>
      </w:r>
      <w:r>
        <w:t xml:space="preserve">Engine will also leverage historical trend and performance data to</w:t>
      </w:r>
      <w:r>
        <w:t xml:space="preserve"> </w:t>
      </w:r>
      <w:r>
        <w:t xml:space="preserve">enable better strategic planning, while giving users from VCS&amp;O team,</w:t>
      </w:r>
      <w:r>
        <w:t xml:space="preserve"> </w:t>
      </w:r>
      <w:r>
        <w:t xml:space="preserve">Marketing, Refining, Midstream Strategy Directors a lot of visibility</w:t>
      </w:r>
      <w:r>
        <w:t xml:space="preserve"> </w:t>
      </w:r>
      <w:r>
        <w:t xml:space="preserve">around pricing. The Optimization Engine will move PSX from a</w:t>
      </w:r>
      <w:r>
        <w:t xml:space="preserve"> </w:t>
      </w:r>
      <w:r>
        <w:t xml:space="preserve">localized spreadsheet-based optimization culture to an on-line system</w:t>
      </w:r>
      <w:r>
        <w:t xml:space="preserve"> </w:t>
      </w:r>
      <w:r>
        <w:t xml:space="preserve">with consistent data, available to all users.  Major modules are GI</w:t>
      </w:r>
      <w:r>
        <w:t xml:space="preserve"> </w:t>
      </w:r>
      <w:r>
        <w:t xml:space="preserve">Margin Tool, Crude Placement/Consumption Dashboard, Historical and</w:t>
      </w:r>
      <w:r>
        <w:t xml:space="preserve"> </w:t>
      </w:r>
      <w:r>
        <w:t xml:space="preserve">Forecast Market Pricing Data,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Currently NRD project resides in SQL Server, Scope of this new project</w:t>
      </w:r>
      <w:r>
        <w:t xml:space="preserve"> </w:t>
      </w:r>
      <w:r>
        <w:t xml:space="preserve">is to re-design the dataset keeping the downstream unaffected in Azure</w:t>
      </w:r>
      <w:r>
        <w:t xml:space="preserve"> </w:t>
      </w:r>
      <w:r>
        <w:t xml:space="preserve">Data Warehouse as a separate database.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Exploring the load performances between ADLA, DF Pipelines along with</w:t>
      </w:r>
      <w:r>
        <w:t xml:space="preserve"> </w:t>
      </w:r>
      <w:r>
        <w:t xml:space="preserve">Native SSIS ETL packages and accessing the migration of objects from</w:t>
      </w:r>
      <w:r>
        <w:t xml:space="preserve"> </w:t>
      </w:r>
      <w:r>
        <w:t xml:space="preserve">On-Premises to Azure Data Lake.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BG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BG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8"/>
    <w:sectPr w:rsidR="00FC693F" w:rsidRPr="0006063C" w:rsidSect="00034616">
      <w:pgSz w:h="15840" w:w="12240"/>
      <w:pgMar w:bottom="576" w:footer="720" w:gutter="0" w:header="720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svg" /><Relationship Type="http://schemas.openxmlformats.org/officeDocument/2006/relationships/image" Id="rId10" Target="media/rId10.svg" /><Relationship Type="http://schemas.openxmlformats.org/officeDocument/2006/relationships/hyperlink" Id="rId17" Target="https://github.com/vamshi455" TargetMode="External" /><Relationship Type="http://schemas.openxmlformats.org/officeDocument/2006/relationships/hyperlink" Id="rId13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vamshi455" TargetMode="External" /><Relationship Type="http://schemas.openxmlformats.org/officeDocument/2006/relationships/hyperlink" Id="rId13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2026-03-20T19:56:23Z</dcterms:created>
  <dcterms:modified xsi:type="dcterms:W3CDTF">2026-03-20T19:56:23Z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