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20"/>
        <w:jc w:val="center"/>
      </w:pPr>
      <w:r>
        <w:rPr>
          <w:b/>
          <w:bCs/>
          <w:color w:val="1F3864"/>
          <w:sz w:val="72"/>
          <w:szCs w:val="72"/>
        </w:rPr>
        <w:t xml:space="preserve">StockPilot</w:t>
      </w:r>
    </w:p>
    <w:p>
      <w:pPr>
        <w:spacing w:after="60"/>
        <w:jc w:val="center"/>
      </w:pPr>
      <w:r>
        <w:rPr>
          <w:color w:val="2E74B5"/>
          <w:sz w:val="28"/>
          <w:szCs w:val="28"/>
        </w:rPr>
        <w:t xml:space="preserve">Cloud-Based Inventory &amp; Stock Intelligence SaaS Platform</w:t>
      </w:r>
    </w:p>
    <w:p>
      <w:pPr>
        <w:spacing w:after="1600"/>
        <w:jc w:val="center"/>
      </w:pPr>
      <w:r>
        <w:rPr>
          <w:i/>
          <w:iCs/>
          <w:color w:val="595959"/>
          <w:sz w:val="24"/>
          <w:szCs w:val="24"/>
        </w:rPr>
        <w:t xml:space="preserve">Web Console · Android App · iOS App — for Automotive Parts, Two-Wheeler &amp; Multi-Vertical Retailers</w:t>
      </w:r>
    </w:p>
    <w:p>
      <w:pPr>
        <w:spacing w:after="120"/>
        <w:jc w:val="center"/>
      </w:pPr>
      <w:r>
        <w:rPr>
          <w:b/>
          <w:bCs/>
          <w:sz w:val="26"/>
          <w:szCs w:val="26"/>
        </w:rPr>
        <w:t xml:space="preserve">Product Requirements Document (PRD)</w:t>
      </w:r>
    </w:p>
    <w:p>
      <w:pPr>
        <w:spacing w:after="40"/>
        <w:jc w:val="center"/>
      </w:pPr>
      <w:r>
        <w:rPr>
          <w:color w:val="595959"/>
          <w:sz w:val="22"/>
          <w:szCs w:val="22"/>
        </w:rPr>
        <w:t xml:space="preserve">Version 1.0  |  Confidential</w:t>
      </w:r>
    </w:p>
    <w:p>
      <w:pPr>
        <w:jc w:val="center"/>
      </w:pPr>
      <w:r>
        <w:rPr>
          <w:color w:val="595959"/>
          <w:sz w:val="22"/>
          <w:szCs w:val="22"/>
        </w:rPr>
        <w:t xml:space="preserve">September 2026</w:t>
      </w:r>
    </w:p>
    <w:p>
      <w:r>
        <w:br w:type="page"/>
      </w:r>
    </w:p>
    <w:p>
      <w:pPr>
        <w:pStyle w:val="Heading1"/>
        <w:spacing w:after="200" w:before="400"/>
      </w:pPr>
      <w:r>
        <w:t xml:space="preserve">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val="clear"/>
            <w:tcMar>
              <w:top w:type="dxa" w:w="80"/>
              <w:left w:type="dxa" w:w="120"/>
              <w:bottom w:type="dxa" w:w="80"/>
              <w:right w:type="dxa" w:w="120"/>
            </w:tcMar>
          </w:tcPr>
          <w:p>
            <w:r>
              <w:rPr>
                <w:b/>
                <w:bCs/>
                <w:color w:val="FFFFFF"/>
              </w:rPr>
              <w:t xml:space="preserve">Field</w:t>
            </w:r>
          </w:p>
        </w:tc>
        <w:tc>
          <w:tcPr>
            <w:tcW w:type="dxa" w:w="6300"/>
            <w:shd w:fill="1F3864" w:val="clear"/>
            <w:tcMar>
              <w:top w:type="dxa" w:w="80"/>
              <w:left w:type="dxa" w:w="120"/>
              <w:bottom w:type="dxa" w:w="80"/>
              <w:right w:type="dxa" w:w="120"/>
            </w:tcMar>
          </w:tcPr>
          <w:p>
            <w:r>
              <w:rPr>
                <w:b/>
                <w:bCs/>
                <w:color w:val="FFFFFF"/>
              </w:rPr>
              <w:t xml:space="preserve">Details</w:t>
            </w:r>
          </w:p>
        </w:tc>
      </w:tr>
      <w:tr>
        <w:tc>
          <w:tcPr>
            <w:tcW w:type="dxa" w:w="3200"/>
            <w:shd w:fill="FFFFFF" w:val="clear"/>
            <w:tcMar>
              <w:top w:type="dxa" w:w="80"/>
              <w:left w:type="dxa" w:w="120"/>
              <w:bottom w:type="dxa" w:w="80"/>
              <w:right w:type="dxa" w:w="120"/>
            </w:tcMar>
          </w:tcPr>
          <w:p>
            <w:r>
              <w:rPr>
                <w:b w:val="false"/>
                <w:bCs w:val="false"/>
              </w:rPr>
              <w:t xml:space="preserve">Document Title</w:t>
            </w:r>
          </w:p>
        </w:tc>
        <w:tc>
          <w:tcPr>
            <w:tcW w:type="dxa" w:w="6300"/>
            <w:shd w:fill="FFFFFF" w:val="clear"/>
            <w:tcMar>
              <w:top w:type="dxa" w:w="80"/>
              <w:left w:type="dxa" w:w="120"/>
              <w:bottom w:type="dxa" w:w="80"/>
              <w:right w:type="dxa" w:w="120"/>
            </w:tcMar>
          </w:tcPr>
          <w:p>
            <w:r>
              <w:rPr>
                <w:b w:val="false"/>
                <w:bCs w:val="false"/>
              </w:rPr>
              <w:t xml:space="preserve">StockPilot — Product Requirements Document</w:t>
            </w:r>
          </w:p>
        </w:tc>
      </w:tr>
      <w:tr>
        <w:tc>
          <w:tcPr>
            <w:tcW w:type="dxa" w:w="3200"/>
            <w:shd w:fill="F2F2F2" w:val="clear"/>
            <w:tcMar>
              <w:top w:type="dxa" w:w="80"/>
              <w:left w:type="dxa" w:w="120"/>
              <w:bottom w:type="dxa" w:w="80"/>
              <w:right w:type="dxa" w:w="120"/>
            </w:tcMar>
          </w:tcPr>
          <w:p>
            <w:r>
              <w:rPr>
                <w:b w:val="false"/>
                <w:bCs w:val="false"/>
              </w:rPr>
              <w:t xml:space="preserve">Version</w:t>
            </w:r>
          </w:p>
        </w:tc>
        <w:tc>
          <w:tcPr>
            <w:tcW w:type="dxa" w:w="6300"/>
            <w:shd w:fill="F2F2F2" w:val="clear"/>
            <w:tcMar>
              <w:top w:type="dxa" w:w="80"/>
              <w:left w:type="dxa" w:w="120"/>
              <w:bottom w:type="dxa" w:w="80"/>
              <w:right w:type="dxa" w:w="120"/>
            </w:tcMar>
          </w:tcPr>
          <w:p>
            <w:r>
              <w:rPr>
                <w:b w:val="false"/>
                <w:bCs w:val="false"/>
              </w:rPr>
              <w:t xml:space="preserve">2.0</w:t>
            </w:r>
          </w:p>
        </w:tc>
      </w:tr>
      <w:tr>
        <w:tc>
          <w:tcPr>
            <w:tcW w:type="dxa" w:w="3200"/>
            <w:shd w:fill="FFFFFF" w:val="clear"/>
            <w:tcMar>
              <w:top w:type="dxa" w:w="80"/>
              <w:left w:type="dxa" w:w="120"/>
              <w:bottom w:type="dxa" w:w="80"/>
              <w:right w:type="dxa" w:w="120"/>
            </w:tcMar>
          </w:tcPr>
          <w:p>
            <w:r>
              <w:rPr>
                <w:b w:val="false"/>
                <w:bCs w:val="false"/>
              </w:rPr>
              <w:t xml:space="preserve">Status</w:t>
            </w:r>
          </w:p>
        </w:tc>
        <w:tc>
          <w:tcPr>
            <w:tcW w:type="dxa" w:w="6300"/>
            <w:shd w:fill="FFFFFF" w:val="clear"/>
            <w:tcMar>
              <w:top w:type="dxa" w:w="80"/>
              <w:left w:type="dxa" w:w="120"/>
              <w:bottom w:type="dxa" w:w="80"/>
              <w:right w:type="dxa" w:w="120"/>
            </w:tcMar>
          </w:tcPr>
          <w:p>
            <w:r>
              <w:rPr>
                <w:b w:val="false"/>
                <w:bCs w:val="false"/>
              </w:rPr>
              <w:t xml:space="preserve">Draft for Review</w:t>
            </w:r>
          </w:p>
        </w:tc>
      </w:tr>
      <w:tr>
        <w:tc>
          <w:tcPr>
            <w:tcW w:type="dxa" w:w="3200"/>
            <w:shd w:fill="F2F2F2" w:val="clear"/>
            <w:tcMar>
              <w:top w:type="dxa" w:w="80"/>
              <w:left w:type="dxa" w:w="120"/>
              <w:bottom w:type="dxa" w:w="80"/>
              <w:right w:type="dxa" w:w="120"/>
            </w:tcMar>
          </w:tcPr>
          <w:p>
            <w:r>
              <w:rPr>
                <w:b w:val="false"/>
                <w:bCs w:val="false"/>
              </w:rPr>
              <w:t xml:space="preserve">Prepared By</w:t>
            </w:r>
          </w:p>
        </w:tc>
        <w:tc>
          <w:tcPr>
            <w:tcW w:type="dxa" w:w="6300"/>
            <w:shd w:fill="F2F2F2" w:val="clear"/>
            <w:tcMar>
              <w:top w:type="dxa" w:w="80"/>
              <w:left w:type="dxa" w:w="120"/>
              <w:bottom w:type="dxa" w:w="80"/>
              <w:right w:type="dxa" w:w="120"/>
            </w:tcMar>
          </w:tcPr>
          <w:p>
            <w:r>
              <w:rPr>
                <w:b w:val="false"/>
                <w:bCs w:val="false"/>
              </w:rPr>
              <w:t xml:space="preserve">Product Team</w:t>
            </w:r>
          </w:p>
        </w:tc>
      </w:tr>
      <w:tr>
        <w:tc>
          <w:tcPr>
            <w:tcW w:type="dxa" w:w="3200"/>
            <w:shd w:fill="FFFFFF" w:val="clear"/>
            <w:tcMar>
              <w:top w:type="dxa" w:w="80"/>
              <w:left w:type="dxa" w:w="120"/>
              <w:bottom w:type="dxa" w:w="80"/>
              <w:right w:type="dxa" w:w="120"/>
            </w:tcMar>
          </w:tcPr>
          <w:p>
            <w:r>
              <w:rPr>
                <w:b w:val="false"/>
                <w:bCs w:val="false"/>
              </w:rPr>
              <w:t xml:space="preserve">Classification</w:t>
            </w:r>
          </w:p>
        </w:tc>
        <w:tc>
          <w:tcPr>
            <w:tcW w:type="dxa" w:w="6300"/>
            <w:shd w:fill="FFFFFF" w:val="clear"/>
            <w:tcMar>
              <w:top w:type="dxa" w:w="80"/>
              <w:left w:type="dxa" w:w="120"/>
              <w:bottom w:type="dxa" w:w="80"/>
              <w:right w:type="dxa" w:w="120"/>
            </w:tcMar>
          </w:tcPr>
          <w:p>
            <w:r>
              <w:rPr>
                <w:b w:val="false"/>
                <w:bCs w:val="false"/>
              </w:rPr>
              <w:t xml:space="preserve">Confidential — Internal Use</w:t>
            </w:r>
          </w:p>
        </w:tc>
      </w:tr>
      <w:tr>
        <w:tc>
          <w:tcPr>
            <w:tcW w:type="dxa" w:w="3200"/>
            <w:shd w:fill="F2F2F2" w:val="clear"/>
            <w:tcMar>
              <w:top w:type="dxa" w:w="80"/>
              <w:left w:type="dxa" w:w="120"/>
              <w:bottom w:type="dxa" w:w="80"/>
              <w:right w:type="dxa" w:w="120"/>
            </w:tcMar>
          </w:tcPr>
          <w:p>
            <w:r>
              <w:rPr>
                <w:b w:val="false"/>
                <w:bCs w:val="false"/>
              </w:rPr>
              <w:t xml:space="preserve">Target Platforms</w:t>
            </w:r>
          </w:p>
        </w:tc>
        <w:tc>
          <w:tcPr>
            <w:tcW w:type="dxa" w:w="6300"/>
            <w:shd w:fill="F2F2F2" w:val="clear"/>
            <w:tcMar>
              <w:top w:type="dxa" w:w="80"/>
              <w:left w:type="dxa" w:w="120"/>
              <w:bottom w:type="dxa" w:w="80"/>
              <w:right w:type="dxa" w:w="120"/>
            </w:tcMar>
          </w:tcPr>
          <w:p>
            <w:r>
              <w:rPr>
                <w:b w:val="false"/>
                <w:bCs w:val="false"/>
              </w:rPr>
              <w:t xml:space="preserve">Web Console, Android App, iOS App (unified SaaS platform)</w:t>
            </w:r>
          </w:p>
        </w:tc>
      </w:tr>
      <w:tr>
        <w:tc>
          <w:tcPr>
            <w:tcW w:type="dxa" w:w="3200"/>
            <w:shd w:fill="FFFFFF" w:val="clear"/>
            <w:tcMar>
              <w:top w:type="dxa" w:w="80"/>
              <w:left w:type="dxa" w:w="120"/>
              <w:bottom w:type="dxa" w:w="80"/>
              <w:right w:type="dxa" w:w="120"/>
            </w:tcMar>
          </w:tcPr>
          <w:p>
            <w:r>
              <w:rPr>
                <w:b w:val="false"/>
                <w:bCs w:val="false"/>
              </w:rPr>
              <w:t xml:space="preserve">Delivery Model</w:t>
            </w:r>
          </w:p>
        </w:tc>
        <w:tc>
          <w:tcPr>
            <w:tcW w:type="dxa" w:w="6300"/>
            <w:shd w:fill="FFFFFF" w:val="clear"/>
            <w:tcMar>
              <w:top w:type="dxa" w:w="80"/>
              <w:left w:type="dxa" w:w="120"/>
              <w:bottom w:type="dxa" w:w="80"/>
              <w:right w:type="dxa" w:w="120"/>
            </w:tcMar>
          </w:tcPr>
          <w:p>
            <w:r>
              <w:rPr>
                <w:b w:val="false"/>
                <w:bCs w:val="false"/>
              </w:rPr>
              <w:t xml:space="preserve">Cloud-hosted, multi-tenant SaaS, subscription-based</w:t>
            </w:r>
          </w:p>
        </w:tc>
      </w:tr>
    </w:tbl>
    <w:p>
      <w:pPr>
        <w:spacing w:after="200"/>
      </w:pPr>
    </w:p>
    <w:p>
      <w:pPr>
        <w:pStyle w:val="Heading2"/>
        <w:spacing w:after="150" w:before="300"/>
      </w:pPr>
      <w: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300"/>
      </w:tblGrid>
      <w:tr>
        <w:trPr>
          <w:tblHeader/>
        </w:trPr>
        <w:tc>
          <w:tcPr>
            <w:tcW w:type="dxa" w:w="1400"/>
            <w:shd w:fill="1F3864" w:val="clear"/>
            <w:tcMar>
              <w:top w:type="dxa" w:w="80"/>
              <w:left w:type="dxa" w:w="120"/>
              <w:bottom w:type="dxa" w:w="80"/>
              <w:right w:type="dxa" w:w="120"/>
            </w:tcMar>
          </w:tcPr>
          <w:p>
            <w:r>
              <w:rPr>
                <w:b/>
                <w:bCs/>
                <w:color w:val="FFFFFF"/>
              </w:rPr>
              <w:t xml:space="preserve">Version</w:t>
            </w:r>
          </w:p>
        </w:tc>
        <w:tc>
          <w:tcPr>
            <w:tcW w:type="dxa" w:w="1600"/>
            <w:shd w:fill="1F3864" w:val="clear"/>
            <w:tcMar>
              <w:top w:type="dxa" w:w="80"/>
              <w:left w:type="dxa" w:w="120"/>
              <w:bottom w:type="dxa" w:w="80"/>
              <w:right w:type="dxa" w:w="120"/>
            </w:tcMar>
          </w:tcPr>
          <w:p>
            <w:r>
              <w:rPr>
                <w:b/>
                <w:bCs/>
                <w:color w:val="FFFFFF"/>
              </w:rPr>
              <w:t xml:space="preserve">Date</w:t>
            </w:r>
          </w:p>
        </w:tc>
        <w:tc>
          <w:tcPr>
            <w:tcW w:type="dxa" w:w="2200"/>
            <w:shd w:fill="1F3864" w:val="clear"/>
            <w:tcMar>
              <w:top w:type="dxa" w:w="80"/>
              <w:left w:type="dxa" w:w="120"/>
              <w:bottom w:type="dxa" w:w="80"/>
              <w:right w:type="dxa" w:w="120"/>
            </w:tcMar>
          </w:tcPr>
          <w:p>
            <w:r>
              <w:rPr>
                <w:b/>
                <w:bCs/>
                <w:color w:val="FFFFFF"/>
              </w:rPr>
              <w:t xml:space="preserve">Author</w:t>
            </w:r>
          </w:p>
        </w:tc>
        <w:tc>
          <w:tcPr>
            <w:tcW w:type="dxa" w:w="4300"/>
            <w:shd w:fill="1F3864" w:val="clear"/>
            <w:tcMar>
              <w:top w:type="dxa" w:w="80"/>
              <w:left w:type="dxa" w:w="120"/>
              <w:bottom w:type="dxa" w:w="80"/>
              <w:right w:type="dxa" w:w="120"/>
            </w:tcMar>
          </w:tcPr>
          <w:p>
            <w:r>
              <w:rPr>
                <w:b/>
                <w:bCs/>
                <w:color w:val="FFFFFF"/>
              </w:rPr>
              <w:t xml:space="preserve">Description</w:t>
            </w:r>
          </w:p>
        </w:tc>
      </w:tr>
      <w:tr>
        <w:tc>
          <w:tcPr>
            <w:tcW w:type="dxa" w:w="1400"/>
            <w:shd w:fill="FFFFFF" w:val="clear"/>
            <w:tcMar>
              <w:top w:type="dxa" w:w="80"/>
              <w:left w:type="dxa" w:w="120"/>
              <w:bottom w:type="dxa" w:w="80"/>
              <w:right w:type="dxa" w:w="120"/>
            </w:tcMar>
          </w:tcPr>
          <w:p>
            <w:r>
              <w:rPr>
                <w:b w:val="false"/>
                <w:bCs w:val="false"/>
              </w:rPr>
              <w:t xml:space="preserve">0.1</w:t>
            </w:r>
          </w:p>
        </w:tc>
        <w:tc>
          <w:tcPr>
            <w:tcW w:type="dxa" w:w="1600"/>
            <w:shd w:fill="FFFFFF" w:val="clear"/>
            <w:tcMar>
              <w:top w:type="dxa" w:w="80"/>
              <w:left w:type="dxa" w:w="120"/>
              <w:bottom w:type="dxa" w:w="80"/>
              <w:right w:type="dxa" w:w="120"/>
            </w:tcMar>
          </w:tcPr>
          <w:p>
            <w:r>
              <w:rPr>
                <w:b w:val="false"/>
                <w:bCs w:val="false"/>
              </w:rPr>
              <w:t xml:space="preserve">Sep 2026</w:t>
            </w:r>
          </w:p>
        </w:tc>
        <w:tc>
          <w:tcPr>
            <w:tcW w:type="dxa" w:w="2200"/>
            <w:shd w:fill="FFFFFF" w:val="clear"/>
            <w:tcMar>
              <w:top w:type="dxa" w:w="80"/>
              <w:left w:type="dxa" w:w="120"/>
              <w:bottom w:type="dxa" w:w="80"/>
              <w:right w:type="dxa" w:w="120"/>
            </w:tcMar>
          </w:tcPr>
          <w:p>
            <w:r>
              <w:rPr>
                <w:b w:val="false"/>
                <w:bCs w:val="false"/>
              </w:rPr>
              <w:t xml:space="preserve">Product Team</w:t>
            </w:r>
          </w:p>
        </w:tc>
        <w:tc>
          <w:tcPr>
            <w:tcW w:type="dxa" w:w="4300"/>
            <w:shd w:fill="FFFFFF" w:val="clear"/>
            <w:tcMar>
              <w:top w:type="dxa" w:w="80"/>
              <w:left w:type="dxa" w:w="120"/>
              <w:bottom w:type="dxa" w:w="80"/>
              <w:right w:type="dxa" w:w="120"/>
            </w:tcMar>
          </w:tcPr>
          <w:p>
            <w:r>
              <w:rPr>
                <w:b w:val="false"/>
                <w:bCs w:val="false"/>
              </w:rPr>
              <w:t xml:space="preserve">Initial concept and discovery notes</w:t>
            </w:r>
          </w:p>
        </w:tc>
      </w:tr>
      <w:tr>
        <w:tc>
          <w:tcPr>
            <w:tcW w:type="dxa" w:w="1400"/>
            <w:shd w:fill="F2F2F2" w:val="clear"/>
            <w:tcMar>
              <w:top w:type="dxa" w:w="80"/>
              <w:left w:type="dxa" w:w="120"/>
              <w:bottom w:type="dxa" w:w="80"/>
              <w:right w:type="dxa" w:w="120"/>
            </w:tcMar>
          </w:tcPr>
          <w:p>
            <w:r>
              <w:rPr>
                <w:b w:val="false"/>
                <w:bCs w:val="false"/>
              </w:rPr>
              <w:t xml:space="preserve">1.0</w:t>
            </w:r>
          </w:p>
        </w:tc>
        <w:tc>
          <w:tcPr>
            <w:tcW w:type="dxa" w:w="1600"/>
            <w:shd w:fill="F2F2F2" w:val="clear"/>
            <w:tcMar>
              <w:top w:type="dxa" w:w="80"/>
              <w:left w:type="dxa" w:w="120"/>
              <w:bottom w:type="dxa" w:w="80"/>
              <w:right w:type="dxa" w:w="120"/>
            </w:tcMar>
          </w:tcPr>
          <w:p>
            <w:r>
              <w:rPr>
                <w:b w:val="false"/>
                <w:bCs w:val="false"/>
              </w:rPr>
              <w:t xml:space="preserve">Sep 2026</w:t>
            </w:r>
          </w:p>
        </w:tc>
        <w:tc>
          <w:tcPr>
            <w:tcW w:type="dxa" w:w="2200"/>
            <w:shd w:fill="F2F2F2" w:val="clear"/>
            <w:tcMar>
              <w:top w:type="dxa" w:w="80"/>
              <w:left w:type="dxa" w:w="120"/>
              <w:bottom w:type="dxa" w:w="80"/>
              <w:right w:type="dxa" w:w="120"/>
            </w:tcMar>
          </w:tcPr>
          <w:p>
            <w:r>
              <w:rPr>
                <w:b w:val="false"/>
                <w:bCs w:val="false"/>
              </w:rPr>
              <w:t xml:space="preserve">Product Team</w:t>
            </w:r>
          </w:p>
        </w:tc>
        <w:tc>
          <w:tcPr>
            <w:tcW w:type="dxa" w:w="4300"/>
            <w:shd w:fill="F2F2F2" w:val="clear"/>
            <w:tcMar>
              <w:top w:type="dxa" w:w="80"/>
              <w:left w:type="dxa" w:w="120"/>
              <w:bottom w:type="dxa" w:w="80"/>
              <w:right w:type="dxa" w:w="120"/>
            </w:tcMar>
          </w:tcPr>
          <w:p>
            <w:r>
              <w:rPr>
                <w:b w:val="false"/>
                <w:bCs w:val="false"/>
              </w:rPr>
              <w:t xml:space="preserve">First full PRD — scope, requirements, taxonomy, architecture (on-device, one-time license model)</w:t>
            </w:r>
          </w:p>
        </w:tc>
      </w:tr>
      <w:tr>
        <w:tc>
          <w:tcPr>
            <w:tcW w:type="dxa" w:w="1400"/>
            <w:shd w:fill="FFFFFF" w:val="clear"/>
            <w:tcMar>
              <w:top w:type="dxa" w:w="80"/>
              <w:left w:type="dxa" w:w="120"/>
              <w:bottom w:type="dxa" w:w="80"/>
              <w:right w:type="dxa" w:w="120"/>
            </w:tcMar>
          </w:tcPr>
          <w:p>
            <w:r>
              <w:rPr>
                <w:b w:val="false"/>
                <w:bCs w:val="false"/>
              </w:rPr>
              <w:t xml:space="preserve">2.0</w:t>
            </w:r>
          </w:p>
        </w:tc>
        <w:tc>
          <w:tcPr>
            <w:tcW w:type="dxa" w:w="1600"/>
            <w:shd w:fill="FFFFFF" w:val="clear"/>
            <w:tcMar>
              <w:top w:type="dxa" w:w="80"/>
              <w:left w:type="dxa" w:w="120"/>
              <w:bottom w:type="dxa" w:w="80"/>
              <w:right w:type="dxa" w:w="120"/>
            </w:tcMar>
          </w:tcPr>
          <w:p>
            <w:r>
              <w:rPr>
                <w:b w:val="false"/>
                <w:bCs w:val="false"/>
              </w:rPr>
              <w:t xml:space="preserve">Sep 2026</w:t>
            </w:r>
          </w:p>
        </w:tc>
        <w:tc>
          <w:tcPr>
            <w:tcW w:type="dxa" w:w="2200"/>
            <w:shd w:fill="FFFFFF" w:val="clear"/>
            <w:tcMar>
              <w:top w:type="dxa" w:w="80"/>
              <w:left w:type="dxa" w:w="120"/>
              <w:bottom w:type="dxa" w:w="80"/>
              <w:right w:type="dxa" w:w="120"/>
            </w:tcMar>
          </w:tcPr>
          <w:p>
            <w:r>
              <w:rPr>
                <w:b w:val="false"/>
                <w:bCs w:val="false"/>
              </w:rPr>
              <w:t xml:space="preserve">Product Team</w:t>
            </w:r>
          </w:p>
        </w:tc>
        <w:tc>
          <w:tcPr>
            <w:tcW w:type="dxa" w:w="4300"/>
            <w:shd w:fill="FFFFFF" w:val="clear"/>
            <w:tcMar>
              <w:top w:type="dxa" w:w="80"/>
              <w:left w:type="dxa" w:w="120"/>
              <w:bottom w:type="dxa" w:w="80"/>
              <w:right w:type="dxa" w:w="120"/>
            </w:tcMar>
          </w:tcPr>
          <w:p>
            <w:r>
              <w:rPr>
                <w:b w:val="false"/>
                <w:bCs w:val="false"/>
              </w:rPr>
              <w:t xml:space="preserve">Revised to cloud-hosted, multi-tenant SaaS architecture with Web, Android, and iOS clients and subscription billing</w:t>
            </w:r>
          </w:p>
        </w:tc>
      </w:tr>
    </w:tbl>
    <w:p>
      <w:r>
        <w:br w:type="page"/>
      </w:r>
    </w:p>
    <w:p>
      <w:pPr>
        <w:pStyle w:val="Heading1"/>
        <w:spacing w:after="200" w:before="400"/>
      </w:pPr>
      <w:r>
        <w:t xml:space="preserve">Table of Contents</w:t>
      </w:r>
    </w:p>
    <w:p>
      <w:pPr>
        <w:spacing w:after="120"/>
      </w:pPr>
      <w:r>
        <w:rPr>
          <w:b/>
          <w:bCs/>
          <w:sz w:val="22"/>
          <w:szCs w:val="22"/>
        </w:rPr>
        <w:t xml:space="preserve">1. Executive Summary</w:t>
      </w:r>
      <w:r>
        <w:ptab w:alignment="right" w:relativeTo="margin" w:leader="dot"/>
      </w:r>
      <w:r>
        <w:rPr>
          <w:b/>
          <w:bCs/>
        </w:rPr>
        <w:t xml:space="preserve">4</w:t>
      </w:r>
    </w:p>
    <w:p>
      <w:pPr>
        <w:spacing w:after="120"/>
      </w:pPr>
      <w:r>
        <w:rPr>
          <w:b/>
          <w:bCs/>
          <w:sz w:val="22"/>
          <w:szCs w:val="22"/>
        </w:rPr>
        <w:t xml:space="preserve">2. Problem Statement</w:t>
      </w:r>
      <w:r>
        <w:ptab w:alignment="right" w:relativeTo="margin" w:leader="dot"/>
      </w:r>
      <w:r>
        <w:rPr>
          <w:b/>
          <w:bCs/>
        </w:rPr>
        <w:t xml:space="preserve">5</w:t>
      </w:r>
    </w:p>
    <w:p>
      <w:pPr>
        <w:spacing w:after="120"/>
      </w:pPr>
      <w:r>
        <w:rPr>
          <w:b/>
          <w:bCs/>
          <w:sz w:val="22"/>
          <w:szCs w:val="22"/>
        </w:rPr>
        <w:t xml:space="preserve">3. Goals &amp; Objectives</w:t>
      </w:r>
      <w:r>
        <w:ptab w:alignment="right" w:relativeTo="margin" w:leader="dot"/>
      </w:r>
      <w:r>
        <w:rPr>
          <w:b/>
          <w:bCs/>
        </w:rPr>
        <w:t xml:space="preserve">6</w:t>
      </w:r>
    </w:p>
    <w:p>
      <w:pPr>
        <w:spacing w:after="120"/>
      </w:pPr>
      <w:r>
        <w:rPr>
          <w:b/>
          <w:bCs/>
          <w:sz w:val="22"/>
          <w:szCs w:val="22"/>
        </w:rPr>
        <w:t xml:space="preserve">4. Target Users &amp; Personas</w:t>
      </w:r>
      <w:r>
        <w:ptab w:alignment="right" w:relativeTo="margin" w:leader="dot"/>
      </w:r>
      <w:r>
        <w:rPr>
          <w:b/>
          <w:bCs/>
        </w:rPr>
        <w:t xml:space="preserve">7</w:t>
      </w:r>
    </w:p>
    <w:p>
      <w:pPr>
        <w:spacing w:after="120"/>
      </w:pPr>
      <w:r>
        <w:rPr>
          <w:b/>
          <w:bCs/>
          <w:sz w:val="22"/>
          <w:szCs w:val="22"/>
        </w:rPr>
        <w:t xml:space="preserve">5. Scope</w:t>
      </w:r>
      <w:r>
        <w:ptab w:alignment="right" w:relativeTo="margin" w:leader="dot"/>
      </w:r>
      <w:r>
        <w:rPr>
          <w:b/>
          <w:bCs/>
        </w:rPr>
        <w:t xml:space="preserve">8</w:t>
      </w:r>
    </w:p>
    <w:p>
      <w:pPr>
        <w:spacing w:after="120"/>
      </w:pPr>
      <w:r>
        <w:rPr>
          <w:b/>
          <w:bCs/>
          <w:sz w:val="22"/>
          <w:szCs w:val="22"/>
        </w:rPr>
        <w:t xml:space="preserve">6. Product Overview &amp; Core Modules</w:t>
      </w:r>
      <w:r>
        <w:ptab w:alignment="right" w:relativeTo="margin" w:leader="dot"/>
      </w:r>
      <w:r>
        <w:rPr>
          <w:b/>
          <w:bCs/>
        </w:rPr>
        <w:t xml:space="preserve">9</w:t>
      </w:r>
    </w:p>
    <w:p>
      <w:pPr>
        <w:spacing w:after="120"/>
      </w:pPr>
      <w:r>
        <w:rPr>
          <w:b/>
          <w:bCs/>
          <w:sz w:val="22"/>
          <w:szCs w:val="22"/>
        </w:rPr>
        <w:t xml:space="preserve">7. Functional Requirements</w:t>
      </w:r>
      <w:r>
        <w:ptab w:alignment="right" w:relativeTo="margin" w:leader="dot"/>
      </w:r>
      <w:r>
        <w:rPr>
          <w:b/>
          <w:bCs/>
        </w:rPr>
        <w:t xml:space="preserve">10</w:t>
      </w:r>
    </w:p>
    <w:p>
      <w:pPr>
        <w:spacing w:after="120"/>
      </w:pPr>
      <w:r>
        <w:rPr>
          <w:b/>
          <w:bCs/>
          <w:sz w:val="22"/>
          <w:szCs w:val="22"/>
        </w:rPr>
        <w:t xml:space="preserve">8. Category Taxonomy</w:t>
      </w:r>
      <w:r>
        <w:ptab w:alignment="right" w:relativeTo="margin" w:leader="dot"/>
      </w:r>
      <w:r>
        <w:rPr>
          <w:b/>
          <w:bCs/>
        </w:rPr>
        <w:t xml:space="preserve">12</w:t>
      </w:r>
    </w:p>
    <w:p>
      <w:pPr>
        <w:spacing w:after="120"/>
      </w:pPr>
      <w:r>
        <w:rPr>
          <w:b/>
          <w:bCs/>
          <w:sz w:val="22"/>
          <w:szCs w:val="22"/>
        </w:rPr>
        <w:t xml:space="preserve">9. Primary User Flows</w:t>
      </w:r>
      <w:r>
        <w:ptab w:alignment="right" w:relativeTo="margin" w:leader="dot"/>
      </w:r>
      <w:r>
        <w:rPr>
          <w:b/>
          <w:bCs/>
        </w:rPr>
        <w:t xml:space="preserve">14</w:t>
      </w:r>
    </w:p>
    <w:p>
      <w:pPr>
        <w:spacing w:after="120"/>
      </w:pPr>
      <w:r>
        <w:rPr>
          <w:b/>
          <w:bCs/>
          <w:sz w:val="22"/>
          <w:szCs w:val="22"/>
        </w:rPr>
        <w:t xml:space="preserve">10. Data Model (High Level)</w:t>
      </w:r>
      <w:r>
        <w:ptab w:alignment="right" w:relativeTo="margin" w:leader="dot"/>
      </w:r>
      <w:r>
        <w:rPr>
          <w:b/>
          <w:bCs/>
        </w:rPr>
        <w:t xml:space="preserve">15</w:t>
      </w:r>
    </w:p>
    <w:p>
      <w:pPr>
        <w:spacing w:after="120"/>
      </w:pPr>
      <w:r>
        <w:rPr>
          <w:b/>
          <w:bCs/>
          <w:sz w:val="22"/>
          <w:szCs w:val="22"/>
        </w:rPr>
        <w:t xml:space="preserve">11. Technical Architecture</w:t>
      </w:r>
      <w:r>
        <w:ptab w:alignment="right" w:relativeTo="margin" w:leader="dot"/>
      </w:r>
      <w:r>
        <w:rPr>
          <w:b/>
          <w:bCs/>
        </w:rPr>
        <w:t xml:space="preserve">16</w:t>
      </w:r>
    </w:p>
    <w:p>
      <w:pPr>
        <w:spacing w:after="120"/>
      </w:pPr>
      <w:r>
        <w:rPr>
          <w:b/>
          <w:bCs/>
          <w:sz w:val="22"/>
          <w:szCs w:val="22"/>
        </w:rPr>
        <w:t xml:space="preserve">12. Non-Functional Requirements</w:t>
      </w:r>
      <w:r>
        <w:ptab w:alignment="right" w:relativeTo="margin" w:leader="dot"/>
      </w:r>
      <w:r>
        <w:rPr>
          <w:b/>
          <w:bCs/>
        </w:rPr>
        <w:t xml:space="preserve">18</w:t>
      </w:r>
    </w:p>
    <w:p>
      <w:pPr>
        <w:spacing w:after="120"/>
      </w:pPr>
      <w:r>
        <w:rPr>
          <w:b/>
          <w:bCs/>
          <w:sz w:val="22"/>
          <w:szCs w:val="22"/>
        </w:rPr>
        <w:t xml:space="preserve">13. Subscription &amp; Monetization</w:t>
      </w:r>
      <w:r>
        <w:ptab w:alignment="right" w:relativeTo="margin" w:leader="dot"/>
      </w:r>
      <w:r>
        <w:rPr>
          <w:b/>
          <w:bCs/>
        </w:rPr>
        <w:t xml:space="preserve">19</w:t>
      </w:r>
    </w:p>
    <w:p>
      <w:pPr>
        <w:spacing w:after="120"/>
      </w:pPr>
      <w:r>
        <w:rPr>
          <w:b/>
          <w:bCs/>
          <w:sz w:val="22"/>
          <w:szCs w:val="22"/>
        </w:rPr>
        <w:t xml:space="preserve">14. Roadmap &amp; Phasing</w:t>
      </w:r>
      <w:r>
        <w:ptab w:alignment="right" w:relativeTo="margin" w:leader="dot"/>
      </w:r>
      <w:r>
        <w:rPr>
          <w:b/>
          <w:bCs/>
        </w:rPr>
        <w:t xml:space="preserve">20</w:t>
      </w:r>
    </w:p>
    <w:p>
      <w:pPr>
        <w:spacing w:after="120"/>
      </w:pPr>
      <w:r>
        <w:rPr>
          <w:b/>
          <w:bCs/>
          <w:sz w:val="22"/>
          <w:szCs w:val="22"/>
        </w:rPr>
        <w:t xml:space="preserve">15. Success Metrics</w:t>
      </w:r>
      <w:r>
        <w:ptab w:alignment="right" w:relativeTo="margin" w:leader="dot"/>
      </w:r>
      <w:r>
        <w:rPr>
          <w:b/>
          <w:bCs/>
        </w:rPr>
        <w:t xml:space="preserve">21</w:t>
      </w:r>
    </w:p>
    <w:p>
      <w:pPr>
        <w:spacing w:after="120"/>
      </w:pPr>
      <w:r>
        <w:rPr>
          <w:b/>
          <w:bCs/>
          <w:sz w:val="22"/>
          <w:szCs w:val="22"/>
        </w:rPr>
        <w:t xml:space="preserve">16. Risks &amp; Assumptions</w:t>
      </w:r>
      <w:r>
        <w:ptab w:alignment="right" w:relativeTo="margin" w:leader="dot"/>
      </w:r>
      <w:r>
        <w:rPr>
          <w:b/>
          <w:bCs/>
        </w:rPr>
        <w:t xml:space="preserve">22</w:t>
      </w:r>
    </w:p>
    <w:p>
      <w:pPr>
        <w:spacing w:after="120"/>
      </w:pPr>
      <w:r>
        <w:rPr>
          <w:b/>
          <w:bCs/>
          <w:sz w:val="22"/>
          <w:szCs w:val="22"/>
        </w:rPr>
        <w:t xml:space="preserve">17. Appendix</w:t>
      </w:r>
      <w:r>
        <w:ptab w:alignment="right" w:relativeTo="margin" w:leader="dot"/>
      </w:r>
      <w:r>
        <w:rPr>
          <w:b/>
          <w:bCs/>
        </w:rPr>
        <w:t xml:space="preserve">23</w:t>
      </w:r>
    </w:p>
    <w:p>
      <w:r>
        <w:br w:type="page"/>
      </w:r>
    </w:p>
    <w:p>
      <w:pPr>
        <w:pStyle w:val="Heading1"/>
        <w:spacing w:after="200" w:before="400"/>
      </w:pPr>
      <w:r>
        <w:t xml:space="preserve">1. Executive Summary</w:t>
      </w:r>
    </w:p>
    <w:p>
      <w:pPr>
        <w:spacing w:after="160"/>
      </w:pPr>
      <w:r>
        <w:t xml:space="preserve">StockPilot is a cloud-hosted, multi-tenant inventory management and stock-intelligence platform designed for small and mid-sized retail businesses that currently manage stock manually or through informal methods. The initial release targets automotive two-wheeler spare parts retailers — a segment with high SKU density, visually similar parts, and no existing affordable digital tooling.</w:t>
      </w:r>
    </w:p>
    <w:p>
      <w:pPr>
        <w:spacing w:after="160"/>
      </w:pPr>
      <w:r>
        <w:t xml:space="preserve">Unlike a single-device offline utility, StockPilot is architected as a proper SaaS product: a central backend hosted on company-managed cloud infrastructure serves three client surfaces — a web-based owner console, a native Android app, and a native iOS app — all backed by the same account, data, and subscription layer. This mirrors the architecture pattern used by consumer platforms such as Swiggy or Zepto (web + mobile clients over a shared backend and account system), applied here to a B2B retail-operations product rather than a delivery marketplace.</w:t>
      </w:r>
    </w:p>
    <w:p>
      <w:pPr>
        <w:spacing w:after="160"/>
      </w:pPr>
      <w:r>
        <w:t xml:space="preserve">Each retailer signs up for an account and is provisioned as an isolated tenant on the platform. Owners log inventory via barcode scan, manual entry, or photo capture from any client; receive automated low-stock alerts; record sales and print receipts (with no payment-gateway dependency in the sales flow itself); and view business performance reports that sync in real time across web and mobile. Access to the platform is subscription-based, billed per shop account.</w:t>
      </w:r>
    </w:p>
    <w:p>
      <w:pPr>
        <w:spacing w:after="160"/>
      </w:pPr>
      <w:r>
        <w:t xml:space="preserve">The data model and category taxonomy remain vertical-agnostic from day one, enabling planned expansion into four-wheeler auto parts, hardware and building-material stores, furniture retailers, and grocery (kirana) outlets using the same core engine and infrastructure.</w:t>
      </w:r>
    </w:p>
    <w:p>
      <w:pPr>
        <w:pStyle w:val="Heading2"/>
        <w:spacing w:after="150" w:before="300"/>
      </w:pPr>
      <w:r>
        <w:t xml:space="preserve">1.1 Key Value Propositions</w:t>
      </w:r>
    </w:p>
    <w:p>
      <w:pPr>
        <w:pStyle w:val="ListParagraph"/>
        <w:numPr>
          <w:ilvl w:val="0"/>
          <w:numId w:val="2"/>
        </w:numPr>
        <w:spacing w:after="80"/>
      </w:pPr>
      <w:r>
        <w:t xml:space="preserve">Unified experience across Web, Android, and iOS — inventory and sales data sync in real time across every client.</w:t>
      </w:r>
    </w:p>
    <w:p>
      <w:pPr>
        <w:pStyle w:val="ListParagraph"/>
        <w:numPr>
          <w:ilvl w:val="0"/>
          <w:numId w:val="2"/>
        </w:numPr>
        <w:spacing w:after="80"/>
      </w:pPr>
      <w:r>
        <w:t xml:space="preserve">Reduces stock-out incidents through automated, server-side threshold-based alerts and push notifications.</w:t>
      </w:r>
    </w:p>
    <w:p>
      <w:pPr>
        <w:pStyle w:val="ListParagraph"/>
        <w:numPr>
          <w:ilvl w:val="0"/>
          <w:numId w:val="2"/>
        </w:numPr>
        <w:spacing w:after="80"/>
      </w:pPr>
      <w:r>
        <w:t xml:space="preserve">Removes manual counting errors for visually similar, high-SKU-density inventory (e.g., bearings, cables, fasteners).</w:t>
      </w:r>
    </w:p>
    <w:p>
      <w:pPr>
        <w:pStyle w:val="ListParagraph"/>
        <w:numPr>
          <w:ilvl w:val="0"/>
          <w:numId w:val="2"/>
        </w:numPr>
        <w:spacing w:after="80"/>
      </w:pPr>
      <w:r>
        <w:t xml:space="preserve">Zero payment-gateway complexity within the retailer's own sales flow — sales are logged and receipted locally.</w:t>
      </w:r>
    </w:p>
    <w:p>
      <w:pPr>
        <w:pStyle w:val="ListParagraph"/>
        <w:numPr>
          <w:ilvl w:val="0"/>
          <w:numId w:val="2"/>
        </w:numPr>
        <w:spacing w:after="80"/>
      </w:pPr>
      <w:r>
        <w:t xml:space="preserve">Flexible, open category system — no rigid pre-built catalog required.</w:t>
      </w:r>
    </w:p>
    <w:p>
      <w:pPr>
        <w:pStyle w:val="ListParagraph"/>
        <w:numPr>
          <w:ilvl w:val="0"/>
          <w:numId w:val="2"/>
        </w:numPr>
        <w:spacing w:after="80"/>
      </w:pPr>
      <w:r>
        <w:t xml:space="preserve">Recurring subscription revenue model with centralized account management, replacing the constraints of a one-time, device-bound license.</w:t>
      </w:r>
    </w:p>
    <w:p>
      <w:pPr>
        <w:pStyle w:val="ListParagraph"/>
        <w:numPr>
          <w:ilvl w:val="0"/>
          <w:numId w:val="2"/>
        </w:numPr>
        <w:spacing w:after="80"/>
      </w:pPr>
      <w:r>
        <w:t xml:space="preserve">Built on a vertical-agnostic, multi-tenant data model, enabling low-cost expansion into adjacent retail categories and easy horizontal scaling as the customer base grows.</w:t>
      </w:r>
    </w:p>
    <w:p>
      <w:r>
        <w:br w:type="page"/>
      </w:r>
    </w:p>
    <w:p>
      <w:pPr>
        <w:pStyle w:val="Heading1"/>
        <w:spacing w:after="200" w:before="400"/>
      </w:pPr>
      <w:r>
        <w:t xml:space="preserve">2. Problem Statement</w:t>
      </w:r>
    </w:p>
    <w:p>
      <w:pPr>
        <w:spacing w:after="160"/>
      </w:pPr>
      <w:r>
        <w:t xml:space="preserve">Small retail businesses across India — particularly in the automotive spare-parts segment — rely on manual stock-keeping methods: memory, notebooks, or informal registers. This creates three recurring, quantifiable problems:</w:t>
      </w:r>
    </w:p>
    <w:p>
      <w:pPr>
        <w:pStyle w:val="Heading2"/>
        <w:spacing w:after="150" w:before="300"/>
      </w:pPr>
      <w:r>
        <w:t xml:space="preserve">2.1 Core Pain Points</w:t>
      </w:r>
    </w:p>
    <w:p>
      <w:pPr>
        <w:pStyle w:val="ListParagraph"/>
        <w:numPr>
          <w:ilvl w:val="0"/>
          <w:numId w:val="2"/>
        </w:numPr>
        <w:spacing w:after="80"/>
      </w:pPr>
      <w:r>
        <w:t xml:space="preserve">Inventory blindness: owners cannot see stock depletion until an item is already out, leading to lost sales and delayed restocking.</w:t>
      </w:r>
    </w:p>
    <w:p>
      <w:pPr>
        <w:pStyle w:val="ListParagraph"/>
        <w:numPr>
          <w:ilvl w:val="0"/>
          <w:numId w:val="2"/>
        </w:numPr>
        <w:spacing w:after="80"/>
      </w:pPr>
      <w:r>
        <w:t xml:space="preserve">Counting errors: parts such as bearings, washers, and fasteners are visually near-identical across variants, making manual tracking unreliable.</w:t>
      </w:r>
    </w:p>
    <w:p>
      <w:pPr>
        <w:pStyle w:val="ListParagraph"/>
        <w:numPr>
          <w:ilvl w:val="0"/>
          <w:numId w:val="2"/>
        </w:numPr>
        <w:spacing w:after="80"/>
      </w:pPr>
      <w:r>
        <w:t xml:space="preserve">No performance visibility: owners have no simple way to know weekly/monthly sales volume, revenue, or top-moving items without manual reconciliation.</w:t>
      </w:r>
    </w:p>
    <w:p>
      <w:pPr>
        <w:pStyle w:val="ListParagraph"/>
        <w:numPr>
          <w:ilvl w:val="0"/>
          <w:numId w:val="2"/>
        </w:numPr>
        <w:spacing w:after="80"/>
      </w:pPr>
      <w:r>
        <w:t xml:space="preserve">Disconnected restocking: re-ordering from distributors is a manual, offline process, disconnected from the actual inventory record.</w:t>
      </w:r>
    </w:p>
    <w:p>
      <w:pPr>
        <w:pStyle w:val="Heading2"/>
        <w:spacing w:after="150" w:before="300"/>
      </w:pPr>
      <w:r>
        <w:t xml:space="preserve">2.2 Why Existing Solutions Fall Short</w:t>
      </w:r>
    </w:p>
    <w:p>
      <w:pPr>
        <w:pStyle w:val="ListParagraph"/>
        <w:numPr>
          <w:ilvl w:val="0"/>
          <w:numId w:val="2"/>
        </w:numPr>
        <w:spacing w:after="80"/>
      </w:pPr>
      <w:r>
        <w:t xml:space="preserve">Enterprise inventory / ERP software is priced and designed for large retailers or organized chains, not single-shop operators.</w:t>
      </w:r>
    </w:p>
    <w:p>
      <w:pPr>
        <w:pStyle w:val="ListParagraph"/>
        <w:numPr>
          <w:ilvl w:val="0"/>
          <w:numId w:val="2"/>
        </w:numPr>
        <w:spacing w:after="80"/>
      </w:pPr>
      <w:r>
        <w:t xml:space="preserve">General-purpose spreadsheet or notebook tracking does not scale past a few hundred SKUs and has no alerting capability.</w:t>
      </w:r>
    </w:p>
    <w:p>
      <w:pPr>
        <w:pStyle w:val="ListParagraph"/>
        <w:numPr>
          <w:ilvl w:val="0"/>
          <w:numId w:val="2"/>
        </w:numPr>
        <w:spacing w:after="80"/>
      </w:pPr>
      <w:r>
        <w:t xml:space="preserve">Marketplace catalogs (e.g., Boodmo) serve parts discovery and purchasing for consumers/workshops, not a retailer's own internal stock tracking.</w:t>
      </w:r>
    </w:p>
    <w:p>
      <w:r>
        <w:br w:type="page"/>
      </w:r>
    </w:p>
    <w:p>
      <w:pPr>
        <w:pStyle w:val="Heading1"/>
        <w:spacing w:after="200" w:before="400"/>
      </w:pPr>
      <w:r>
        <w:t xml:space="preserve">3. Goals &amp; Objectives</w:t>
      </w:r>
    </w:p>
    <w:p>
      <w:pPr>
        <w:pStyle w:val="Heading2"/>
        <w:spacing w:after="150" w:before="300"/>
      </w:pPr>
      <w:r>
        <w:t xml:space="preserve">3.1 Business Goals</w:t>
      </w:r>
    </w:p>
    <w:p>
      <w:pPr>
        <w:pStyle w:val="ListParagraph"/>
        <w:numPr>
          <w:ilvl w:val="0"/>
          <w:numId w:val="2"/>
        </w:numPr>
        <w:spacing w:after="80"/>
      </w:pPr>
      <w:r>
        <w:t xml:space="preserve">Establish a repeatable, low-cost software product sellable to independent retailers at ₹100–₹500 per license.</w:t>
      </w:r>
    </w:p>
    <w:p>
      <w:pPr>
        <w:pStyle w:val="ListParagraph"/>
        <w:numPr>
          <w:ilvl w:val="0"/>
          <w:numId w:val="2"/>
        </w:numPr>
        <w:spacing w:after="80"/>
      </w:pPr>
      <w:r>
        <w:t xml:space="preserve">Validate product-market fit with a focused pilot in the two-wheeler auto-parts vertical before multi-vertical expansion.</w:t>
      </w:r>
    </w:p>
    <w:p>
      <w:pPr>
        <w:pStyle w:val="ListParagraph"/>
        <w:numPr>
          <w:ilvl w:val="0"/>
          <w:numId w:val="2"/>
        </w:numPr>
        <w:spacing w:after="80"/>
      </w:pPr>
      <w:r>
        <w:t xml:space="preserve">Build a data model reusable across at least four retail verticals without re-architecture.</w:t>
      </w:r>
    </w:p>
    <w:p>
      <w:pPr>
        <w:pStyle w:val="Heading2"/>
        <w:spacing w:after="150" w:before="300"/>
      </w:pPr>
      <w:r>
        <w:t xml:space="preserve">3.2 Product Goals</w:t>
      </w:r>
    </w:p>
    <w:p>
      <w:pPr>
        <w:pStyle w:val="ListParagraph"/>
        <w:numPr>
          <w:ilvl w:val="0"/>
          <w:numId w:val="2"/>
        </w:numPr>
        <w:spacing w:after="80"/>
      </w:pPr>
      <w:r>
        <w:t xml:space="preserve">Enable a non-technical shop owner to log a new item in under 15 seconds via scan or photo.</w:t>
      </w:r>
    </w:p>
    <w:p>
      <w:pPr>
        <w:pStyle w:val="ListParagraph"/>
        <w:numPr>
          <w:ilvl w:val="0"/>
          <w:numId w:val="2"/>
        </w:numPr>
        <w:spacing w:after="80"/>
      </w:pPr>
      <w:r>
        <w:t xml:space="preserve">Surface low-stock alerts automatically, with zero manual threshold-checking by the owner.</w:t>
      </w:r>
    </w:p>
    <w:p>
      <w:pPr>
        <w:pStyle w:val="ListParagraph"/>
        <w:numPr>
          <w:ilvl w:val="0"/>
          <w:numId w:val="2"/>
        </w:numPr>
        <w:spacing w:after="80"/>
      </w:pPr>
      <w:r>
        <w:t xml:space="preserve">Provide a sale-to-receipt flow that requires no payment integration and works with common thermal printers.</w:t>
      </w:r>
    </w:p>
    <w:p>
      <w:pPr>
        <w:pStyle w:val="ListParagraph"/>
        <w:numPr>
          <w:ilvl w:val="0"/>
          <w:numId w:val="2"/>
        </w:numPr>
        <w:spacing w:after="80"/>
      </w:pPr>
      <w:r>
        <w:t xml:space="preserve">Prevent license sharing through device-bound activation.</w:t>
      </w:r>
    </w:p>
    <w:p>
      <w:pPr>
        <w:pStyle w:val="Heading2"/>
        <w:spacing w:after="150" w:before="300"/>
      </w:pPr>
      <w:r>
        <w:t xml:space="preserve">3.3 Non-Goals (for MVP)</w:t>
      </w:r>
    </w:p>
    <w:p>
      <w:pPr>
        <w:pStyle w:val="ListParagraph"/>
        <w:numPr>
          <w:ilvl w:val="0"/>
          <w:numId w:val="2"/>
        </w:numPr>
        <w:spacing w:after="80"/>
      </w:pPr>
      <w:r>
        <w:t xml:space="preserve">Payment processing or point-of-sale (POS) payment collection.</w:t>
      </w:r>
    </w:p>
    <w:p>
      <w:pPr>
        <w:pStyle w:val="ListParagraph"/>
        <w:numPr>
          <w:ilvl w:val="0"/>
          <w:numId w:val="2"/>
        </w:numPr>
        <w:spacing w:after="80"/>
      </w:pPr>
      <w:r>
        <w:t xml:space="preserve">Multi-store / multi-branch centralized management.</w:t>
      </w:r>
    </w:p>
    <w:p>
      <w:pPr>
        <w:pStyle w:val="ListParagraph"/>
        <w:numPr>
          <w:ilvl w:val="0"/>
          <w:numId w:val="2"/>
        </w:numPr>
        <w:spacing w:after="80"/>
      </w:pPr>
      <w:r>
        <w:t xml:space="preserve">Real-time distributor marketplace transactions (Phase 2 scope only).</w:t>
      </w:r>
    </w:p>
    <w:p>
      <w:r>
        <w:br w:type="page"/>
      </w:r>
    </w:p>
    <w:p>
      <w:pPr>
        <w:pStyle w:val="Heading1"/>
        <w:spacing w:after="200" w:before="400"/>
      </w:pPr>
      <w:r>
        <w:t xml:space="preserve">4. Target Users &amp; Personas</w:t>
      </w:r>
    </w:p>
    <w:p>
      <w:pPr>
        <w:pStyle w:val="Heading2"/>
        <w:spacing w:after="150" w:before="300"/>
      </w:pPr>
      <w:r>
        <w:t xml:space="preserve">4.1 Primary Persona — Independent Auto Parts Retailer</w:t>
      </w:r>
    </w:p>
    <w:p>
      <w:pPr>
        <w:spacing w:after="100"/>
      </w:pPr>
      <w:r>
        <w:rPr>
          <w:b/>
          <w:bCs/>
        </w:rPr>
        <w:t xml:space="preserve">Profile:  </w:t>
      </w:r>
      <w:r>
        <w:t xml:space="preserve">Owns/operates a single two-wheeler spare parts shop; 1–3 staff; limited formal tech exposure</w:t>
      </w:r>
    </w:p>
    <w:p>
      <w:pPr>
        <w:spacing w:after="100"/>
      </w:pPr>
      <w:r>
        <w:rPr>
          <w:b/>
          <w:bCs/>
        </w:rPr>
        <w:t xml:space="preserve">Goals:  </w:t>
      </w:r>
      <w:r>
        <w:t xml:space="preserve">Avoid stock-outs, reduce counting errors, know monthly revenue at a glance</w:t>
      </w:r>
    </w:p>
    <w:p>
      <w:pPr>
        <w:spacing w:after="100"/>
      </w:pPr>
      <w:r>
        <w:rPr>
          <w:b/>
          <w:bCs/>
        </w:rPr>
        <w:t xml:space="preserve">Frustrations:  </w:t>
      </w:r>
      <w:r>
        <w:t xml:space="preserve">Manual registers, memory-based reordering, no visibility into fast vs. slow moving parts</w:t>
      </w:r>
    </w:p>
    <w:p>
      <w:pPr>
        <w:spacing w:after="100"/>
      </w:pPr>
      <w:r>
        <w:rPr>
          <w:b/>
          <w:bCs/>
        </w:rPr>
        <w:t xml:space="preserve">Tech Comfort:  </w:t>
      </w:r>
      <w:r>
        <w:t xml:space="preserve">Comfortable with smartphone apps (WhatsApp, UPI); not a power user</w:t>
      </w:r>
    </w:p>
    <w:p>
      <w:pPr>
        <w:pStyle w:val="Heading2"/>
        <w:spacing w:after="150" w:before="300"/>
      </w:pPr>
      <w:r>
        <w:t xml:space="preserve">4.2 Secondary Persona — Distributor / Supplier Contact</w:t>
      </w:r>
    </w:p>
    <w:p>
      <w:pPr>
        <w:spacing w:after="100"/>
      </w:pPr>
      <w:r>
        <w:rPr>
          <w:b/>
          <w:bCs/>
        </w:rPr>
        <w:t xml:space="preserve">Profile:  </w:t>
      </w:r>
      <w:r>
        <w:t xml:space="preserve">Wholesale supplier who fulfills restock orders for multiple retailers</w:t>
      </w:r>
    </w:p>
    <w:p>
      <w:pPr>
        <w:spacing w:after="100"/>
      </w:pPr>
      <w:r>
        <w:rPr>
          <w:b/>
          <w:bCs/>
        </w:rPr>
        <w:t xml:space="preserve">Interaction with product:  </w:t>
      </w:r>
      <w:r>
        <w:t xml:space="preserve">Phase 2 — surfaced within the retailer's low-stock alert as a reorder suggestion</w:t>
      </w:r>
    </w:p>
    <w:p>
      <w:pPr>
        <w:pStyle w:val="Heading2"/>
        <w:spacing w:after="150" w:before="300"/>
      </w:pPr>
      <w:r>
        <w:t xml:space="preserve">4.3 Future Personas (Phase 3 — Multi-Vertical)</w:t>
      </w:r>
    </w:p>
    <w:p>
      <w:pPr>
        <w:pStyle w:val="ListParagraph"/>
        <w:numPr>
          <w:ilvl w:val="0"/>
          <w:numId w:val="2"/>
        </w:numPr>
        <w:spacing w:after="80"/>
      </w:pPr>
      <w:r>
        <w:t xml:space="preserve">Hardware / building-material shop owner</w:t>
      </w:r>
    </w:p>
    <w:p>
      <w:pPr>
        <w:pStyle w:val="ListParagraph"/>
        <w:numPr>
          <w:ilvl w:val="0"/>
          <w:numId w:val="2"/>
        </w:numPr>
        <w:spacing w:after="80"/>
      </w:pPr>
      <w:r>
        <w:t xml:space="preserve">Furniture retailer</w:t>
      </w:r>
    </w:p>
    <w:p>
      <w:pPr>
        <w:pStyle w:val="ListParagraph"/>
        <w:numPr>
          <w:ilvl w:val="0"/>
          <w:numId w:val="2"/>
        </w:numPr>
        <w:spacing w:after="80"/>
      </w:pPr>
      <w:r>
        <w:t xml:space="preserve">Kirana / grocery store owner</w:t>
      </w:r>
    </w:p>
    <w:p>
      <w:r>
        <w:br w:type="page"/>
      </w:r>
    </w:p>
    <w:p>
      <w:pPr>
        <w:pStyle w:val="Heading1"/>
        <w:spacing w:after="200" w:before="400"/>
      </w:pPr>
      <w:r>
        <w:t xml:space="preserve">5. Scope</w:t>
      </w:r>
    </w:p>
    <w:p>
      <w:pPr>
        <w:pStyle w:val="Heading2"/>
        <w:spacing w:after="150" w:before="300"/>
      </w:pPr>
      <w:r>
        <w:t xml:space="preserve">5.1 In Scope — MVP (Phase 1)</w:t>
      </w:r>
    </w:p>
    <w:p>
      <w:pPr>
        <w:pStyle w:val="ListParagraph"/>
        <w:numPr>
          <w:ilvl w:val="0"/>
          <w:numId w:val="2"/>
        </w:numPr>
        <w:spacing w:after="80"/>
      </w:pPr>
      <w:r>
        <w:t xml:space="preserve">Cloud-hosted multi-tenant backend with account sign-up, login, and shop provisioning</w:t>
      </w:r>
    </w:p>
    <w:p>
      <w:pPr>
        <w:pStyle w:val="ListParagraph"/>
        <w:numPr>
          <w:ilvl w:val="0"/>
          <w:numId w:val="2"/>
        </w:numPr>
        <w:spacing w:after="80"/>
      </w:pPr>
      <w:r>
        <w:t xml:space="preserve">Web owner console (responsive web app) for setup, catalog management, and reporting</w:t>
      </w:r>
    </w:p>
    <w:p>
      <w:pPr>
        <w:pStyle w:val="ListParagraph"/>
        <w:numPr>
          <w:ilvl w:val="0"/>
          <w:numId w:val="2"/>
        </w:numPr>
        <w:spacing w:after="80"/>
      </w:pPr>
      <w:r>
        <w:t xml:space="preserve">Android native app for day-to-day floor operations (scan, sell, alerts)</w:t>
      </w:r>
    </w:p>
    <w:p>
      <w:pPr>
        <w:pStyle w:val="ListParagraph"/>
        <w:numPr>
          <w:ilvl w:val="0"/>
          <w:numId w:val="2"/>
        </w:numPr>
        <w:spacing w:after="80"/>
      </w:pPr>
      <w:r>
        <w:t xml:space="preserve">iOS native app, released alongside Android using a shared cross-platform codebase</w:t>
      </w:r>
    </w:p>
    <w:p>
      <w:pPr>
        <w:pStyle w:val="ListParagraph"/>
        <w:numPr>
          <w:ilvl w:val="0"/>
          <w:numId w:val="2"/>
        </w:numPr>
        <w:spacing w:after="80"/>
      </w:pPr>
      <w:r>
        <w:t xml:space="preserve">Barcode scanning for item entry (mobile clients)</w:t>
      </w:r>
    </w:p>
    <w:p>
      <w:pPr>
        <w:pStyle w:val="ListParagraph"/>
        <w:numPr>
          <w:ilvl w:val="0"/>
          <w:numId w:val="2"/>
        </w:numPr>
        <w:spacing w:after="80"/>
      </w:pPr>
      <w:r>
        <w:t xml:space="preserve">Manual text entry for items without barcodes (web and mobile)</w:t>
      </w:r>
    </w:p>
    <w:p>
      <w:pPr>
        <w:pStyle w:val="ListParagraph"/>
        <w:numPr>
          <w:ilvl w:val="0"/>
          <w:numId w:val="2"/>
        </w:numPr>
        <w:spacing w:after="80"/>
      </w:pPr>
      <w:r>
        <w:t xml:space="preserve">Photo-capture item tagging (mobile clients)</w:t>
      </w:r>
    </w:p>
    <w:p>
      <w:pPr>
        <w:pStyle w:val="ListParagraph"/>
        <w:numPr>
          <w:ilvl w:val="0"/>
          <w:numId w:val="2"/>
        </w:numPr>
        <w:spacing w:after="80"/>
      </w:pPr>
      <w:r>
        <w:t xml:space="preserve">Open/custom category and sub-category creation</w:t>
      </w:r>
    </w:p>
    <w:p>
      <w:pPr>
        <w:pStyle w:val="ListParagraph"/>
        <w:numPr>
          <w:ilvl w:val="0"/>
          <w:numId w:val="2"/>
        </w:numPr>
        <w:spacing w:after="80"/>
      </w:pPr>
      <w:r>
        <w:t xml:space="preserve">Server-side low-stock threshold alerts with push notification delivery</w:t>
      </w:r>
    </w:p>
    <w:p>
      <w:pPr>
        <w:pStyle w:val="ListParagraph"/>
        <w:numPr>
          <w:ilvl w:val="0"/>
          <w:numId w:val="2"/>
        </w:numPr>
        <w:spacing w:after="80"/>
      </w:pPr>
      <w:r>
        <w:t xml:space="preserve">Sales logging with local, printable receipt generation</w:t>
      </w:r>
    </w:p>
    <w:p>
      <w:pPr>
        <w:pStyle w:val="ListParagraph"/>
        <w:numPr>
          <w:ilvl w:val="0"/>
          <w:numId w:val="2"/>
        </w:numPr>
        <w:spacing w:after="80"/>
      </w:pPr>
      <w:r>
        <w:t xml:space="preserve">Weekly/monthly reporting dashboard, available on web and mobile</w:t>
      </w:r>
    </w:p>
    <w:p>
      <w:pPr>
        <w:pStyle w:val="ListParagraph"/>
        <w:numPr>
          <w:ilvl w:val="0"/>
          <w:numId w:val="2"/>
        </w:numPr>
        <w:spacing w:after="80"/>
      </w:pPr>
      <w:r>
        <w:t xml:space="preserve">Subscription sign-up and billing management, with account-based access (no device-lock)</w:t>
      </w:r>
    </w:p>
    <w:p>
      <w:pPr>
        <w:pStyle w:val="Heading2"/>
        <w:spacing w:after="150" w:before="300"/>
      </w:pPr>
      <w:r>
        <w:t xml:space="preserve">5.2 In Scope — Phase 2</w:t>
      </w:r>
    </w:p>
    <w:p>
      <w:pPr>
        <w:pStyle w:val="ListParagraph"/>
        <w:numPr>
          <w:ilvl w:val="0"/>
          <w:numId w:val="2"/>
        </w:numPr>
        <w:spacing w:after="80"/>
      </w:pPr>
      <w:r>
        <w:t xml:space="preserve">Invoice scanning with OCR-based auto-entry into inventory</w:t>
      </w:r>
    </w:p>
    <w:p>
      <w:pPr>
        <w:pStyle w:val="ListParagraph"/>
        <w:numPr>
          <w:ilvl w:val="0"/>
          <w:numId w:val="2"/>
        </w:numPr>
        <w:spacing w:after="80"/>
      </w:pPr>
      <w:r>
        <w:t xml:space="preserve">Distributor directory and reorder suggestions</w:t>
      </w:r>
    </w:p>
    <w:p>
      <w:pPr>
        <w:pStyle w:val="ListParagraph"/>
        <w:numPr>
          <w:ilvl w:val="0"/>
          <w:numId w:val="2"/>
        </w:numPr>
        <w:spacing w:after="80"/>
      </w:pPr>
      <w:r>
        <w:t xml:space="preserve">Role-based multi-staff accounts per shop (owner, staff, view-only)</w:t>
      </w:r>
    </w:p>
    <w:p>
      <w:pPr>
        <w:pStyle w:val="Heading2"/>
        <w:spacing w:after="150" w:before="300"/>
      </w:pPr>
      <w:r>
        <w:t xml:space="preserve">5.3 In Scope — Phase 3</w:t>
      </w:r>
    </w:p>
    <w:p>
      <w:pPr>
        <w:pStyle w:val="ListParagraph"/>
        <w:numPr>
          <w:ilvl w:val="0"/>
          <w:numId w:val="2"/>
        </w:numPr>
        <w:spacing w:after="80"/>
      </w:pPr>
      <w:r>
        <w:t xml:space="preserve">Multi-vertical category packs (hardware, furniture, kirana, four-wheeler)</w:t>
      </w:r>
    </w:p>
    <w:p>
      <w:pPr>
        <w:pStyle w:val="ListParagraph"/>
        <w:numPr>
          <w:ilvl w:val="0"/>
          <w:numId w:val="2"/>
        </w:numPr>
        <w:spacing w:after="80"/>
      </w:pPr>
      <w:r>
        <w:t xml:space="preserve">Multi-branch account hierarchy (one owner, several shop locations)</w:t>
      </w:r>
    </w:p>
    <w:p>
      <w:pPr>
        <w:pStyle w:val="Heading2"/>
        <w:spacing w:after="150" w:before="300"/>
      </w:pPr>
      <w:r>
        <w:t xml:space="preserve">5.4 Out of Scope (All Phases, Unless Revisited)</w:t>
      </w:r>
    </w:p>
    <w:p>
      <w:pPr>
        <w:pStyle w:val="ListParagraph"/>
        <w:numPr>
          <w:ilvl w:val="0"/>
          <w:numId w:val="2"/>
        </w:numPr>
        <w:spacing w:after="80"/>
      </w:pPr>
      <w:r>
        <w:t xml:space="preserve">Payment gateway integration within the retailer's own customer-facing sales flow</w:t>
      </w:r>
    </w:p>
    <w:p>
      <w:pPr>
        <w:pStyle w:val="ListParagraph"/>
        <w:numPr>
          <w:ilvl w:val="0"/>
          <w:numId w:val="2"/>
        </w:numPr>
        <w:spacing w:after="80"/>
      </w:pPr>
      <w:r>
        <w:t xml:space="preserve">Accounting / GST filing functionality</w:t>
      </w:r>
    </w:p>
    <w:p>
      <w:pPr>
        <w:pStyle w:val="ListParagraph"/>
        <w:numPr>
          <w:ilvl w:val="0"/>
          <w:numId w:val="2"/>
        </w:numPr>
        <w:spacing w:after="80"/>
      </w:pPr>
      <w:r>
        <w:t xml:space="preserve">Consumer-facing marketplace or delivery functionality</w:t>
      </w:r>
    </w:p>
    <w:p>
      <w:r>
        <w:br w:type="page"/>
      </w:r>
    </w:p>
    <w:p>
      <w:pPr>
        <w:pStyle w:val="Heading1"/>
        <w:spacing w:after="200" w:before="400"/>
      </w:pPr>
      <w:r>
        <w:t xml:space="preserve">6. Product Overview &amp; Core Modules</w:t>
      </w:r>
    </w:p>
    <w:p>
      <w:pPr>
        <w:spacing w:after="160"/>
      </w:pPr>
      <w:r>
        <w:t xml:space="preserve">The platform is organized into seven core modules, shared across all three client surfaces (Web, Android, iOS):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1F3864" w:val="clear"/>
            <w:tcMar>
              <w:top w:type="dxa" w:w="80"/>
              <w:left w:type="dxa" w:w="120"/>
              <w:bottom w:type="dxa" w:w="80"/>
              <w:right w:type="dxa" w:w="120"/>
            </w:tcMar>
          </w:tcPr>
          <w:p>
            <w:r>
              <w:rPr>
                <w:b/>
                <w:bCs/>
                <w:color w:val="FFFFFF"/>
              </w:rPr>
              <w:t xml:space="preserve">Module</w:t>
            </w:r>
          </w:p>
        </w:tc>
        <w:tc>
          <w:tcPr>
            <w:tcW w:type="dxa" w:w="6500"/>
            <w:shd w:fill="1F3864" w:val="clear"/>
            <w:tcMar>
              <w:top w:type="dxa" w:w="80"/>
              <w:left w:type="dxa" w:w="120"/>
              <w:bottom w:type="dxa" w:w="80"/>
              <w:right w:type="dxa" w:w="120"/>
            </w:tcMar>
          </w:tcPr>
          <w:p>
            <w:r>
              <w:rPr>
                <w:b/>
                <w:bCs/>
                <w:color w:val="FFFFFF"/>
              </w:rPr>
              <w:t xml:space="preserve">Purpose</w:t>
            </w:r>
          </w:p>
        </w:tc>
      </w:tr>
      <w:tr>
        <w:tc>
          <w:tcPr>
            <w:tcW w:type="dxa" w:w="3000"/>
            <w:shd w:fill="FFFFFF" w:val="clear"/>
            <w:tcMar>
              <w:top w:type="dxa" w:w="80"/>
              <w:left w:type="dxa" w:w="120"/>
              <w:bottom w:type="dxa" w:w="80"/>
              <w:right w:type="dxa" w:w="120"/>
            </w:tcMar>
          </w:tcPr>
          <w:p>
            <w:r>
              <w:rPr>
                <w:b w:val="false"/>
                <w:bCs w:val="false"/>
              </w:rPr>
              <w:t xml:space="preserve">Accounts &amp; Authentication</w:t>
            </w:r>
          </w:p>
        </w:tc>
        <w:tc>
          <w:tcPr>
            <w:tcW w:type="dxa" w:w="6500"/>
            <w:shd w:fill="FFFFFF" w:val="clear"/>
            <w:tcMar>
              <w:top w:type="dxa" w:w="80"/>
              <w:left w:type="dxa" w:w="120"/>
              <w:bottom w:type="dxa" w:w="80"/>
              <w:right w:type="dxa" w:w="120"/>
            </w:tcMar>
          </w:tcPr>
          <w:p>
            <w:r>
              <w:rPr>
                <w:b w:val="false"/>
                <w:bCs w:val="false"/>
              </w:rPr>
              <w:t xml:space="preserve">Shop sign-up, login, session management, and role-based access</w:t>
            </w:r>
          </w:p>
        </w:tc>
      </w:tr>
      <w:tr>
        <w:tc>
          <w:tcPr>
            <w:tcW w:type="dxa" w:w="3000"/>
            <w:shd w:fill="F2F2F2" w:val="clear"/>
            <w:tcMar>
              <w:top w:type="dxa" w:w="80"/>
              <w:left w:type="dxa" w:w="120"/>
              <w:bottom w:type="dxa" w:w="80"/>
              <w:right w:type="dxa" w:w="120"/>
            </w:tcMar>
          </w:tcPr>
          <w:p>
            <w:r>
              <w:rPr>
                <w:b w:val="false"/>
                <w:bCs w:val="false"/>
              </w:rPr>
              <w:t xml:space="preserve">Tenant &amp; Shop Management</w:t>
            </w:r>
          </w:p>
        </w:tc>
        <w:tc>
          <w:tcPr>
            <w:tcW w:type="dxa" w:w="6500"/>
            <w:shd w:fill="F2F2F2" w:val="clear"/>
            <w:tcMar>
              <w:top w:type="dxa" w:w="80"/>
              <w:left w:type="dxa" w:w="120"/>
              <w:bottom w:type="dxa" w:w="80"/>
              <w:right w:type="dxa" w:w="120"/>
            </w:tcMar>
          </w:tcPr>
          <w:p>
            <w:r>
              <w:rPr>
                <w:b w:val="false"/>
                <w:bCs w:val="false"/>
              </w:rPr>
              <w:t xml:space="preserve">Provision each retailer as an isolated tenant; manage shop profile and settings</w:t>
            </w:r>
          </w:p>
        </w:tc>
      </w:tr>
      <w:tr>
        <w:tc>
          <w:tcPr>
            <w:tcW w:type="dxa" w:w="3000"/>
            <w:shd w:fill="FFFFFF" w:val="clear"/>
            <w:tcMar>
              <w:top w:type="dxa" w:w="80"/>
              <w:left w:type="dxa" w:w="120"/>
              <w:bottom w:type="dxa" w:w="80"/>
              <w:right w:type="dxa" w:w="120"/>
            </w:tcMar>
          </w:tcPr>
          <w:p>
            <w:r>
              <w:rPr>
                <w:b w:val="false"/>
                <w:bCs w:val="false"/>
              </w:rPr>
              <w:t xml:space="preserve">Inventory Management</w:t>
            </w:r>
          </w:p>
        </w:tc>
        <w:tc>
          <w:tcPr>
            <w:tcW w:type="dxa" w:w="6500"/>
            <w:shd w:fill="FFFFFF" w:val="clear"/>
            <w:tcMar>
              <w:top w:type="dxa" w:w="80"/>
              <w:left w:type="dxa" w:w="120"/>
              <w:bottom w:type="dxa" w:w="80"/>
              <w:right w:type="dxa" w:w="120"/>
            </w:tcMar>
          </w:tcPr>
          <w:p>
            <w:r>
              <w:rPr>
                <w:b w:val="false"/>
                <w:bCs w:val="false"/>
              </w:rPr>
              <w:t xml:space="preserve">Add, edit, and categorize stock via scan, manual entry, or photo — synced across clients</w:t>
            </w:r>
          </w:p>
        </w:tc>
      </w:tr>
      <w:tr>
        <w:tc>
          <w:tcPr>
            <w:tcW w:type="dxa" w:w="3000"/>
            <w:shd w:fill="F2F2F2" w:val="clear"/>
            <w:tcMar>
              <w:top w:type="dxa" w:w="80"/>
              <w:left w:type="dxa" w:w="120"/>
              <w:bottom w:type="dxa" w:w="80"/>
              <w:right w:type="dxa" w:w="120"/>
            </w:tcMar>
          </w:tcPr>
          <w:p>
            <w:r>
              <w:rPr>
                <w:b w:val="false"/>
                <w:bCs w:val="false"/>
              </w:rPr>
              <w:t xml:space="preserve">Alerts Engine</w:t>
            </w:r>
          </w:p>
        </w:tc>
        <w:tc>
          <w:tcPr>
            <w:tcW w:type="dxa" w:w="6500"/>
            <w:shd w:fill="F2F2F2" w:val="clear"/>
            <w:tcMar>
              <w:top w:type="dxa" w:w="80"/>
              <w:left w:type="dxa" w:w="120"/>
              <w:bottom w:type="dxa" w:w="80"/>
              <w:right w:type="dxa" w:w="120"/>
            </w:tcMar>
          </w:tcPr>
          <w:p>
            <w:r>
              <w:rPr>
                <w:b w:val="false"/>
                <w:bCs w:val="false"/>
              </w:rPr>
              <w:t xml:space="preserve">Monitor stock thresholds server-side and push notifications to owners in real time</w:t>
            </w:r>
          </w:p>
        </w:tc>
      </w:tr>
      <w:tr>
        <w:tc>
          <w:tcPr>
            <w:tcW w:type="dxa" w:w="3000"/>
            <w:shd w:fill="FFFFFF" w:val="clear"/>
            <w:tcMar>
              <w:top w:type="dxa" w:w="80"/>
              <w:left w:type="dxa" w:w="120"/>
              <w:bottom w:type="dxa" w:w="80"/>
              <w:right w:type="dxa" w:w="120"/>
            </w:tcMar>
          </w:tcPr>
          <w:p>
            <w:r>
              <w:rPr>
                <w:b w:val="false"/>
                <w:bCs w:val="false"/>
              </w:rPr>
              <w:t xml:space="preserve">Sales &amp; Receipting</w:t>
            </w:r>
          </w:p>
        </w:tc>
        <w:tc>
          <w:tcPr>
            <w:tcW w:type="dxa" w:w="6500"/>
            <w:shd w:fill="FFFFFF" w:val="clear"/>
            <w:tcMar>
              <w:top w:type="dxa" w:w="80"/>
              <w:left w:type="dxa" w:w="120"/>
              <w:bottom w:type="dxa" w:w="80"/>
              <w:right w:type="dxa" w:w="120"/>
            </w:tcMar>
          </w:tcPr>
          <w:p>
            <w:r>
              <w:rPr>
                <w:b w:val="false"/>
                <w:bCs w:val="false"/>
              </w:rPr>
              <w:t xml:space="preserve">Log sales, decrement stock, generate printable receipts</w:t>
            </w:r>
          </w:p>
        </w:tc>
      </w:tr>
      <w:tr>
        <w:tc>
          <w:tcPr>
            <w:tcW w:type="dxa" w:w="3000"/>
            <w:shd w:fill="F2F2F2" w:val="clear"/>
            <w:tcMar>
              <w:top w:type="dxa" w:w="80"/>
              <w:left w:type="dxa" w:w="120"/>
              <w:bottom w:type="dxa" w:w="80"/>
              <w:right w:type="dxa" w:w="120"/>
            </w:tcMar>
          </w:tcPr>
          <w:p>
            <w:r>
              <w:rPr>
                <w:b w:val="false"/>
                <w:bCs w:val="false"/>
              </w:rPr>
              <w:t xml:space="preserve">Reporting &amp; Analytics</w:t>
            </w:r>
          </w:p>
        </w:tc>
        <w:tc>
          <w:tcPr>
            <w:tcW w:type="dxa" w:w="6500"/>
            <w:shd w:fill="F2F2F2" w:val="clear"/>
            <w:tcMar>
              <w:top w:type="dxa" w:w="80"/>
              <w:left w:type="dxa" w:w="120"/>
              <w:bottom w:type="dxa" w:w="80"/>
              <w:right w:type="dxa" w:w="120"/>
            </w:tcMar>
          </w:tcPr>
          <w:p>
            <w:r>
              <w:rPr>
                <w:b w:val="false"/>
                <w:bCs w:val="false"/>
              </w:rPr>
              <w:t xml:space="preserve">Summarize revenue, volume, and top-selling items over time, viewable on web or mobile</w:t>
            </w:r>
          </w:p>
        </w:tc>
      </w:tr>
      <w:tr>
        <w:tc>
          <w:tcPr>
            <w:tcW w:type="dxa" w:w="3000"/>
            <w:shd w:fill="FFFFFF" w:val="clear"/>
            <w:tcMar>
              <w:top w:type="dxa" w:w="80"/>
              <w:left w:type="dxa" w:w="120"/>
              <w:bottom w:type="dxa" w:w="80"/>
              <w:right w:type="dxa" w:w="120"/>
            </w:tcMar>
          </w:tcPr>
          <w:p>
            <w:r>
              <w:rPr>
                <w:b w:val="false"/>
                <w:bCs w:val="false"/>
              </w:rPr>
              <w:t xml:space="preserve">Subscription &amp; Billing</w:t>
            </w:r>
          </w:p>
        </w:tc>
        <w:tc>
          <w:tcPr>
            <w:tcW w:type="dxa" w:w="6500"/>
            <w:shd w:fill="FFFFFF" w:val="clear"/>
            <w:tcMar>
              <w:top w:type="dxa" w:w="80"/>
              <w:left w:type="dxa" w:w="120"/>
              <w:bottom w:type="dxa" w:w="80"/>
              <w:right w:type="dxa" w:w="120"/>
            </w:tcMar>
          </w:tcPr>
          <w:p>
            <w:r>
              <w:rPr>
                <w:b w:val="false"/>
                <w:bCs w:val="false"/>
              </w:rPr>
              <w:t xml:space="preserve">Manage plan selection, recurring payment collection, and account-level access control</w:t>
            </w:r>
          </w:p>
        </w:tc>
      </w:tr>
    </w:tbl>
    <w:p>
      <w:r>
        <w:br w:type="page"/>
      </w:r>
    </w:p>
    <w:p>
      <w:pPr>
        <w:pStyle w:val="Heading1"/>
        <w:spacing w:after="200" w:before="400"/>
      </w:pPr>
      <w:r>
        <w:t xml:space="preserve">7. Functional Requirements</w:t>
      </w:r>
    </w:p>
    <w:p>
      <w:pPr>
        <w:pStyle w:val="Heading2"/>
        <w:spacing w:after="150" w:before="300"/>
      </w:pPr>
      <w:r>
        <w:t xml:space="preserve">7.1 Inventory Management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rPr>
          <w:tblHeader/>
        </w:trPr>
        <w:tc>
          <w:tcPr>
            <w:tcW w:type="dxa" w:w="900"/>
            <w:shd w:fill="1F3864" w:val="clear"/>
            <w:tcMar>
              <w:top w:type="dxa" w:w="80"/>
              <w:left w:type="dxa" w:w="120"/>
              <w:bottom w:type="dxa" w:w="80"/>
              <w:right w:type="dxa" w:w="120"/>
            </w:tcMar>
          </w:tcPr>
          <w:p>
            <w:r>
              <w:rPr>
                <w:b/>
                <w:bCs/>
                <w:color w:val="FFFFFF"/>
              </w:rPr>
              <w:t xml:space="preserve">ID</w:t>
            </w:r>
          </w:p>
        </w:tc>
        <w:tc>
          <w:tcPr>
            <w:tcW w:type="dxa" w:w="6900"/>
            <w:shd w:fill="1F3864" w:val="clear"/>
            <w:tcMar>
              <w:top w:type="dxa" w:w="80"/>
              <w:left w:type="dxa" w:w="120"/>
              <w:bottom w:type="dxa" w:w="80"/>
              <w:right w:type="dxa" w:w="120"/>
            </w:tcMar>
          </w:tcPr>
          <w:p>
            <w:r>
              <w:rPr>
                <w:b/>
                <w:bCs/>
                <w:color w:val="FFFFFF"/>
              </w:rPr>
              <w:t xml:space="preserve">Requirement</w:t>
            </w:r>
          </w:p>
        </w:tc>
        <w:tc>
          <w:tcPr>
            <w:tcW w:type="dxa" w:w="1700"/>
            <w:shd w:fill="1F3864" w:val="clear"/>
            <w:tcMar>
              <w:top w:type="dxa" w:w="80"/>
              <w:left w:type="dxa" w:w="120"/>
              <w:bottom w:type="dxa" w:w="80"/>
              <w:right w:type="dxa" w:w="120"/>
            </w:tcMar>
          </w:tcPr>
          <w:p>
            <w:r>
              <w:rPr>
                <w:b/>
                <w:bCs/>
                <w:color w:val="FFFFFF"/>
              </w:rPr>
              <w:t xml:space="preserve">Priority</w:t>
            </w:r>
          </w:p>
        </w:tc>
      </w:tr>
      <w:tr>
        <w:tc>
          <w:tcPr>
            <w:tcW w:type="dxa" w:w="900"/>
            <w:shd w:fill="FFFFFF" w:val="clear"/>
            <w:tcMar>
              <w:top w:type="dxa" w:w="80"/>
              <w:left w:type="dxa" w:w="120"/>
              <w:bottom w:type="dxa" w:w="80"/>
              <w:right w:type="dxa" w:w="120"/>
            </w:tcMar>
          </w:tcPr>
          <w:p>
            <w:r>
              <w:rPr>
                <w:b w:val="false"/>
                <w:bCs w:val="false"/>
              </w:rPr>
              <w:t xml:space="preserve">FR-1.1</w:t>
            </w:r>
          </w:p>
        </w:tc>
        <w:tc>
          <w:tcPr>
            <w:tcW w:type="dxa" w:w="6900"/>
            <w:shd w:fill="FFFFFF" w:val="clear"/>
            <w:tcMar>
              <w:top w:type="dxa" w:w="80"/>
              <w:left w:type="dxa" w:w="120"/>
              <w:bottom w:type="dxa" w:w="80"/>
              <w:right w:type="dxa" w:w="120"/>
            </w:tcMar>
          </w:tcPr>
          <w:p>
            <w:r>
              <w:rPr>
                <w:b w:val="false"/>
                <w:bCs w:val="false"/>
              </w:rPr>
              <w:t xml:space="preserve">User can add an item via barcode scan; system auto-populates item record if the barcode is recognized.</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FR-1.2</w:t>
            </w:r>
          </w:p>
        </w:tc>
        <w:tc>
          <w:tcPr>
            <w:tcW w:type="dxa" w:w="6900"/>
            <w:shd w:fill="F2F2F2" w:val="clear"/>
            <w:tcMar>
              <w:top w:type="dxa" w:w="80"/>
              <w:left w:type="dxa" w:w="120"/>
              <w:bottom w:type="dxa" w:w="80"/>
              <w:right w:type="dxa" w:w="120"/>
            </w:tcMar>
          </w:tcPr>
          <w:p>
            <w:r>
              <w:rPr>
                <w:b w:val="false"/>
                <w:bCs w:val="false"/>
              </w:rPr>
              <w:t xml:space="preserve">User can add an item manually with name, part number, category, quantity, cost price, and selling price.</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FR-1.3</w:t>
            </w:r>
          </w:p>
        </w:tc>
        <w:tc>
          <w:tcPr>
            <w:tcW w:type="dxa" w:w="6900"/>
            <w:shd w:fill="FFFFFF" w:val="clear"/>
            <w:tcMar>
              <w:top w:type="dxa" w:w="80"/>
              <w:left w:type="dxa" w:w="120"/>
              <w:bottom w:type="dxa" w:w="80"/>
              <w:right w:type="dxa" w:w="120"/>
            </w:tcMar>
          </w:tcPr>
          <w:p>
            <w:r>
              <w:rPr>
                <w:b w:val="false"/>
                <w:bCs w:val="false"/>
              </w:rPr>
              <w:t xml:space="preserve">User can capture a photo of an item and tag it with a name/ID when no barcode or standard code exists.</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FR-1.4</w:t>
            </w:r>
          </w:p>
        </w:tc>
        <w:tc>
          <w:tcPr>
            <w:tcW w:type="dxa" w:w="6900"/>
            <w:shd w:fill="F2F2F2" w:val="clear"/>
            <w:tcMar>
              <w:top w:type="dxa" w:w="80"/>
              <w:left w:type="dxa" w:w="120"/>
              <w:bottom w:type="dxa" w:w="80"/>
              <w:right w:type="dxa" w:w="120"/>
            </w:tcMar>
          </w:tcPr>
          <w:p>
            <w:r>
              <w:rPr>
                <w:b w:val="false"/>
                <w:bCs w:val="false"/>
              </w:rPr>
              <w:t xml:space="preserve">User can create custom categories and sub-categories not present in the default taxonomy.</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FR-1.5</w:t>
            </w:r>
          </w:p>
        </w:tc>
        <w:tc>
          <w:tcPr>
            <w:tcW w:type="dxa" w:w="6900"/>
            <w:shd w:fill="FFFFFF" w:val="clear"/>
            <w:tcMar>
              <w:top w:type="dxa" w:w="80"/>
              <w:left w:type="dxa" w:w="120"/>
              <w:bottom w:type="dxa" w:w="80"/>
              <w:right w:type="dxa" w:w="120"/>
            </w:tcMar>
          </w:tcPr>
          <w:p>
            <w:r>
              <w:rPr>
                <w:b w:val="false"/>
                <w:bCs w:val="false"/>
              </w:rPr>
              <w:t xml:space="preserve">System pre-loads a default category taxonomy for the selected vertical (e.g., two-wheeler parts) at setup.</w:t>
            </w:r>
          </w:p>
        </w:tc>
        <w:tc>
          <w:tcPr>
            <w:tcW w:type="dxa" w:w="1700"/>
            <w:shd w:fill="FFFFFF" w:val="clear"/>
            <w:tcMar>
              <w:top w:type="dxa" w:w="80"/>
              <w:left w:type="dxa" w:w="120"/>
              <w:bottom w:type="dxa" w:w="80"/>
              <w:right w:type="dxa" w:w="120"/>
            </w:tcMar>
          </w:tcPr>
          <w:p>
            <w:r>
              <w:rPr>
                <w:b w:val="false"/>
                <w:bCs w:val="false"/>
              </w:rPr>
              <w:t xml:space="preserve">Should</w:t>
            </w:r>
          </w:p>
        </w:tc>
      </w:tr>
      <w:tr>
        <w:tc>
          <w:tcPr>
            <w:tcW w:type="dxa" w:w="900"/>
            <w:shd w:fill="F2F2F2" w:val="clear"/>
            <w:tcMar>
              <w:top w:type="dxa" w:w="80"/>
              <w:left w:type="dxa" w:w="120"/>
              <w:bottom w:type="dxa" w:w="80"/>
              <w:right w:type="dxa" w:w="120"/>
            </w:tcMar>
          </w:tcPr>
          <w:p>
            <w:r>
              <w:rPr>
                <w:b w:val="false"/>
                <w:bCs w:val="false"/>
              </w:rPr>
              <w:t xml:space="preserve">FR-1.6</w:t>
            </w:r>
          </w:p>
        </w:tc>
        <w:tc>
          <w:tcPr>
            <w:tcW w:type="dxa" w:w="6900"/>
            <w:shd w:fill="F2F2F2" w:val="clear"/>
            <w:tcMar>
              <w:top w:type="dxa" w:w="80"/>
              <w:left w:type="dxa" w:w="120"/>
              <w:bottom w:type="dxa" w:w="80"/>
              <w:right w:type="dxa" w:w="120"/>
            </w:tcMar>
          </w:tcPr>
          <w:p>
            <w:r>
              <w:rPr>
                <w:b w:val="false"/>
                <w:bCs w:val="false"/>
              </w:rPr>
              <w:t xml:space="preserve">User can scan a supplier invoice; system extracts line items via OCR and maps them to existing categories.</w:t>
            </w:r>
          </w:p>
        </w:tc>
        <w:tc>
          <w:tcPr>
            <w:tcW w:type="dxa" w:w="1700"/>
            <w:shd w:fill="F2F2F2" w:val="clear"/>
            <w:tcMar>
              <w:top w:type="dxa" w:w="80"/>
              <w:left w:type="dxa" w:w="120"/>
              <w:bottom w:type="dxa" w:w="80"/>
              <w:right w:type="dxa" w:w="120"/>
            </w:tcMar>
          </w:tcPr>
          <w:p>
            <w:r>
              <w:rPr>
                <w:b w:val="false"/>
                <w:bCs w:val="false"/>
              </w:rPr>
              <w:t xml:space="preserve">Could (Phase 2)</w:t>
            </w:r>
          </w:p>
        </w:tc>
      </w:tr>
    </w:tbl>
    <w:p>
      <w:pPr>
        <w:pStyle w:val="Heading2"/>
        <w:spacing w:after="150" w:before="300"/>
      </w:pPr>
      <w:r>
        <w:t xml:space="preserve">7.2 Alerts Engine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rPr>
          <w:tblHeader/>
        </w:trPr>
        <w:tc>
          <w:tcPr>
            <w:tcW w:type="dxa" w:w="900"/>
            <w:shd w:fill="1F3864" w:val="clear"/>
            <w:tcMar>
              <w:top w:type="dxa" w:w="80"/>
              <w:left w:type="dxa" w:w="120"/>
              <w:bottom w:type="dxa" w:w="80"/>
              <w:right w:type="dxa" w:w="120"/>
            </w:tcMar>
          </w:tcPr>
          <w:p>
            <w:r>
              <w:rPr>
                <w:b/>
                <w:bCs/>
                <w:color w:val="FFFFFF"/>
              </w:rPr>
              <w:t xml:space="preserve">ID</w:t>
            </w:r>
          </w:p>
        </w:tc>
        <w:tc>
          <w:tcPr>
            <w:tcW w:type="dxa" w:w="6900"/>
            <w:shd w:fill="1F3864" w:val="clear"/>
            <w:tcMar>
              <w:top w:type="dxa" w:w="80"/>
              <w:left w:type="dxa" w:w="120"/>
              <w:bottom w:type="dxa" w:w="80"/>
              <w:right w:type="dxa" w:w="120"/>
            </w:tcMar>
          </w:tcPr>
          <w:p>
            <w:r>
              <w:rPr>
                <w:b/>
                <w:bCs/>
                <w:color w:val="FFFFFF"/>
              </w:rPr>
              <w:t xml:space="preserve">Requirement</w:t>
            </w:r>
          </w:p>
        </w:tc>
        <w:tc>
          <w:tcPr>
            <w:tcW w:type="dxa" w:w="1700"/>
            <w:shd w:fill="1F3864" w:val="clear"/>
            <w:tcMar>
              <w:top w:type="dxa" w:w="80"/>
              <w:left w:type="dxa" w:w="120"/>
              <w:bottom w:type="dxa" w:w="80"/>
              <w:right w:type="dxa" w:w="120"/>
            </w:tcMar>
          </w:tcPr>
          <w:p>
            <w:r>
              <w:rPr>
                <w:b/>
                <w:bCs/>
                <w:color w:val="FFFFFF"/>
              </w:rPr>
              <w:t xml:space="preserve">Priority</w:t>
            </w:r>
          </w:p>
        </w:tc>
      </w:tr>
      <w:tr>
        <w:tc>
          <w:tcPr>
            <w:tcW w:type="dxa" w:w="900"/>
            <w:shd w:fill="FFFFFF" w:val="clear"/>
            <w:tcMar>
              <w:top w:type="dxa" w:w="80"/>
              <w:left w:type="dxa" w:w="120"/>
              <w:bottom w:type="dxa" w:w="80"/>
              <w:right w:type="dxa" w:w="120"/>
            </w:tcMar>
          </w:tcPr>
          <w:p>
            <w:r>
              <w:rPr>
                <w:b w:val="false"/>
                <w:bCs w:val="false"/>
              </w:rPr>
              <w:t xml:space="preserve">FR-2.1</w:t>
            </w:r>
          </w:p>
        </w:tc>
        <w:tc>
          <w:tcPr>
            <w:tcW w:type="dxa" w:w="6900"/>
            <w:shd w:fill="FFFFFF" w:val="clear"/>
            <w:tcMar>
              <w:top w:type="dxa" w:w="80"/>
              <w:left w:type="dxa" w:w="120"/>
              <w:bottom w:type="dxa" w:w="80"/>
              <w:right w:type="dxa" w:w="120"/>
            </w:tcMar>
          </w:tcPr>
          <w:p>
            <w:r>
              <w:rPr>
                <w:b w:val="false"/>
                <w:bCs w:val="false"/>
              </w:rPr>
              <w:t xml:space="preserve">System generates an alert when an item's stock falls below a configurable threshold (default 20%).</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FR-2.2</w:t>
            </w:r>
          </w:p>
        </w:tc>
        <w:tc>
          <w:tcPr>
            <w:tcW w:type="dxa" w:w="6900"/>
            <w:shd w:fill="F2F2F2" w:val="clear"/>
            <w:tcMar>
              <w:top w:type="dxa" w:w="80"/>
              <w:left w:type="dxa" w:w="120"/>
              <w:bottom w:type="dxa" w:w="80"/>
              <w:right w:type="dxa" w:w="120"/>
            </w:tcMar>
          </w:tcPr>
          <w:p>
            <w:r>
              <w:rPr>
                <w:b w:val="false"/>
                <w:bCs w:val="false"/>
              </w:rPr>
              <w:t xml:space="preserve">Alerts are visible in a dedicated notifications panel accessible from the home screen.</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FR-2.3</w:t>
            </w:r>
          </w:p>
        </w:tc>
        <w:tc>
          <w:tcPr>
            <w:tcW w:type="dxa" w:w="6900"/>
            <w:shd w:fill="FFFFFF" w:val="clear"/>
            <w:tcMar>
              <w:top w:type="dxa" w:w="80"/>
              <w:left w:type="dxa" w:w="120"/>
              <w:bottom w:type="dxa" w:w="80"/>
              <w:right w:type="dxa" w:w="120"/>
            </w:tcMar>
          </w:tcPr>
          <w:p>
            <w:r>
              <w:rPr>
                <w:b w:val="false"/>
                <w:bCs w:val="false"/>
              </w:rPr>
              <w:t xml:space="preserve">User can tap an alert to initiate a restock action.</w:t>
            </w:r>
          </w:p>
        </w:tc>
        <w:tc>
          <w:tcPr>
            <w:tcW w:type="dxa" w:w="1700"/>
            <w:shd w:fill="FFFFFF" w:val="clear"/>
            <w:tcMar>
              <w:top w:type="dxa" w:w="80"/>
              <w:left w:type="dxa" w:w="120"/>
              <w:bottom w:type="dxa" w:w="80"/>
              <w:right w:type="dxa" w:w="120"/>
            </w:tcMar>
          </w:tcPr>
          <w:p>
            <w:r>
              <w:rPr>
                <w:b w:val="false"/>
                <w:bCs w:val="false"/>
              </w:rPr>
              <w:t xml:space="preserve">Should</w:t>
            </w:r>
          </w:p>
        </w:tc>
      </w:tr>
      <w:tr>
        <w:tc>
          <w:tcPr>
            <w:tcW w:type="dxa" w:w="900"/>
            <w:shd w:fill="F2F2F2" w:val="clear"/>
            <w:tcMar>
              <w:top w:type="dxa" w:w="80"/>
              <w:left w:type="dxa" w:w="120"/>
              <w:bottom w:type="dxa" w:w="80"/>
              <w:right w:type="dxa" w:w="120"/>
            </w:tcMar>
          </w:tcPr>
          <w:p>
            <w:r>
              <w:rPr>
                <w:b w:val="false"/>
                <w:bCs w:val="false"/>
              </w:rPr>
              <w:t xml:space="preserve">FR-2.4</w:t>
            </w:r>
          </w:p>
        </w:tc>
        <w:tc>
          <w:tcPr>
            <w:tcW w:type="dxa" w:w="6900"/>
            <w:shd w:fill="F2F2F2" w:val="clear"/>
            <w:tcMar>
              <w:top w:type="dxa" w:w="80"/>
              <w:left w:type="dxa" w:w="120"/>
              <w:bottom w:type="dxa" w:w="80"/>
              <w:right w:type="dxa" w:w="120"/>
            </w:tcMar>
          </w:tcPr>
          <w:p>
            <w:r>
              <w:rPr>
                <w:b w:val="false"/>
                <w:bCs w:val="false"/>
              </w:rPr>
              <w:t xml:space="preserve">System suggests nearby distributors for a low-stock item, where distributor data exists.</w:t>
            </w:r>
          </w:p>
        </w:tc>
        <w:tc>
          <w:tcPr>
            <w:tcW w:type="dxa" w:w="1700"/>
            <w:shd w:fill="F2F2F2" w:val="clear"/>
            <w:tcMar>
              <w:top w:type="dxa" w:w="80"/>
              <w:left w:type="dxa" w:w="120"/>
              <w:bottom w:type="dxa" w:w="80"/>
              <w:right w:type="dxa" w:w="120"/>
            </w:tcMar>
          </w:tcPr>
          <w:p>
            <w:r>
              <w:rPr>
                <w:b w:val="false"/>
                <w:bCs w:val="false"/>
              </w:rPr>
              <w:t xml:space="preserve">Could (Phase 2)</w:t>
            </w:r>
          </w:p>
        </w:tc>
      </w:tr>
    </w:tbl>
    <w:p>
      <w:pPr>
        <w:pStyle w:val="Heading2"/>
        <w:spacing w:after="150" w:before="300"/>
      </w:pPr>
      <w:r>
        <w:t xml:space="preserve">7.3 Sales &amp; Receipting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rPr>
          <w:tblHeader/>
        </w:trPr>
        <w:tc>
          <w:tcPr>
            <w:tcW w:type="dxa" w:w="900"/>
            <w:shd w:fill="1F3864" w:val="clear"/>
            <w:tcMar>
              <w:top w:type="dxa" w:w="80"/>
              <w:left w:type="dxa" w:w="120"/>
              <w:bottom w:type="dxa" w:w="80"/>
              <w:right w:type="dxa" w:w="120"/>
            </w:tcMar>
          </w:tcPr>
          <w:p>
            <w:r>
              <w:rPr>
                <w:b/>
                <w:bCs/>
                <w:color w:val="FFFFFF"/>
              </w:rPr>
              <w:t xml:space="preserve">ID</w:t>
            </w:r>
          </w:p>
        </w:tc>
        <w:tc>
          <w:tcPr>
            <w:tcW w:type="dxa" w:w="6900"/>
            <w:shd w:fill="1F3864" w:val="clear"/>
            <w:tcMar>
              <w:top w:type="dxa" w:w="80"/>
              <w:left w:type="dxa" w:w="120"/>
              <w:bottom w:type="dxa" w:w="80"/>
              <w:right w:type="dxa" w:w="120"/>
            </w:tcMar>
          </w:tcPr>
          <w:p>
            <w:r>
              <w:rPr>
                <w:b/>
                <w:bCs/>
                <w:color w:val="FFFFFF"/>
              </w:rPr>
              <w:t xml:space="preserve">Requirement</w:t>
            </w:r>
          </w:p>
        </w:tc>
        <w:tc>
          <w:tcPr>
            <w:tcW w:type="dxa" w:w="1700"/>
            <w:shd w:fill="1F3864" w:val="clear"/>
            <w:tcMar>
              <w:top w:type="dxa" w:w="80"/>
              <w:left w:type="dxa" w:w="120"/>
              <w:bottom w:type="dxa" w:w="80"/>
              <w:right w:type="dxa" w:w="120"/>
            </w:tcMar>
          </w:tcPr>
          <w:p>
            <w:r>
              <w:rPr>
                <w:b/>
                <w:bCs/>
                <w:color w:val="FFFFFF"/>
              </w:rPr>
              <w:t xml:space="preserve">Priority</w:t>
            </w:r>
          </w:p>
        </w:tc>
      </w:tr>
      <w:tr>
        <w:tc>
          <w:tcPr>
            <w:tcW w:type="dxa" w:w="900"/>
            <w:shd w:fill="FFFFFF" w:val="clear"/>
            <w:tcMar>
              <w:top w:type="dxa" w:w="80"/>
              <w:left w:type="dxa" w:w="120"/>
              <w:bottom w:type="dxa" w:w="80"/>
              <w:right w:type="dxa" w:w="120"/>
            </w:tcMar>
          </w:tcPr>
          <w:p>
            <w:r>
              <w:rPr>
                <w:b w:val="false"/>
                <w:bCs w:val="false"/>
              </w:rPr>
              <w:t xml:space="preserve">FR-3.1</w:t>
            </w:r>
          </w:p>
        </w:tc>
        <w:tc>
          <w:tcPr>
            <w:tcW w:type="dxa" w:w="6900"/>
            <w:shd w:fill="FFFFFF" w:val="clear"/>
            <w:tcMar>
              <w:top w:type="dxa" w:w="80"/>
              <w:left w:type="dxa" w:w="120"/>
              <w:bottom w:type="dxa" w:w="80"/>
              <w:right w:type="dxa" w:w="120"/>
            </w:tcMar>
          </w:tcPr>
          <w:p>
            <w:r>
              <w:rPr>
                <w:b w:val="false"/>
                <w:bCs w:val="false"/>
              </w:rPr>
              <w:t xml:space="preserve">User can record a sale by selecting an item, quantity, and price.</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FR-3.2</w:t>
            </w:r>
          </w:p>
        </w:tc>
        <w:tc>
          <w:tcPr>
            <w:tcW w:type="dxa" w:w="6900"/>
            <w:shd w:fill="F2F2F2" w:val="clear"/>
            <w:tcMar>
              <w:top w:type="dxa" w:w="80"/>
              <w:left w:type="dxa" w:w="120"/>
              <w:bottom w:type="dxa" w:w="80"/>
              <w:right w:type="dxa" w:w="120"/>
            </w:tcMar>
          </w:tcPr>
          <w:p>
            <w:r>
              <w:rPr>
                <w:b w:val="false"/>
                <w:bCs w:val="false"/>
              </w:rPr>
              <w:t xml:space="preserve">System automatically decrements inventory quantity upon sale confirmation.</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FR-3.3</w:t>
            </w:r>
          </w:p>
        </w:tc>
        <w:tc>
          <w:tcPr>
            <w:tcW w:type="dxa" w:w="6900"/>
            <w:shd w:fill="FFFFFF" w:val="clear"/>
            <w:tcMar>
              <w:top w:type="dxa" w:w="80"/>
              <w:left w:type="dxa" w:w="120"/>
              <w:bottom w:type="dxa" w:w="80"/>
              <w:right w:type="dxa" w:w="120"/>
            </w:tcMar>
          </w:tcPr>
          <w:p>
            <w:r>
              <w:rPr>
                <w:b w:val="false"/>
                <w:bCs w:val="false"/>
              </w:rPr>
              <w:t xml:space="preserve">System generates a printable receipt compatible with common thermal/receipt printers.</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FR-3.4</w:t>
            </w:r>
          </w:p>
        </w:tc>
        <w:tc>
          <w:tcPr>
            <w:tcW w:type="dxa" w:w="6900"/>
            <w:shd w:fill="F2F2F2" w:val="clear"/>
            <w:tcMar>
              <w:top w:type="dxa" w:w="80"/>
              <w:left w:type="dxa" w:w="120"/>
              <w:bottom w:type="dxa" w:w="80"/>
              <w:right w:type="dxa" w:w="120"/>
            </w:tcMar>
          </w:tcPr>
          <w:p>
            <w:r>
              <w:rPr>
                <w:b w:val="false"/>
                <w:bCs w:val="false"/>
              </w:rPr>
              <w:t xml:space="preserve">No payment gateway or payment-status tracking is included in the sales flow.</w:t>
            </w:r>
          </w:p>
        </w:tc>
        <w:tc>
          <w:tcPr>
            <w:tcW w:type="dxa" w:w="1700"/>
            <w:shd w:fill="F2F2F2" w:val="clear"/>
            <w:tcMar>
              <w:top w:type="dxa" w:w="80"/>
              <w:left w:type="dxa" w:w="120"/>
              <w:bottom w:type="dxa" w:w="80"/>
              <w:right w:type="dxa" w:w="120"/>
            </w:tcMar>
          </w:tcPr>
          <w:p>
            <w:r>
              <w:rPr>
                <w:b w:val="false"/>
                <w:bCs w:val="false"/>
              </w:rPr>
              <w:t xml:space="preserve">Must</w:t>
            </w:r>
          </w:p>
        </w:tc>
      </w:tr>
    </w:tbl>
    <w:p>
      <w:pPr>
        <w:pStyle w:val="Heading2"/>
        <w:spacing w:after="150" w:before="300"/>
      </w:pPr>
      <w:r>
        <w:t xml:space="preserve">7.4 Reporting Dashboard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rPr>
          <w:tblHeader/>
        </w:trPr>
        <w:tc>
          <w:tcPr>
            <w:tcW w:type="dxa" w:w="900"/>
            <w:shd w:fill="1F3864" w:val="clear"/>
            <w:tcMar>
              <w:top w:type="dxa" w:w="80"/>
              <w:left w:type="dxa" w:w="120"/>
              <w:bottom w:type="dxa" w:w="80"/>
              <w:right w:type="dxa" w:w="120"/>
            </w:tcMar>
          </w:tcPr>
          <w:p>
            <w:r>
              <w:rPr>
                <w:b/>
                <w:bCs/>
                <w:color w:val="FFFFFF"/>
              </w:rPr>
              <w:t xml:space="preserve">ID</w:t>
            </w:r>
          </w:p>
        </w:tc>
        <w:tc>
          <w:tcPr>
            <w:tcW w:type="dxa" w:w="6900"/>
            <w:shd w:fill="1F3864" w:val="clear"/>
            <w:tcMar>
              <w:top w:type="dxa" w:w="80"/>
              <w:left w:type="dxa" w:w="120"/>
              <w:bottom w:type="dxa" w:w="80"/>
              <w:right w:type="dxa" w:w="120"/>
            </w:tcMar>
          </w:tcPr>
          <w:p>
            <w:r>
              <w:rPr>
                <w:b/>
                <w:bCs/>
                <w:color w:val="FFFFFF"/>
              </w:rPr>
              <w:t xml:space="preserve">Requirement</w:t>
            </w:r>
          </w:p>
        </w:tc>
        <w:tc>
          <w:tcPr>
            <w:tcW w:type="dxa" w:w="1700"/>
            <w:shd w:fill="1F3864" w:val="clear"/>
            <w:tcMar>
              <w:top w:type="dxa" w:w="80"/>
              <w:left w:type="dxa" w:w="120"/>
              <w:bottom w:type="dxa" w:w="80"/>
              <w:right w:type="dxa" w:w="120"/>
            </w:tcMar>
          </w:tcPr>
          <w:p>
            <w:r>
              <w:rPr>
                <w:b/>
                <w:bCs/>
                <w:color w:val="FFFFFF"/>
              </w:rPr>
              <w:t xml:space="preserve">Priority</w:t>
            </w:r>
          </w:p>
        </w:tc>
      </w:tr>
      <w:tr>
        <w:tc>
          <w:tcPr>
            <w:tcW w:type="dxa" w:w="900"/>
            <w:shd w:fill="FFFFFF" w:val="clear"/>
            <w:tcMar>
              <w:top w:type="dxa" w:w="80"/>
              <w:left w:type="dxa" w:w="120"/>
              <w:bottom w:type="dxa" w:w="80"/>
              <w:right w:type="dxa" w:w="120"/>
            </w:tcMar>
          </w:tcPr>
          <w:p>
            <w:r>
              <w:rPr>
                <w:b w:val="false"/>
                <w:bCs w:val="false"/>
              </w:rPr>
              <w:t xml:space="preserve">FR-4.1</w:t>
            </w:r>
          </w:p>
        </w:tc>
        <w:tc>
          <w:tcPr>
            <w:tcW w:type="dxa" w:w="6900"/>
            <w:shd w:fill="FFFFFF" w:val="clear"/>
            <w:tcMar>
              <w:top w:type="dxa" w:w="80"/>
              <w:left w:type="dxa" w:w="120"/>
              <w:bottom w:type="dxa" w:w="80"/>
              <w:right w:type="dxa" w:w="120"/>
            </w:tcMar>
          </w:tcPr>
          <w:p>
            <w:r>
              <w:rPr>
                <w:b w:val="false"/>
                <w:bCs w:val="false"/>
              </w:rPr>
              <w:t xml:space="preserve">System displays total revenue for the current week and current month.</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FR-4.2</w:t>
            </w:r>
          </w:p>
        </w:tc>
        <w:tc>
          <w:tcPr>
            <w:tcW w:type="dxa" w:w="6900"/>
            <w:shd w:fill="F2F2F2" w:val="clear"/>
            <w:tcMar>
              <w:top w:type="dxa" w:w="80"/>
              <w:left w:type="dxa" w:w="120"/>
              <w:bottom w:type="dxa" w:w="80"/>
              <w:right w:type="dxa" w:w="120"/>
            </w:tcMar>
          </w:tcPr>
          <w:p>
            <w:r>
              <w:rPr>
                <w:b w:val="false"/>
                <w:bCs w:val="false"/>
              </w:rPr>
              <w:t xml:space="preserve">System displays a ranked list of top-selling items by quantity.</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FR-4.3</w:t>
            </w:r>
          </w:p>
        </w:tc>
        <w:tc>
          <w:tcPr>
            <w:tcW w:type="dxa" w:w="6900"/>
            <w:shd w:fill="FFFFFF" w:val="clear"/>
            <w:tcMar>
              <w:top w:type="dxa" w:w="80"/>
              <w:left w:type="dxa" w:w="120"/>
              <w:bottom w:type="dxa" w:w="80"/>
              <w:right w:type="dxa" w:w="120"/>
            </w:tcMar>
          </w:tcPr>
          <w:p>
            <w:r>
              <w:rPr>
                <w:b w:val="false"/>
                <w:bCs w:val="false"/>
              </w:rPr>
              <w:t xml:space="preserve">System displays current total stock value (cost basis).</w:t>
            </w:r>
          </w:p>
        </w:tc>
        <w:tc>
          <w:tcPr>
            <w:tcW w:type="dxa" w:w="1700"/>
            <w:shd w:fill="FFFFFF" w:val="clear"/>
            <w:tcMar>
              <w:top w:type="dxa" w:w="80"/>
              <w:left w:type="dxa" w:w="120"/>
              <w:bottom w:type="dxa" w:w="80"/>
              <w:right w:type="dxa" w:w="120"/>
            </w:tcMar>
          </w:tcPr>
          <w:p>
            <w:r>
              <w:rPr>
                <w:b w:val="false"/>
                <w:bCs w:val="false"/>
              </w:rPr>
              <w:t xml:space="preserve">Should</w:t>
            </w:r>
          </w:p>
        </w:tc>
      </w:tr>
    </w:tbl>
    <w:p>
      <w:pPr>
        <w:pStyle w:val="Heading2"/>
        <w:spacing w:after="150" w:before="300"/>
      </w:pPr>
      <w:r>
        <w:t xml:space="preserve">7.5 Accounts, Authentication &amp; Multi-Device Sync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rPr>
          <w:tblHeader/>
        </w:trPr>
        <w:tc>
          <w:tcPr>
            <w:tcW w:type="dxa" w:w="900"/>
            <w:shd w:fill="1F3864" w:val="clear"/>
            <w:tcMar>
              <w:top w:type="dxa" w:w="80"/>
              <w:left w:type="dxa" w:w="120"/>
              <w:bottom w:type="dxa" w:w="80"/>
              <w:right w:type="dxa" w:w="120"/>
            </w:tcMar>
          </w:tcPr>
          <w:p>
            <w:r>
              <w:rPr>
                <w:b/>
                <w:bCs/>
                <w:color w:val="FFFFFF"/>
              </w:rPr>
              <w:t xml:space="preserve">ID</w:t>
            </w:r>
          </w:p>
        </w:tc>
        <w:tc>
          <w:tcPr>
            <w:tcW w:type="dxa" w:w="6900"/>
            <w:shd w:fill="1F3864" w:val="clear"/>
            <w:tcMar>
              <w:top w:type="dxa" w:w="80"/>
              <w:left w:type="dxa" w:w="120"/>
              <w:bottom w:type="dxa" w:w="80"/>
              <w:right w:type="dxa" w:w="120"/>
            </w:tcMar>
          </w:tcPr>
          <w:p>
            <w:r>
              <w:rPr>
                <w:b/>
                <w:bCs/>
                <w:color w:val="FFFFFF"/>
              </w:rPr>
              <w:t xml:space="preserve">Requirement</w:t>
            </w:r>
          </w:p>
        </w:tc>
        <w:tc>
          <w:tcPr>
            <w:tcW w:type="dxa" w:w="1700"/>
            <w:shd w:fill="1F3864" w:val="clear"/>
            <w:tcMar>
              <w:top w:type="dxa" w:w="80"/>
              <w:left w:type="dxa" w:w="120"/>
              <w:bottom w:type="dxa" w:w="80"/>
              <w:right w:type="dxa" w:w="120"/>
            </w:tcMar>
          </w:tcPr>
          <w:p>
            <w:r>
              <w:rPr>
                <w:b/>
                <w:bCs/>
                <w:color w:val="FFFFFF"/>
              </w:rPr>
              <w:t xml:space="preserve">Priority</w:t>
            </w:r>
          </w:p>
        </w:tc>
      </w:tr>
      <w:tr>
        <w:tc>
          <w:tcPr>
            <w:tcW w:type="dxa" w:w="900"/>
            <w:shd w:fill="FFFFFF" w:val="clear"/>
            <w:tcMar>
              <w:top w:type="dxa" w:w="80"/>
              <w:left w:type="dxa" w:w="120"/>
              <w:bottom w:type="dxa" w:w="80"/>
              <w:right w:type="dxa" w:w="120"/>
            </w:tcMar>
          </w:tcPr>
          <w:p>
            <w:r>
              <w:rPr>
                <w:b w:val="false"/>
                <w:bCs w:val="false"/>
              </w:rPr>
              <w:t xml:space="preserve">FR-5.1</w:t>
            </w:r>
          </w:p>
        </w:tc>
        <w:tc>
          <w:tcPr>
            <w:tcW w:type="dxa" w:w="6900"/>
            <w:shd w:fill="FFFFFF" w:val="clear"/>
            <w:tcMar>
              <w:top w:type="dxa" w:w="80"/>
              <w:left w:type="dxa" w:w="120"/>
              <w:bottom w:type="dxa" w:w="80"/>
              <w:right w:type="dxa" w:w="120"/>
            </w:tcMar>
          </w:tcPr>
          <w:p>
            <w:r>
              <w:rPr>
                <w:b w:val="false"/>
                <w:bCs w:val="false"/>
              </w:rPr>
              <w:t xml:space="preserve">User can create a shop account via web, Android, or iOS with email/phone and password.</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FR-5.2</w:t>
            </w:r>
          </w:p>
        </w:tc>
        <w:tc>
          <w:tcPr>
            <w:tcW w:type="dxa" w:w="6900"/>
            <w:shd w:fill="F2F2F2" w:val="clear"/>
            <w:tcMar>
              <w:top w:type="dxa" w:w="80"/>
              <w:left w:type="dxa" w:w="120"/>
              <w:bottom w:type="dxa" w:w="80"/>
              <w:right w:type="dxa" w:w="120"/>
            </w:tcMar>
          </w:tcPr>
          <w:p>
            <w:r>
              <w:rPr>
                <w:b w:val="false"/>
                <w:bCs w:val="false"/>
              </w:rPr>
              <w:t xml:space="preserve">User can log into the same account from multiple devices and client types simultaneously.</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FR-5.3</w:t>
            </w:r>
          </w:p>
        </w:tc>
        <w:tc>
          <w:tcPr>
            <w:tcW w:type="dxa" w:w="6900"/>
            <w:shd w:fill="FFFFFF" w:val="clear"/>
            <w:tcMar>
              <w:top w:type="dxa" w:w="80"/>
              <w:left w:type="dxa" w:w="120"/>
              <w:bottom w:type="dxa" w:w="80"/>
              <w:right w:type="dxa" w:w="120"/>
            </w:tcMar>
          </w:tcPr>
          <w:p>
            <w:r>
              <w:rPr>
                <w:b w:val="false"/>
                <w:bCs w:val="false"/>
              </w:rPr>
              <w:t xml:space="preserve">Inventory, sales, and alert data created on one client are reflected on all other logged-in clients within seconds.</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FR-5.4</w:t>
            </w:r>
          </w:p>
        </w:tc>
        <w:tc>
          <w:tcPr>
            <w:tcW w:type="dxa" w:w="6900"/>
            <w:shd w:fill="F2F2F2" w:val="clear"/>
            <w:tcMar>
              <w:top w:type="dxa" w:w="80"/>
              <w:left w:type="dxa" w:w="120"/>
              <w:bottom w:type="dxa" w:w="80"/>
              <w:right w:type="dxa" w:w="120"/>
            </w:tcMar>
          </w:tcPr>
          <w:p>
            <w:r>
              <w:rPr>
                <w:b w:val="false"/>
                <w:bCs w:val="false"/>
              </w:rPr>
              <w:t xml:space="preserve">System supports password reset and basic account recovery via registered phone/email.</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FR-5.5</w:t>
            </w:r>
          </w:p>
        </w:tc>
        <w:tc>
          <w:tcPr>
            <w:tcW w:type="dxa" w:w="6900"/>
            <w:shd w:fill="FFFFFF" w:val="clear"/>
            <w:tcMar>
              <w:top w:type="dxa" w:w="80"/>
              <w:left w:type="dxa" w:w="120"/>
              <w:bottom w:type="dxa" w:w="80"/>
              <w:right w:type="dxa" w:w="120"/>
            </w:tcMar>
          </w:tcPr>
          <w:p>
            <w:r>
              <w:rPr>
                <w:b w:val="false"/>
                <w:bCs w:val="false"/>
              </w:rPr>
              <w:t xml:space="preserve">(Phase 2) Owner can invite staff members with restricted, role-based permissions.</w:t>
            </w:r>
          </w:p>
        </w:tc>
        <w:tc>
          <w:tcPr>
            <w:tcW w:type="dxa" w:w="1700"/>
            <w:shd w:fill="FFFFFF" w:val="clear"/>
            <w:tcMar>
              <w:top w:type="dxa" w:w="80"/>
              <w:left w:type="dxa" w:w="120"/>
              <w:bottom w:type="dxa" w:w="80"/>
              <w:right w:type="dxa" w:w="120"/>
            </w:tcMar>
          </w:tcPr>
          <w:p>
            <w:r>
              <w:rPr>
                <w:b w:val="false"/>
                <w:bCs w:val="false"/>
              </w:rPr>
              <w:t xml:space="preserve">Could (Phase 2)</w:t>
            </w:r>
          </w:p>
        </w:tc>
      </w:tr>
    </w:tbl>
    <w:p>
      <w:pPr>
        <w:pStyle w:val="Heading2"/>
        <w:spacing w:after="150" w:before="300"/>
      </w:pPr>
      <w:r>
        <w:t xml:space="preserve">7.6 Subscription &amp; Billing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900"/>
        <w:gridCol w:w="1700"/>
      </w:tblGrid>
      <w:tr>
        <w:trPr>
          <w:tblHeader/>
        </w:trPr>
        <w:tc>
          <w:tcPr>
            <w:tcW w:type="dxa" w:w="900"/>
            <w:shd w:fill="1F3864" w:val="clear"/>
            <w:tcMar>
              <w:top w:type="dxa" w:w="80"/>
              <w:left w:type="dxa" w:w="120"/>
              <w:bottom w:type="dxa" w:w="80"/>
              <w:right w:type="dxa" w:w="120"/>
            </w:tcMar>
          </w:tcPr>
          <w:p>
            <w:r>
              <w:rPr>
                <w:b/>
                <w:bCs/>
                <w:color w:val="FFFFFF"/>
              </w:rPr>
              <w:t xml:space="preserve">ID</w:t>
            </w:r>
          </w:p>
        </w:tc>
        <w:tc>
          <w:tcPr>
            <w:tcW w:type="dxa" w:w="6900"/>
            <w:shd w:fill="1F3864" w:val="clear"/>
            <w:tcMar>
              <w:top w:type="dxa" w:w="80"/>
              <w:left w:type="dxa" w:w="120"/>
              <w:bottom w:type="dxa" w:w="80"/>
              <w:right w:type="dxa" w:w="120"/>
            </w:tcMar>
          </w:tcPr>
          <w:p>
            <w:r>
              <w:rPr>
                <w:b/>
                <w:bCs/>
                <w:color w:val="FFFFFF"/>
              </w:rPr>
              <w:t xml:space="preserve">Requirement</w:t>
            </w:r>
          </w:p>
        </w:tc>
        <w:tc>
          <w:tcPr>
            <w:tcW w:type="dxa" w:w="1700"/>
            <w:shd w:fill="1F3864" w:val="clear"/>
            <w:tcMar>
              <w:top w:type="dxa" w:w="80"/>
              <w:left w:type="dxa" w:w="120"/>
              <w:bottom w:type="dxa" w:w="80"/>
              <w:right w:type="dxa" w:w="120"/>
            </w:tcMar>
          </w:tcPr>
          <w:p>
            <w:r>
              <w:rPr>
                <w:b/>
                <w:bCs/>
                <w:color w:val="FFFFFF"/>
              </w:rPr>
              <w:t xml:space="preserve">Priority</w:t>
            </w:r>
          </w:p>
        </w:tc>
      </w:tr>
      <w:tr>
        <w:tc>
          <w:tcPr>
            <w:tcW w:type="dxa" w:w="900"/>
            <w:shd w:fill="FFFFFF" w:val="clear"/>
            <w:tcMar>
              <w:top w:type="dxa" w:w="80"/>
              <w:left w:type="dxa" w:w="120"/>
              <w:bottom w:type="dxa" w:w="80"/>
              <w:right w:type="dxa" w:w="120"/>
            </w:tcMar>
          </w:tcPr>
          <w:p>
            <w:r>
              <w:rPr>
                <w:b w:val="false"/>
                <w:bCs w:val="false"/>
              </w:rPr>
              <w:t xml:space="preserve">FR-6.1</w:t>
            </w:r>
          </w:p>
        </w:tc>
        <w:tc>
          <w:tcPr>
            <w:tcW w:type="dxa" w:w="6900"/>
            <w:shd w:fill="FFFFFF" w:val="clear"/>
            <w:tcMar>
              <w:top w:type="dxa" w:w="80"/>
              <w:left w:type="dxa" w:w="120"/>
              <w:bottom w:type="dxa" w:w="80"/>
              <w:right w:type="dxa" w:w="120"/>
            </w:tcMar>
          </w:tcPr>
          <w:p>
            <w:r>
              <w:rPr>
                <w:b w:val="false"/>
                <w:bCs w:val="false"/>
              </w:rPr>
              <w:t xml:space="preserve">User selects a subscription plan during sign-up before gaining full platform access.</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FR-6.2</w:t>
            </w:r>
          </w:p>
        </w:tc>
        <w:tc>
          <w:tcPr>
            <w:tcW w:type="dxa" w:w="6900"/>
            <w:shd w:fill="F2F2F2" w:val="clear"/>
            <w:tcMar>
              <w:top w:type="dxa" w:w="80"/>
              <w:left w:type="dxa" w:w="120"/>
              <w:bottom w:type="dxa" w:w="80"/>
              <w:right w:type="dxa" w:w="120"/>
            </w:tcMar>
          </w:tcPr>
          <w:p>
            <w:r>
              <w:rPr>
                <w:b w:val="false"/>
                <w:bCs w:val="false"/>
              </w:rPr>
              <w:t xml:space="preserve">System processes recurring subscription payments via an integrated payment gateway.</w:t>
            </w:r>
          </w:p>
        </w:tc>
        <w:tc>
          <w:tcPr>
            <w:tcW w:type="dxa" w:w="1700"/>
            <w:shd w:fill="F2F2F2" w:val="clear"/>
            <w:tcMar>
              <w:top w:type="dxa" w:w="80"/>
              <w:left w:type="dxa" w:w="120"/>
              <w:bottom w:type="dxa" w:w="80"/>
              <w:right w:type="dxa" w:w="120"/>
            </w:tcMar>
          </w:tcPr>
          <w:p>
            <w:r>
              <w:rPr>
                <w:b w:val="false"/>
                <w:bCs w:val="false"/>
              </w:rPr>
              <w:t xml:space="preserve">Must</w:t>
            </w:r>
          </w:p>
        </w:tc>
      </w:tr>
      <w:tr>
        <w:tc>
          <w:tcPr>
            <w:tcW w:type="dxa" w:w="900"/>
            <w:shd w:fill="FFFFFF" w:val="clear"/>
            <w:tcMar>
              <w:top w:type="dxa" w:w="80"/>
              <w:left w:type="dxa" w:w="120"/>
              <w:bottom w:type="dxa" w:w="80"/>
              <w:right w:type="dxa" w:w="120"/>
            </w:tcMar>
          </w:tcPr>
          <w:p>
            <w:r>
              <w:rPr>
                <w:b w:val="false"/>
                <w:bCs w:val="false"/>
              </w:rPr>
              <w:t xml:space="preserve">FR-6.3</w:t>
            </w:r>
          </w:p>
        </w:tc>
        <w:tc>
          <w:tcPr>
            <w:tcW w:type="dxa" w:w="6900"/>
            <w:shd w:fill="FFFFFF" w:val="clear"/>
            <w:tcMar>
              <w:top w:type="dxa" w:w="80"/>
              <w:left w:type="dxa" w:w="120"/>
              <w:bottom w:type="dxa" w:w="80"/>
              <w:right w:type="dxa" w:w="120"/>
            </w:tcMar>
          </w:tcPr>
          <w:p>
            <w:r>
              <w:rPr>
                <w:b w:val="false"/>
                <w:bCs w:val="false"/>
              </w:rPr>
              <w:t xml:space="preserve">System restricts or degrades access if a subscription payment fails or lapses, with a grace period.</w:t>
            </w:r>
          </w:p>
        </w:tc>
        <w:tc>
          <w:tcPr>
            <w:tcW w:type="dxa" w:w="1700"/>
            <w:shd w:fill="FFFFFF" w:val="clear"/>
            <w:tcMar>
              <w:top w:type="dxa" w:w="80"/>
              <w:left w:type="dxa" w:w="120"/>
              <w:bottom w:type="dxa" w:w="80"/>
              <w:right w:type="dxa" w:w="120"/>
            </w:tcMar>
          </w:tcPr>
          <w:p>
            <w:r>
              <w:rPr>
                <w:b w:val="false"/>
                <w:bCs w:val="false"/>
              </w:rPr>
              <w:t xml:space="preserve">Must</w:t>
            </w:r>
          </w:p>
        </w:tc>
      </w:tr>
      <w:tr>
        <w:tc>
          <w:tcPr>
            <w:tcW w:type="dxa" w:w="900"/>
            <w:shd w:fill="F2F2F2" w:val="clear"/>
            <w:tcMar>
              <w:top w:type="dxa" w:w="80"/>
              <w:left w:type="dxa" w:w="120"/>
              <w:bottom w:type="dxa" w:w="80"/>
              <w:right w:type="dxa" w:w="120"/>
            </w:tcMar>
          </w:tcPr>
          <w:p>
            <w:r>
              <w:rPr>
                <w:b w:val="false"/>
                <w:bCs w:val="false"/>
              </w:rPr>
              <w:t xml:space="preserve">FR-6.4</w:t>
            </w:r>
          </w:p>
        </w:tc>
        <w:tc>
          <w:tcPr>
            <w:tcW w:type="dxa" w:w="6900"/>
            <w:shd w:fill="F2F2F2" w:val="clear"/>
            <w:tcMar>
              <w:top w:type="dxa" w:w="80"/>
              <w:left w:type="dxa" w:w="120"/>
              <w:bottom w:type="dxa" w:w="80"/>
              <w:right w:type="dxa" w:w="120"/>
            </w:tcMar>
          </w:tcPr>
          <w:p>
            <w:r>
              <w:rPr>
                <w:b w:val="false"/>
                <w:bCs w:val="false"/>
              </w:rPr>
              <w:t xml:space="preserve">User can view current plan, billing history, and upcoming renewal date from the web console.</w:t>
            </w:r>
          </w:p>
        </w:tc>
        <w:tc>
          <w:tcPr>
            <w:tcW w:type="dxa" w:w="1700"/>
            <w:shd w:fill="F2F2F2" w:val="clear"/>
            <w:tcMar>
              <w:top w:type="dxa" w:w="80"/>
              <w:left w:type="dxa" w:w="120"/>
              <w:bottom w:type="dxa" w:w="80"/>
              <w:right w:type="dxa" w:w="120"/>
            </w:tcMar>
          </w:tcPr>
          <w:p>
            <w:r>
              <w:rPr>
                <w:b w:val="false"/>
                <w:bCs w:val="false"/>
              </w:rPr>
              <w:t xml:space="preserve">Should</w:t>
            </w:r>
          </w:p>
        </w:tc>
      </w:tr>
      <w:tr>
        <w:tc>
          <w:tcPr>
            <w:tcW w:type="dxa" w:w="900"/>
            <w:shd w:fill="FFFFFF" w:val="clear"/>
            <w:tcMar>
              <w:top w:type="dxa" w:w="80"/>
              <w:left w:type="dxa" w:w="120"/>
              <w:bottom w:type="dxa" w:w="80"/>
              <w:right w:type="dxa" w:w="120"/>
            </w:tcMar>
          </w:tcPr>
          <w:p>
            <w:r>
              <w:rPr>
                <w:b w:val="false"/>
                <w:bCs w:val="false"/>
              </w:rPr>
              <w:t xml:space="preserve">FR-6.5</w:t>
            </w:r>
          </w:p>
        </w:tc>
        <w:tc>
          <w:tcPr>
            <w:tcW w:type="dxa" w:w="6900"/>
            <w:shd w:fill="FFFFFF" w:val="clear"/>
            <w:tcMar>
              <w:top w:type="dxa" w:w="80"/>
              <w:left w:type="dxa" w:w="120"/>
              <w:bottom w:type="dxa" w:w="80"/>
              <w:right w:type="dxa" w:w="120"/>
            </w:tcMar>
          </w:tcPr>
          <w:p>
            <w:r>
              <w:rPr>
                <w:b w:val="false"/>
                <w:bCs w:val="false"/>
              </w:rPr>
              <w:t xml:space="preserve">User can upgrade, downgrade, or cancel their subscription from the web console.</w:t>
            </w:r>
          </w:p>
        </w:tc>
        <w:tc>
          <w:tcPr>
            <w:tcW w:type="dxa" w:w="1700"/>
            <w:shd w:fill="FFFFFF" w:val="clear"/>
            <w:tcMar>
              <w:top w:type="dxa" w:w="80"/>
              <w:left w:type="dxa" w:w="120"/>
              <w:bottom w:type="dxa" w:w="80"/>
              <w:right w:type="dxa" w:w="120"/>
            </w:tcMar>
          </w:tcPr>
          <w:p>
            <w:r>
              <w:rPr>
                <w:b w:val="false"/>
                <w:bCs w:val="false"/>
              </w:rPr>
              <w:t xml:space="preserve">Should</w:t>
            </w:r>
          </w:p>
        </w:tc>
      </w:tr>
    </w:tbl>
    <w:p>
      <w:r>
        <w:br w:type="page"/>
      </w:r>
    </w:p>
    <w:p>
      <w:pPr>
        <w:pStyle w:val="Heading1"/>
        <w:spacing w:after="200" w:before="400"/>
      </w:pPr>
      <w:r>
        <w:t xml:space="preserve">8. Category Taxonomy</w:t>
      </w:r>
    </w:p>
    <w:p>
      <w:pPr>
        <w:spacing w:after="160"/>
      </w:pPr>
      <w:r>
        <w:t xml:space="preserve">The taxonomy below forms the default, pre-loaded category set for each vertical. All categories remain user-editable — owners may add, rename, or remove sub-categories to match their exact stock.</w:t>
      </w:r>
    </w:p>
    <w:p>
      <w:pPr>
        <w:spacing w:after="160"/>
      </w:pPr>
      <w:r>
        <w:rPr>
          <w:i/>
          <w:iCs/>
          <w:color w:val="595959"/>
        </w:rPr>
        <w:t xml:space="preserve">These lists are starting defaults, not a hard limit. Per FR-1.2 and FR-1.4 (Section 7.1), an owner can always add any product manually — with its own name, part number, and pricing — and file it under a brand-new category they create on the spot, even if that item or category doesn't appear anywhere below. Supplier invoices can also be scanned directly, with line items auto-extracted and mapped into these categories (FR-1.6, Phase 2).</w:t>
      </w:r>
    </w:p>
    <w:p>
      <w:pPr>
        <w:pStyle w:val="Heading2"/>
        <w:spacing w:after="150" w:before="300"/>
      </w:pPr>
      <w:r>
        <w:t xml:space="preserve">8.1 Two-Wheeler Spare Parts (MVP Vertical)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3864" w:val="clear"/>
            <w:tcMar>
              <w:top w:type="dxa" w:w="80"/>
              <w:left w:type="dxa" w:w="120"/>
              <w:bottom w:type="dxa" w:w="80"/>
              <w:right w:type="dxa" w:w="120"/>
            </w:tcMar>
          </w:tcPr>
          <w:p>
            <w:r>
              <w:rPr>
                <w:b/>
                <w:bCs/>
                <w:color w:val="FFFFFF"/>
              </w:rPr>
              <w:t xml:space="preserve">Category Group</w:t>
            </w:r>
          </w:p>
        </w:tc>
        <w:tc>
          <w:tcPr>
            <w:tcW w:type="dxa" w:w="6800"/>
            <w:shd w:fill="1F3864" w:val="clear"/>
            <w:tcMar>
              <w:top w:type="dxa" w:w="80"/>
              <w:left w:type="dxa" w:w="120"/>
              <w:bottom w:type="dxa" w:w="80"/>
              <w:right w:type="dxa" w:w="120"/>
            </w:tcMar>
          </w:tcPr>
          <w:p>
            <w:r>
              <w:rPr>
                <w:b/>
                <w:bCs/>
                <w:color w:val="FFFFFF"/>
              </w:rPr>
              <w:t xml:space="preserve">Representative Sub-Categories</w:t>
            </w:r>
          </w:p>
        </w:tc>
      </w:tr>
      <w:tr>
        <w:tc>
          <w:tcPr>
            <w:tcW w:type="dxa" w:w="2700"/>
            <w:shd w:fill="FFFFFF" w:val="clear"/>
            <w:tcMar>
              <w:top w:type="dxa" w:w="80"/>
              <w:left w:type="dxa" w:w="120"/>
              <w:bottom w:type="dxa" w:w="80"/>
              <w:right w:type="dxa" w:w="120"/>
            </w:tcMar>
          </w:tcPr>
          <w:p>
            <w:r>
              <w:rPr>
                <w:b w:val="false"/>
                <w:bCs w:val="false"/>
              </w:rPr>
              <w:t xml:space="preserve">Engine &amp; Drive</w:t>
            </w:r>
          </w:p>
        </w:tc>
        <w:tc>
          <w:tcPr>
            <w:tcW w:type="dxa" w:w="6800"/>
            <w:shd w:fill="FFFFFF" w:val="clear"/>
            <w:tcMar>
              <w:top w:type="dxa" w:w="80"/>
              <w:left w:type="dxa" w:w="120"/>
              <w:bottom w:type="dxa" w:w="80"/>
              <w:right w:type="dxa" w:w="120"/>
            </w:tcMar>
          </w:tcPr>
          <w:p>
            <w:r>
              <w:rPr>
                <w:b w:val="false"/>
                <w:bCs w:val="false"/>
              </w:rPr>
              <w:t xml:space="preserve">Cylinder kit, piston, cam shaft/parts, carburetor &amp; parts, clutch assembly/plates/shoes, gearbox/gear lever/gear sets, fuel injector/pump, fuel tank cap</w:t>
            </w:r>
          </w:p>
        </w:tc>
      </w:tr>
      <w:tr>
        <w:tc>
          <w:tcPr>
            <w:tcW w:type="dxa" w:w="2700"/>
            <w:shd w:fill="F2F2F2" w:val="clear"/>
            <w:tcMar>
              <w:top w:type="dxa" w:w="80"/>
              <w:left w:type="dxa" w:w="120"/>
              <w:bottom w:type="dxa" w:w="80"/>
              <w:right w:type="dxa" w:w="120"/>
            </w:tcMar>
          </w:tcPr>
          <w:p>
            <w:r>
              <w:rPr>
                <w:b w:val="false"/>
                <w:bCs w:val="false"/>
              </w:rPr>
              <w:t xml:space="preserve">Chain &amp; Transmission</w:t>
            </w:r>
          </w:p>
        </w:tc>
        <w:tc>
          <w:tcPr>
            <w:tcW w:type="dxa" w:w="6800"/>
            <w:shd w:fill="F2F2F2" w:val="clear"/>
            <w:tcMar>
              <w:top w:type="dxa" w:w="80"/>
              <w:left w:type="dxa" w:w="120"/>
              <w:bottom w:type="dxa" w:w="80"/>
              <w:right w:type="dxa" w:w="120"/>
            </w:tcMar>
          </w:tcPr>
          <w:p>
            <w:r>
              <w:rPr>
                <w:b w:val="false"/>
                <w:bCs w:val="false"/>
              </w:rPr>
              <w:t xml:space="preserve">Chain, sprocket, chain guide, chain adjuster, chain cover, gearbox sprocket</w:t>
            </w:r>
          </w:p>
        </w:tc>
      </w:tr>
      <w:tr>
        <w:tc>
          <w:tcPr>
            <w:tcW w:type="dxa" w:w="2700"/>
            <w:shd w:fill="FFFFFF" w:val="clear"/>
            <w:tcMar>
              <w:top w:type="dxa" w:w="80"/>
              <w:left w:type="dxa" w:w="120"/>
              <w:bottom w:type="dxa" w:w="80"/>
              <w:right w:type="dxa" w:w="120"/>
            </w:tcMar>
          </w:tcPr>
          <w:p>
            <w:r>
              <w:rPr>
                <w:b w:val="false"/>
                <w:bCs w:val="false"/>
              </w:rPr>
              <w:t xml:space="preserve">Brakes</w:t>
            </w:r>
          </w:p>
        </w:tc>
        <w:tc>
          <w:tcPr>
            <w:tcW w:type="dxa" w:w="6800"/>
            <w:shd w:fill="FFFFFF" w:val="clear"/>
            <w:tcMar>
              <w:top w:type="dxa" w:w="80"/>
              <w:left w:type="dxa" w:w="120"/>
              <w:bottom w:type="dxa" w:w="80"/>
              <w:right w:type="dxa" w:w="120"/>
            </w:tcMar>
          </w:tcPr>
          <w:p>
            <w:r>
              <w:rPr>
                <w:b w:val="false"/>
                <w:bCs w:val="false"/>
              </w:rPr>
              <w:t xml:space="preserve">Brake shoe, brake pads, brake cam set, brake disc plate, brake cables, brake pedal/rod, wheel cylinder</w:t>
            </w:r>
          </w:p>
        </w:tc>
      </w:tr>
      <w:tr>
        <w:tc>
          <w:tcPr>
            <w:tcW w:type="dxa" w:w="2700"/>
            <w:shd w:fill="F2F2F2" w:val="clear"/>
            <w:tcMar>
              <w:top w:type="dxa" w:w="80"/>
              <w:left w:type="dxa" w:w="120"/>
              <w:bottom w:type="dxa" w:w="80"/>
              <w:right w:type="dxa" w:w="120"/>
            </w:tcMar>
          </w:tcPr>
          <w:p>
            <w:r>
              <w:rPr>
                <w:b w:val="false"/>
                <w:bCs w:val="false"/>
              </w:rPr>
              <w:t xml:space="preserve">Suspension &amp; Steering</w:t>
            </w:r>
          </w:p>
        </w:tc>
        <w:tc>
          <w:tcPr>
            <w:tcW w:type="dxa" w:w="6800"/>
            <w:shd w:fill="F2F2F2" w:val="clear"/>
            <w:tcMar>
              <w:top w:type="dxa" w:w="80"/>
              <w:left w:type="dxa" w:w="120"/>
              <w:bottom w:type="dxa" w:w="80"/>
              <w:right w:type="dxa" w:w="120"/>
            </w:tcMar>
          </w:tcPr>
          <w:p>
            <w:r>
              <w:rPr>
                <w:b w:val="false"/>
                <w:bCs w:val="false"/>
              </w:rPr>
              <w:t xml:space="preserve">Front fork, shocker/shock bush, steering stem, handlebar parts</w:t>
            </w:r>
          </w:p>
        </w:tc>
      </w:tr>
      <w:tr>
        <w:tc>
          <w:tcPr>
            <w:tcW w:type="dxa" w:w="2700"/>
            <w:shd w:fill="FFFFFF" w:val="clear"/>
            <w:tcMar>
              <w:top w:type="dxa" w:w="80"/>
              <w:left w:type="dxa" w:w="120"/>
              <w:bottom w:type="dxa" w:w="80"/>
              <w:right w:type="dxa" w:w="120"/>
            </w:tcMar>
          </w:tcPr>
          <w:p>
            <w:r>
              <w:rPr>
                <w:b w:val="false"/>
                <w:bCs w:val="false"/>
              </w:rPr>
              <w:t xml:space="preserve">Body &amp; Plastics</w:t>
            </w:r>
          </w:p>
        </w:tc>
        <w:tc>
          <w:tcPr>
            <w:tcW w:type="dxa" w:w="6800"/>
            <w:shd w:fill="FFFFFF" w:val="clear"/>
            <w:tcMar>
              <w:top w:type="dxa" w:w="80"/>
              <w:left w:type="dxa" w:w="120"/>
              <w:bottom w:type="dxa" w:w="80"/>
              <w:right w:type="dxa" w:w="120"/>
            </w:tcMar>
          </w:tcPr>
          <w:p>
            <w:r>
              <w:rPr>
                <w:b w:val="false"/>
                <w:bCs w:val="false"/>
              </w:rPr>
              <w:t xml:space="preserve">Mudguard (front/rear), side panels, tail panel, tank shield, headlight visor, footrest/step, crash guard, saree guard</w:t>
            </w:r>
          </w:p>
        </w:tc>
      </w:tr>
      <w:tr>
        <w:tc>
          <w:tcPr>
            <w:tcW w:type="dxa" w:w="2700"/>
            <w:shd w:fill="F2F2F2" w:val="clear"/>
            <w:tcMar>
              <w:top w:type="dxa" w:w="80"/>
              <w:left w:type="dxa" w:w="120"/>
              <w:bottom w:type="dxa" w:w="80"/>
              <w:right w:type="dxa" w:w="120"/>
            </w:tcMar>
          </w:tcPr>
          <w:p>
            <w:r>
              <w:rPr>
                <w:b w:val="false"/>
                <w:bCs w:val="false"/>
              </w:rPr>
              <w:t xml:space="preserve">Electricals</w:t>
            </w:r>
          </w:p>
        </w:tc>
        <w:tc>
          <w:tcPr>
            <w:tcW w:type="dxa" w:w="6800"/>
            <w:shd w:fill="F2F2F2" w:val="clear"/>
            <w:tcMar>
              <w:top w:type="dxa" w:w="80"/>
              <w:left w:type="dxa" w:w="120"/>
              <w:bottom w:type="dxa" w:w="80"/>
              <w:right w:type="dxa" w:w="120"/>
            </w:tcMar>
          </w:tcPr>
          <w:p>
            <w:r>
              <w:rPr>
                <w:b w:val="false"/>
                <w:bCs w:val="false"/>
              </w:rPr>
              <w:t xml:space="preserve">CDI unit, ignition coil, wiring kit/harness, switches, horn, indicator/buzzer, speedometer, bulbs, battery</w:t>
            </w:r>
          </w:p>
        </w:tc>
      </w:tr>
      <w:tr>
        <w:tc>
          <w:tcPr>
            <w:tcW w:type="dxa" w:w="2700"/>
            <w:shd w:fill="FFFFFF" w:val="clear"/>
            <w:tcMar>
              <w:top w:type="dxa" w:w="80"/>
              <w:left w:type="dxa" w:w="120"/>
              <w:bottom w:type="dxa" w:w="80"/>
              <w:right w:type="dxa" w:w="120"/>
            </w:tcMar>
          </w:tcPr>
          <w:p>
            <w:r>
              <w:rPr>
                <w:b w:val="false"/>
                <w:bCs w:val="false"/>
              </w:rPr>
              <w:t xml:space="preserve">Filters &amp; Fluids</w:t>
            </w:r>
          </w:p>
        </w:tc>
        <w:tc>
          <w:tcPr>
            <w:tcW w:type="dxa" w:w="6800"/>
            <w:shd w:fill="FFFFFF" w:val="clear"/>
            <w:tcMar>
              <w:top w:type="dxa" w:w="80"/>
              <w:left w:type="dxa" w:w="120"/>
              <w:bottom w:type="dxa" w:w="80"/>
              <w:right w:type="dxa" w:w="120"/>
            </w:tcMar>
          </w:tcPr>
          <w:p>
            <w:r>
              <w:rPr>
                <w:b w:val="false"/>
                <w:bCs w:val="false"/>
              </w:rPr>
              <w:t xml:space="preserve">Air filter, oil filter, engine oil/lubricants, coolant</w:t>
            </w:r>
          </w:p>
        </w:tc>
      </w:tr>
      <w:tr>
        <w:tc>
          <w:tcPr>
            <w:tcW w:type="dxa" w:w="2700"/>
            <w:shd w:fill="F2F2F2" w:val="clear"/>
            <w:tcMar>
              <w:top w:type="dxa" w:w="80"/>
              <w:left w:type="dxa" w:w="120"/>
              <w:bottom w:type="dxa" w:w="80"/>
              <w:right w:type="dxa" w:w="120"/>
            </w:tcMar>
          </w:tcPr>
          <w:p>
            <w:r>
              <w:rPr>
                <w:b w:val="false"/>
                <w:bCs w:val="false"/>
              </w:rPr>
              <w:t xml:space="preserve">Fasteners &amp; Fittings</w:t>
            </w:r>
          </w:p>
        </w:tc>
        <w:tc>
          <w:tcPr>
            <w:tcW w:type="dxa" w:w="6800"/>
            <w:shd w:fill="F2F2F2" w:val="clear"/>
            <w:tcMar>
              <w:top w:type="dxa" w:w="80"/>
              <w:left w:type="dxa" w:w="120"/>
              <w:bottom w:type="dxa" w:w="80"/>
              <w:right w:type="dxa" w:w="120"/>
            </w:tcMar>
          </w:tcPr>
          <w:p>
            <w:r>
              <w:rPr>
                <w:b w:val="false"/>
                <w:bCs w:val="false"/>
              </w:rPr>
              <w:t xml:space="preserve">Washers, bolts, bushes, rubber bush, O-rings, clips</w:t>
            </w:r>
          </w:p>
        </w:tc>
      </w:tr>
      <w:tr>
        <w:tc>
          <w:tcPr>
            <w:tcW w:type="dxa" w:w="2700"/>
            <w:shd w:fill="FFFFFF" w:val="clear"/>
            <w:tcMar>
              <w:top w:type="dxa" w:w="80"/>
              <w:left w:type="dxa" w:w="120"/>
              <w:bottom w:type="dxa" w:w="80"/>
              <w:right w:type="dxa" w:w="120"/>
            </w:tcMar>
          </w:tcPr>
          <w:p>
            <w:r>
              <w:rPr>
                <w:b w:val="false"/>
                <w:bCs w:val="false"/>
              </w:rPr>
              <w:t xml:space="preserve">Accessories</w:t>
            </w:r>
          </w:p>
        </w:tc>
        <w:tc>
          <w:tcPr>
            <w:tcW w:type="dxa" w:w="6800"/>
            <w:shd w:fill="FFFFFF" w:val="clear"/>
            <w:tcMar>
              <w:top w:type="dxa" w:w="80"/>
              <w:left w:type="dxa" w:w="120"/>
              <w:bottom w:type="dxa" w:w="80"/>
              <w:right w:type="dxa" w:w="120"/>
            </w:tcMar>
          </w:tcPr>
          <w:p>
            <w:r>
              <w:rPr>
                <w:b w:val="false"/>
                <w:bCs w:val="false"/>
              </w:rPr>
              <w:t xml:space="preserve">Grips, mirrors, seat covers, tool kits, helmets</w:t>
            </w:r>
          </w:p>
        </w:tc>
      </w:tr>
      <w:tr>
        <w:tc>
          <w:tcPr>
            <w:tcW w:type="dxa" w:w="2700"/>
            <w:shd w:fill="F2F2F2" w:val="clear"/>
            <w:tcMar>
              <w:top w:type="dxa" w:w="80"/>
              <w:left w:type="dxa" w:w="120"/>
              <w:bottom w:type="dxa" w:w="80"/>
              <w:right w:type="dxa" w:w="120"/>
            </w:tcMar>
          </w:tcPr>
          <w:p>
            <w:r>
              <w:rPr>
                <w:b w:val="false"/>
                <w:bCs w:val="false"/>
              </w:rPr>
              <w:t xml:space="preserve">Service Kits</w:t>
            </w:r>
          </w:p>
        </w:tc>
        <w:tc>
          <w:tcPr>
            <w:tcW w:type="dxa" w:w="6800"/>
            <w:shd w:fill="F2F2F2" w:val="clear"/>
            <w:tcMar>
              <w:top w:type="dxa" w:w="80"/>
              <w:left w:type="dxa" w:w="120"/>
              <w:bottom w:type="dxa" w:w="80"/>
              <w:right w:type="dxa" w:w="120"/>
            </w:tcMar>
          </w:tcPr>
          <w:p>
            <w:r>
              <w:rPr>
                <w:b w:val="false"/>
                <w:bCs w:val="false"/>
              </w:rPr>
              <w:t xml:space="preserve">Full packing kit, clutch packing, gasket kits</w:t>
            </w:r>
          </w:p>
        </w:tc>
      </w:tr>
    </w:tbl>
    <w:p>
      <w:pPr>
        <w:spacing w:after="200"/>
      </w:pPr>
    </w:p>
    <w:p>
      <w:pPr>
        <w:pStyle w:val="Heading2"/>
        <w:spacing w:after="150" w:before="300"/>
      </w:pPr>
      <w:r>
        <w:t xml:space="preserve">8.2 Four-Wheeler Spare Parts (Phase 3 Vertical)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6800"/>
      </w:tblGrid>
      <w:tr>
        <w:trPr>
          <w:tblHeader/>
        </w:trPr>
        <w:tc>
          <w:tcPr>
            <w:tcW w:type="dxa" w:w="2700"/>
            <w:shd w:fill="1F3864" w:val="clear"/>
            <w:tcMar>
              <w:top w:type="dxa" w:w="80"/>
              <w:left w:type="dxa" w:w="120"/>
              <w:bottom w:type="dxa" w:w="80"/>
              <w:right w:type="dxa" w:w="120"/>
            </w:tcMar>
          </w:tcPr>
          <w:p>
            <w:r>
              <w:rPr>
                <w:b/>
                <w:bCs/>
                <w:color w:val="FFFFFF"/>
              </w:rPr>
              <w:t xml:space="preserve">Category Group</w:t>
            </w:r>
          </w:p>
        </w:tc>
        <w:tc>
          <w:tcPr>
            <w:tcW w:type="dxa" w:w="6800"/>
            <w:shd w:fill="1F3864" w:val="clear"/>
            <w:tcMar>
              <w:top w:type="dxa" w:w="80"/>
              <w:left w:type="dxa" w:w="120"/>
              <w:bottom w:type="dxa" w:w="80"/>
              <w:right w:type="dxa" w:w="120"/>
            </w:tcMar>
          </w:tcPr>
          <w:p>
            <w:r>
              <w:rPr>
                <w:b/>
                <w:bCs/>
                <w:color w:val="FFFFFF"/>
              </w:rPr>
              <w:t xml:space="preserve">Representative Sub-Categories</w:t>
            </w:r>
          </w:p>
        </w:tc>
      </w:tr>
      <w:tr>
        <w:tc>
          <w:tcPr>
            <w:tcW w:type="dxa" w:w="2700"/>
            <w:shd w:fill="FFFFFF" w:val="clear"/>
            <w:tcMar>
              <w:top w:type="dxa" w:w="80"/>
              <w:left w:type="dxa" w:w="120"/>
              <w:bottom w:type="dxa" w:w="80"/>
              <w:right w:type="dxa" w:w="120"/>
            </w:tcMar>
          </w:tcPr>
          <w:p>
            <w:r>
              <w:rPr>
                <w:b w:val="false"/>
                <w:bCs w:val="false"/>
              </w:rPr>
              <w:t xml:space="preserve">Brakes</w:t>
            </w:r>
          </w:p>
        </w:tc>
        <w:tc>
          <w:tcPr>
            <w:tcW w:type="dxa" w:w="6800"/>
            <w:shd w:fill="FFFFFF" w:val="clear"/>
            <w:tcMar>
              <w:top w:type="dxa" w:w="80"/>
              <w:left w:type="dxa" w:w="120"/>
              <w:bottom w:type="dxa" w:w="80"/>
              <w:right w:type="dxa" w:w="120"/>
            </w:tcMar>
          </w:tcPr>
          <w:p>
            <w:r>
              <w:rPr>
                <w:b w:val="false"/>
                <w:bCs w:val="false"/>
              </w:rPr>
              <w:t xml:space="preserve">Brake pads (front/rear), discs, calipers, master cylinder, brake fluid, drum brakes, brake shoes, handbrake</w:t>
            </w:r>
          </w:p>
        </w:tc>
      </w:tr>
      <w:tr>
        <w:tc>
          <w:tcPr>
            <w:tcW w:type="dxa" w:w="2700"/>
            <w:shd w:fill="F2F2F2" w:val="clear"/>
            <w:tcMar>
              <w:top w:type="dxa" w:w="80"/>
              <w:left w:type="dxa" w:w="120"/>
              <w:bottom w:type="dxa" w:w="80"/>
              <w:right w:type="dxa" w:w="120"/>
            </w:tcMar>
          </w:tcPr>
          <w:p>
            <w:r>
              <w:rPr>
                <w:b w:val="false"/>
                <w:bCs w:val="false"/>
              </w:rPr>
              <w:t xml:space="preserve">Suspension</w:t>
            </w:r>
          </w:p>
        </w:tc>
        <w:tc>
          <w:tcPr>
            <w:tcW w:type="dxa" w:w="6800"/>
            <w:shd w:fill="F2F2F2" w:val="clear"/>
            <w:tcMar>
              <w:top w:type="dxa" w:w="80"/>
              <w:left w:type="dxa" w:w="120"/>
              <w:bottom w:type="dxa" w:w="80"/>
              <w:right w:type="dxa" w:w="120"/>
            </w:tcMar>
          </w:tcPr>
          <w:p>
            <w:r>
              <w:rPr>
                <w:b w:val="false"/>
                <w:bCs w:val="false"/>
              </w:rPr>
              <w:t xml:space="preserve">Shock absorbers, coil/leaf springs, stabilizer links, ball joints, control arms</w:t>
            </w:r>
          </w:p>
        </w:tc>
      </w:tr>
      <w:tr>
        <w:tc>
          <w:tcPr>
            <w:tcW w:type="dxa" w:w="2700"/>
            <w:shd w:fill="FFFFFF" w:val="clear"/>
            <w:tcMar>
              <w:top w:type="dxa" w:w="80"/>
              <w:left w:type="dxa" w:w="120"/>
              <w:bottom w:type="dxa" w:w="80"/>
              <w:right w:type="dxa" w:w="120"/>
            </w:tcMar>
          </w:tcPr>
          <w:p>
            <w:r>
              <w:rPr>
                <w:b w:val="false"/>
                <w:bCs w:val="false"/>
              </w:rPr>
              <w:t xml:space="preserve">Steering</w:t>
            </w:r>
          </w:p>
        </w:tc>
        <w:tc>
          <w:tcPr>
            <w:tcW w:type="dxa" w:w="6800"/>
            <w:shd w:fill="FFFFFF" w:val="clear"/>
            <w:tcMar>
              <w:top w:type="dxa" w:w="80"/>
              <w:left w:type="dxa" w:w="120"/>
              <w:bottom w:type="dxa" w:w="80"/>
              <w:right w:type="dxa" w:w="120"/>
            </w:tcMar>
          </w:tcPr>
          <w:p>
            <w:r>
              <w:rPr>
                <w:b w:val="false"/>
                <w:bCs w:val="false"/>
              </w:rPr>
              <w:t xml:space="preserve">Steering rack, pumps, tie rods, linkages</w:t>
            </w:r>
          </w:p>
        </w:tc>
      </w:tr>
      <w:tr>
        <w:tc>
          <w:tcPr>
            <w:tcW w:type="dxa" w:w="2700"/>
            <w:shd w:fill="F2F2F2" w:val="clear"/>
            <w:tcMar>
              <w:top w:type="dxa" w:w="80"/>
              <w:left w:type="dxa" w:w="120"/>
              <w:bottom w:type="dxa" w:w="80"/>
              <w:right w:type="dxa" w:w="120"/>
            </w:tcMar>
          </w:tcPr>
          <w:p>
            <w:r>
              <w:rPr>
                <w:b w:val="false"/>
                <w:bCs w:val="false"/>
              </w:rPr>
              <w:t xml:space="preserve">Wheel Drive / Transmission</w:t>
            </w:r>
          </w:p>
        </w:tc>
        <w:tc>
          <w:tcPr>
            <w:tcW w:type="dxa" w:w="6800"/>
            <w:shd w:fill="F2F2F2" w:val="clear"/>
            <w:tcMar>
              <w:top w:type="dxa" w:w="80"/>
              <w:left w:type="dxa" w:w="120"/>
              <w:bottom w:type="dxa" w:w="80"/>
              <w:right w:type="dxa" w:w="120"/>
            </w:tcMar>
          </w:tcPr>
          <w:p>
            <w:r>
              <w:rPr>
                <w:b w:val="false"/>
                <w:bCs w:val="false"/>
              </w:rPr>
              <w:t xml:space="preserve">Drive shafts, CV joints, axles, differentials, wheel bearings &amp; hubs</w:t>
            </w:r>
          </w:p>
        </w:tc>
      </w:tr>
      <w:tr>
        <w:tc>
          <w:tcPr>
            <w:tcW w:type="dxa" w:w="2700"/>
            <w:shd w:fill="FFFFFF" w:val="clear"/>
            <w:tcMar>
              <w:top w:type="dxa" w:w="80"/>
              <w:left w:type="dxa" w:w="120"/>
              <w:bottom w:type="dxa" w:w="80"/>
              <w:right w:type="dxa" w:w="120"/>
            </w:tcMar>
          </w:tcPr>
          <w:p>
            <w:r>
              <w:rPr>
                <w:b w:val="false"/>
                <w:bCs w:val="false"/>
              </w:rPr>
              <w:t xml:space="preserve">Clutch System</w:t>
            </w:r>
          </w:p>
        </w:tc>
        <w:tc>
          <w:tcPr>
            <w:tcW w:type="dxa" w:w="6800"/>
            <w:shd w:fill="FFFFFF" w:val="clear"/>
            <w:tcMar>
              <w:top w:type="dxa" w:w="80"/>
              <w:left w:type="dxa" w:w="120"/>
              <w:bottom w:type="dxa" w:w="80"/>
              <w:right w:type="dxa" w:w="120"/>
            </w:tcMar>
          </w:tcPr>
          <w:p>
            <w:r>
              <w:rPr>
                <w:b w:val="false"/>
                <w:bCs w:val="false"/>
              </w:rPr>
              <w:t xml:space="preserve">Clutch plates, kits, pressure plates, release bearings</w:t>
            </w:r>
          </w:p>
        </w:tc>
      </w:tr>
      <w:tr>
        <w:tc>
          <w:tcPr>
            <w:tcW w:type="dxa" w:w="2700"/>
            <w:shd w:fill="F2F2F2" w:val="clear"/>
            <w:tcMar>
              <w:top w:type="dxa" w:w="80"/>
              <w:left w:type="dxa" w:w="120"/>
              <w:bottom w:type="dxa" w:w="80"/>
              <w:right w:type="dxa" w:w="120"/>
            </w:tcMar>
          </w:tcPr>
          <w:p>
            <w:r>
              <w:rPr>
                <w:b w:val="false"/>
                <w:bCs w:val="false"/>
              </w:rPr>
              <w:t xml:space="preserve">Engine &amp; Fuel Supply</w:t>
            </w:r>
          </w:p>
        </w:tc>
        <w:tc>
          <w:tcPr>
            <w:tcW w:type="dxa" w:w="6800"/>
            <w:shd w:fill="F2F2F2" w:val="clear"/>
            <w:tcMar>
              <w:top w:type="dxa" w:w="80"/>
              <w:left w:type="dxa" w:w="120"/>
              <w:bottom w:type="dxa" w:w="80"/>
              <w:right w:type="dxa" w:w="120"/>
            </w:tcMar>
          </w:tcPr>
          <w:p>
            <w:r>
              <w:rPr>
                <w:b w:val="false"/>
                <w:bCs w:val="false"/>
              </w:rPr>
              <w:t xml:space="preserve">Air/oil filters, fuel pumps, injectors, pressure regulators</w:t>
            </w:r>
          </w:p>
        </w:tc>
      </w:tr>
      <w:tr>
        <w:tc>
          <w:tcPr>
            <w:tcW w:type="dxa" w:w="2700"/>
            <w:shd w:fill="FFFFFF" w:val="clear"/>
            <w:tcMar>
              <w:top w:type="dxa" w:w="80"/>
              <w:left w:type="dxa" w:w="120"/>
              <w:bottom w:type="dxa" w:w="80"/>
              <w:right w:type="dxa" w:w="120"/>
            </w:tcMar>
          </w:tcPr>
          <w:p>
            <w:r>
              <w:rPr>
                <w:b w:val="false"/>
                <w:bCs w:val="false"/>
              </w:rPr>
              <w:t xml:space="preserve">Cooling System</w:t>
            </w:r>
          </w:p>
        </w:tc>
        <w:tc>
          <w:tcPr>
            <w:tcW w:type="dxa" w:w="6800"/>
            <w:shd w:fill="FFFFFF" w:val="clear"/>
            <w:tcMar>
              <w:top w:type="dxa" w:w="80"/>
              <w:left w:type="dxa" w:w="120"/>
              <w:bottom w:type="dxa" w:w="80"/>
              <w:right w:type="dxa" w:w="120"/>
            </w:tcMar>
          </w:tcPr>
          <w:p>
            <w:r>
              <w:rPr>
                <w:b w:val="false"/>
                <w:bCs w:val="false"/>
              </w:rPr>
              <w:t xml:space="preserve">Radiators, thermostats, coolant hoses, water pumps, V-belts</w:t>
            </w:r>
          </w:p>
        </w:tc>
      </w:tr>
      <w:tr>
        <w:tc>
          <w:tcPr>
            <w:tcW w:type="dxa" w:w="2700"/>
            <w:shd w:fill="F2F2F2" w:val="clear"/>
            <w:tcMar>
              <w:top w:type="dxa" w:w="80"/>
              <w:left w:type="dxa" w:w="120"/>
              <w:bottom w:type="dxa" w:w="80"/>
              <w:right w:type="dxa" w:w="120"/>
            </w:tcMar>
          </w:tcPr>
          <w:p>
            <w:r>
              <w:rPr>
                <w:b w:val="false"/>
                <w:bCs w:val="false"/>
              </w:rPr>
              <w:t xml:space="preserve">Exhaust System</w:t>
            </w:r>
          </w:p>
        </w:tc>
        <w:tc>
          <w:tcPr>
            <w:tcW w:type="dxa" w:w="6800"/>
            <w:shd w:fill="F2F2F2" w:val="clear"/>
            <w:tcMar>
              <w:top w:type="dxa" w:w="80"/>
              <w:left w:type="dxa" w:w="120"/>
              <w:bottom w:type="dxa" w:w="80"/>
              <w:right w:type="dxa" w:w="120"/>
            </w:tcMar>
          </w:tcPr>
          <w:p>
            <w:r>
              <w:rPr>
                <w:b w:val="false"/>
                <w:bCs w:val="false"/>
              </w:rPr>
              <w:t xml:space="preserve">Manifold, exhaust pipe, muffler/silencer, emission control</w:t>
            </w:r>
          </w:p>
        </w:tc>
      </w:tr>
      <w:tr>
        <w:tc>
          <w:tcPr>
            <w:tcW w:type="dxa" w:w="2700"/>
            <w:shd w:fill="FFFFFF" w:val="clear"/>
            <w:tcMar>
              <w:top w:type="dxa" w:w="80"/>
              <w:left w:type="dxa" w:w="120"/>
              <w:bottom w:type="dxa" w:w="80"/>
              <w:right w:type="dxa" w:w="120"/>
            </w:tcMar>
          </w:tcPr>
          <w:p>
            <w:r>
              <w:rPr>
                <w:b w:val="false"/>
                <w:bCs w:val="false"/>
              </w:rPr>
              <w:t xml:space="preserve">Electricals &amp; Lighting</w:t>
            </w:r>
          </w:p>
        </w:tc>
        <w:tc>
          <w:tcPr>
            <w:tcW w:type="dxa" w:w="6800"/>
            <w:shd w:fill="FFFFFF" w:val="clear"/>
            <w:tcMar>
              <w:top w:type="dxa" w:w="80"/>
              <w:left w:type="dxa" w:w="120"/>
              <w:bottom w:type="dxa" w:w="80"/>
              <w:right w:type="dxa" w:w="120"/>
            </w:tcMar>
          </w:tcPr>
          <w:p>
            <w:r>
              <w:rPr>
                <w:b w:val="false"/>
                <w:bCs w:val="false"/>
              </w:rPr>
              <w:t xml:space="preserve">Alternator, battery, starter motor, fuses/relays, horn, wiring harness, sensors, switches, headlight/tail light/fog lamp/bulbs</w:t>
            </w:r>
          </w:p>
        </w:tc>
      </w:tr>
      <w:tr>
        <w:tc>
          <w:tcPr>
            <w:tcW w:type="dxa" w:w="2700"/>
            <w:shd w:fill="F2F2F2" w:val="clear"/>
            <w:tcMar>
              <w:top w:type="dxa" w:w="80"/>
              <w:left w:type="dxa" w:w="120"/>
              <w:bottom w:type="dxa" w:w="80"/>
              <w:right w:type="dxa" w:w="120"/>
            </w:tcMar>
          </w:tcPr>
          <w:p>
            <w:r>
              <w:rPr>
                <w:b w:val="false"/>
                <w:bCs w:val="false"/>
              </w:rPr>
              <w:t xml:space="preserve">Body Parts</w:t>
            </w:r>
          </w:p>
        </w:tc>
        <w:tc>
          <w:tcPr>
            <w:tcW w:type="dxa" w:w="6800"/>
            <w:shd w:fill="F2F2F2" w:val="clear"/>
            <w:tcMar>
              <w:top w:type="dxa" w:w="80"/>
              <w:left w:type="dxa" w:w="120"/>
              <w:bottom w:type="dxa" w:w="80"/>
              <w:right w:type="dxa" w:w="120"/>
            </w:tcMar>
          </w:tcPr>
          <w:p>
            <w:r>
              <w:rPr>
                <w:b w:val="false"/>
                <w:bCs w:val="false"/>
              </w:rPr>
              <w:t xml:space="preserve">Bonnet, doors, mirrors, panels, windshield, window</w:t>
            </w:r>
          </w:p>
        </w:tc>
      </w:tr>
      <w:tr>
        <w:tc>
          <w:tcPr>
            <w:tcW w:type="dxa" w:w="2700"/>
            <w:shd w:fill="FFFFFF" w:val="clear"/>
            <w:tcMar>
              <w:top w:type="dxa" w:w="80"/>
              <w:left w:type="dxa" w:w="120"/>
              <w:bottom w:type="dxa" w:w="80"/>
              <w:right w:type="dxa" w:w="120"/>
            </w:tcMar>
          </w:tcPr>
          <w:p>
            <w:r>
              <w:rPr>
                <w:b w:val="false"/>
                <w:bCs w:val="false"/>
              </w:rPr>
              <w:t xml:space="preserve">AC / Climate Control</w:t>
            </w:r>
          </w:p>
        </w:tc>
        <w:tc>
          <w:tcPr>
            <w:tcW w:type="dxa" w:w="6800"/>
            <w:shd w:fill="FFFFFF" w:val="clear"/>
            <w:tcMar>
              <w:top w:type="dxa" w:w="80"/>
              <w:left w:type="dxa" w:w="120"/>
              <w:bottom w:type="dxa" w:w="80"/>
              <w:right w:type="dxa" w:w="120"/>
            </w:tcMar>
          </w:tcPr>
          <w:p>
            <w:r>
              <w:rPr>
                <w:b w:val="false"/>
                <w:bCs w:val="false"/>
              </w:rPr>
              <w:t xml:space="preserve">AC compressor, condenser, heater unit, cabin filter</w:t>
            </w:r>
          </w:p>
        </w:tc>
      </w:tr>
      <w:tr>
        <w:tc>
          <w:tcPr>
            <w:tcW w:type="dxa" w:w="2700"/>
            <w:shd w:fill="F2F2F2" w:val="clear"/>
            <w:tcMar>
              <w:top w:type="dxa" w:w="80"/>
              <w:left w:type="dxa" w:w="120"/>
              <w:bottom w:type="dxa" w:w="80"/>
              <w:right w:type="dxa" w:w="120"/>
            </w:tcMar>
          </w:tcPr>
          <w:p>
            <w:r>
              <w:rPr>
                <w:b w:val="false"/>
                <w:bCs w:val="false"/>
              </w:rPr>
              <w:t xml:space="preserve">Maintenance Kits</w:t>
            </w:r>
          </w:p>
        </w:tc>
        <w:tc>
          <w:tcPr>
            <w:tcW w:type="dxa" w:w="6800"/>
            <w:shd w:fill="F2F2F2" w:val="clear"/>
            <w:tcMar>
              <w:top w:type="dxa" w:w="80"/>
              <w:left w:type="dxa" w:w="120"/>
              <w:bottom w:type="dxa" w:w="80"/>
              <w:right w:type="dxa" w:w="120"/>
            </w:tcMar>
          </w:tcPr>
          <w:p>
            <w:r>
              <w:rPr>
                <w:b w:val="false"/>
                <w:bCs w:val="false"/>
              </w:rPr>
              <w:t xml:space="preserve">Oil filters, air filters, spark plugs, service kits</w:t>
            </w:r>
          </w:p>
        </w:tc>
      </w:tr>
      <w:tr>
        <w:tc>
          <w:tcPr>
            <w:tcW w:type="dxa" w:w="2700"/>
            <w:shd w:fill="FFFFFF" w:val="clear"/>
            <w:tcMar>
              <w:top w:type="dxa" w:w="80"/>
              <w:left w:type="dxa" w:w="120"/>
              <w:bottom w:type="dxa" w:w="80"/>
              <w:right w:type="dxa" w:w="120"/>
            </w:tcMar>
          </w:tcPr>
          <w:p>
            <w:r>
              <w:rPr>
                <w:b w:val="false"/>
                <w:bCs w:val="false"/>
              </w:rPr>
              <w:t xml:space="preserve">Lubricants &amp; Fluids</w:t>
            </w:r>
          </w:p>
        </w:tc>
        <w:tc>
          <w:tcPr>
            <w:tcW w:type="dxa" w:w="6800"/>
            <w:shd w:fill="FFFFFF" w:val="clear"/>
            <w:tcMar>
              <w:top w:type="dxa" w:w="80"/>
              <w:left w:type="dxa" w:w="120"/>
              <w:bottom w:type="dxa" w:w="80"/>
              <w:right w:type="dxa" w:w="120"/>
            </w:tcMar>
          </w:tcPr>
          <w:p>
            <w:r>
              <w:rPr>
                <w:b w:val="false"/>
                <w:bCs w:val="false"/>
              </w:rPr>
              <w:t xml:space="preserve">Engine oil, brake fluid, coolant</w:t>
            </w:r>
          </w:p>
        </w:tc>
      </w:tr>
    </w:tbl>
    <w:p>
      <w:r>
        <w:br w:type="page"/>
      </w:r>
    </w:p>
    <w:p>
      <w:pPr>
        <w:pStyle w:val="Heading1"/>
        <w:spacing w:after="200" w:before="400"/>
      </w:pPr>
      <w:r>
        <w:t xml:space="preserve">9. Primary User Flows</w:t>
      </w:r>
    </w:p>
    <w:p>
      <w:pPr>
        <w:pStyle w:val="Heading2"/>
        <w:spacing w:after="150" w:before="300"/>
      </w:pPr>
      <w:r>
        <w:t xml:space="preserve">9.1 Add New Item</w:t>
      </w:r>
    </w:p>
    <w:p>
      <w:pPr>
        <w:pStyle w:val="ListParagraph"/>
        <w:numPr>
          <w:ilvl w:val="0"/>
          <w:numId w:val="2"/>
        </w:numPr>
        <w:spacing w:after="80"/>
      </w:pPr>
      <w:r>
        <w:t xml:space="preserve">Owner opens the app and selects "Add Item" from the home screen.</w:t>
      </w:r>
    </w:p>
    <w:p>
      <w:pPr>
        <w:pStyle w:val="ListParagraph"/>
        <w:numPr>
          <w:ilvl w:val="0"/>
          <w:numId w:val="2"/>
        </w:numPr>
        <w:spacing w:after="80"/>
      </w:pPr>
      <w:r>
        <w:t xml:space="preserve">Owner chooses one of: scan barcode, manual entry, photo capture, or scan supplier invoice.</w:t>
      </w:r>
    </w:p>
    <w:p>
      <w:pPr>
        <w:pStyle w:val="ListParagraph"/>
        <w:numPr>
          <w:ilvl w:val="0"/>
          <w:numId w:val="2"/>
        </w:numPr>
        <w:spacing w:after="80"/>
      </w:pPr>
      <w:r>
        <w:t xml:space="preserve">Owner assigns or creates a category, enters quantity, cost price, and selling price.</w:t>
      </w:r>
    </w:p>
    <w:p>
      <w:pPr>
        <w:pStyle w:val="ListParagraph"/>
        <w:numPr>
          <w:ilvl w:val="0"/>
          <w:numId w:val="2"/>
        </w:numPr>
        <w:spacing w:after="80"/>
      </w:pPr>
      <w:r>
        <w:t xml:space="preserve">Item is saved to inventory and becomes visible in the category list.</w:t>
      </w:r>
    </w:p>
    <w:p>
      <w:pPr>
        <w:pStyle w:val="Heading2"/>
        <w:spacing w:after="150" w:before="300"/>
      </w:pPr>
      <w:r>
        <w:t xml:space="preserve">9.2 Record a Sale</w:t>
      </w:r>
    </w:p>
    <w:p>
      <w:pPr>
        <w:pStyle w:val="ListParagraph"/>
        <w:numPr>
          <w:ilvl w:val="0"/>
          <w:numId w:val="2"/>
        </w:numPr>
        <w:spacing w:after="80"/>
      </w:pPr>
      <w:r>
        <w:t xml:space="preserve">Owner selects "Record Sale" and chooses the item and quantity sold.</w:t>
      </w:r>
    </w:p>
    <w:p>
      <w:pPr>
        <w:pStyle w:val="ListParagraph"/>
        <w:numPr>
          <w:ilvl w:val="0"/>
          <w:numId w:val="2"/>
        </w:numPr>
        <w:spacing w:after="80"/>
      </w:pPr>
      <w:r>
        <w:t xml:space="preserve">System calculates total, decrements stock, and generates a printable receipt.</w:t>
      </w:r>
    </w:p>
    <w:p>
      <w:pPr>
        <w:pStyle w:val="ListParagraph"/>
        <w:numPr>
          <w:ilvl w:val="0"/>
          <w:numId w:val="2"/>
        </w:numPr>
        <w:spacing w:after="80"/>
      </w:pPr>
      <w:r>
        <w:t xml:space="preserve">If resulting stock falls below threshold, an alert is created.</w:t>
      </w:r>
    </w:p>
    <w:p>
      <w:pPr>
        <w:pStyle w:val="Heading2"/>
        <w:spacing w:after="150" w:before="300"/>
      </w:pPr>
      <w:r>
        <w:t xml:space="preserve">9.3 Respond to a Low-Stock Alert</w:t>
      </w:r>
    </w:p>
    <w:p>
      <w:pPr>
        <w:pStyle w:val="ListParagraph"/>
        <w:numPr>
          <w:ilvl w:val="0"/>
          <w:numId w:val="2"/>
        </w:numPr>
        <w:spacing w:after="80"/>
      </w:pPr>
      <w:r>
        <w:t xml:space="preserve">Owner receives a notification for an item below threshold.</w:t>
      </w:r>
    </w:p>
    <w:p>
      <w:pPr>
        <w:pStyle w:val="ListParagraph"/>
        <w:numPr>
          <w:ilvl w:val="0"/>
          <w:numId w:val="2"/>
        </w:numPr>
        <w:spacing w:after="80"/>
      </w:pPr>
      <w:r>
        <w:t xml:space="preserve">Owner taps the alert and (Phase 2) views suggested distributors for that item.</w:t>
      </w:r>
    </w:p>
    <w:p>
      <w:pPr>
        <w:pStyle w:val="ListParagraph"/>
        <w:numPr>
          <w:ilvl w:val="0"/>
          <w:numId w:val="2"/>
        </w:numPr>
        <w:spacing w:after="80"/>
      </w:pPr>
      <w:r>
        <w:t xml:space="preserve">Owner restocks physically, then scans or manually updates the new quantity.</w:t>
      </w:r>
    </w:p>
    <w:p>
      <w:r>
        <w:br w:type="page"/>
      </w:r>
    </w:p>
    <w:p>
      <w:pPr>
        <w:pStyle w:val="Heading1"/>
        <w:spacing w:after="200" w:before="400"/>
      </w:pPr>
      <w:r>
        <w:t xml:space="preserve">10. Data Model (High Level)</w:t>
      </w:r>
    </w:p>
    <w:p>
      <w:pPr>
        <w:spacing w:after="160"/>
      </w:pPr>
      <w:r>
        <w:t xml:space="preserve">The schema is multi-tenant and vertical-agnostic: every core table is scoped by tenant_id, ensuring one retailer's data is fully isolated from another's, while the Category and Item entities carry no hard-coded fields specific to auto parts. The same tables serve hardware, furniture, or grocery verticals by changing only the seeded taxonomy per tenant.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tcPr>
          <w:p>
            <w:r>
              <w:rPr>
                <w:b/>
                <w:bCs/>
                <w:color w:val="FFFFFF"/>
              </w:rPr>
              <w:t xml:space="preserve">Entity</w:t>
            </w:r>
          </w:p>
        </w:tc>
        <w:tc>
          <w:tcPr>
            <w:tcW w:type="dxa" w:w="7300"/>
            <w:shd w:fill="1F3864" w:val="clear"/>
            <w:tcMar>
              <w:top w:type="dxa" w:w="80"/>
              <w:left w:type="dxa" w:w="120"/>
              <w:bottom w:type="dxa" w:w="80"/>
              <w:right w:type="dxa" w:w="120"/>
            </w:tcMar>
          </w:tcPr>
          <w:p>
            <w:r>
              <w:rPr>
                <w:b/>
                <w:bCs/>
                <w:color w:val="FFFFFF"/>
              </w:rPr>
              <w:t xml:space="preserve">Key Attributes</w:t>
            </w:r>
          </w:p>
        </w:tc>
      </w:tr>
      <w:tr>
        <w:tc>
          <w:tcPr>
            <w:tcW w:type="dxa" w:w="2200"/>
            <w:shd w:fill="FFFFFF" w:val="clear"/>
            <w:tcMar>
              <w:top w:type="dxa" w:w="80"/>
              <w:left w:type="dxa" w:w="120"/>
              <w:bottom w:type="dxa" w:w="80"/>
              <w:right w:type="dxa" w:w="120"/>
            </w:tcMar>
          </w:tcPr>
          <w:p>
            <w:r>
              <w:rPr>
                <w:b w:val="false"/>
                <w:bCs w:val="false"/>
              </w:rPr>
              <w:t xml:space="preserve">Account</w:t>
            </w:r>
          </w:p>
        </w:tc>
        <w:tc>
          <w:tcPr>
            <w:tcW w:type="dxa" w:w="7300"/>
            <w:shd w:fill="FFFFFF" w:val="clear"/>
            <w:tcMar>
              <w:top w:type="dxa" w:w="80"/>
              <w:left w:type="dxa" w:w="120"/>
              <w:bottom w:type="dxa" w:w="80"/>
              <w:right w:type="dxa" w:w="120"/>
            </w:tcMar>
          </w:tcPr>
          <w:p>
            <w:r>
              <w:rPr>
                <w:b w:val="false"/>
                <w:bCs w:val="false"/>
              </w:rPr>
              <w:t xml:space="preserve">account_id, email/phone, password_hash, role, created_at</w:t>
            </w:r>
          </w:p>
        </w:tc>
      </w:tr>
      <w:tr>
        <w:tc>
          <w:tcPr>
            <w:tcW w:type="dxa" w:w="2200"/>
            <w:shd w:fill="F2F2F2" w:val="clear"/>
            <w:tcMar>
              <w:top w:type="dxa" w:w="80"/>
              <w:left w:type="dxa" w:w="120"/>
              <w:bottom w:type="dxa" w:w="80"/>
              <w:right w:type="dxa" w:w="120"/>
            </w:tcMar>
          </w:tcPr>
          <w:p>
            <w:r>
              <w:rPr>
                <w:b w:val="false"/>
                <w:bCs w:val="false"/>
              </w:rPr>
              <w:t xml:space="preserve">Tenant (Shop)</w:t>
            </w:r>
          </w:p>
        </w:tc>
        <w:tc>
          <w:tcPr>
            <w:tcW w:type="dxa" w:w="7300"/>
            <w:shd w:fill="F2F2F2" w:val="clear"/>
            <w:tcMar>
              <w:top w:type="dxa" w:w="80"/>
              <w:left w:type="dxa" w:w="120"/>
              <w:bottom w:type="dxa" w:w="80"/>
              <w:right w:type="dxa" w:w="120"/>
            </w:tcMar>
          </w:tcPr>
          <w:p>
            <w:r>
              <w:rPr>
                <w:b w:val="false"/>
                <w:bCs w:val="false"/>
              </w:rPr>
              <w:t xml:space="preserve">tenant_id, shop_name, vertical, owner_account_id, subscription_id, status</w:t>
            </w:r>
          </w:p>
        </w:tc>
      </w:tr>
      <w:tr>
        <w:tc>
          <w:tcPr>
            <w:tcW w:type="dxa" w:w="2200"/>
            <w:shd w:fill="FFFFFF" w:val="clear"/>
            <w:tcMar>
              <w:top w:type="dxa" w:w="80"/>
              <w:left w:type="dxa" w:w="120"/>
              <w:bottom w:type="dxa" w:w="80"/>
              <w:right w:type="dxa" w:w="120"/>
            </w:tcMar>
          </w:tcPr>
          <w:p>
            <w:r>
              <w:rPr>
                <w:b w:val="false"/>
                <w:bCs w:val="false"/>
              </w:rPr>
              <w:t xml:space="preserve">Subscription</w:t>
            </w:r>
          </w:p>
        </w:tc>
        <w:tc>
          <w:tcPr>
            <w:tcW w:type="dxa" w:w="7300"/>
            <w:shd w:fill="FFFFFF" w:val="clear"/>
            <w:tcMar>
              <w:top w:type="dxa" w:w="80"/>
              <w:left w:type="dxa" w:w="120"/>
              <w:bottom w:type="dxa" w:w="80"/>
              <w:right w:type="dxa" w:w="120"/>
            </w:tcMar>
          </w:tcPr>
          <w:p>
            <w:r>
              <w:rPr>
                <w:b w:val="false"/>
                <w:bCs w:val="false"/>
              </w:rPr>
              <w:t xml:space="preserve">subscription_id, tenant_id, plan_id, status, billing_cycle, next_renewal_date, payment_method_ref</w:t>
            </w:r>
          </w:p>
        </w:tc>
      </w:tr>
      <w:tr>
        <w:tc>
          <w:tcPr>
            <w:tcW w:type="dxa" w:w="2200"/>
            <w:shd w:fill="F2F2F2" w:val="clear"/>
            <w:tcMar>
              <w:top w:type="dxa" w:w="80"/>
              <w:left w:type="dxa" w:w="120"/>
              <w:bottom w:type="dxa" w:w="80"/>
              <w:right w:type="dxa" w:w="120"/>
            </w:tcMar>
          </w:tcPr>
          <w:p>
            <w:r>
              <w:rPr>
                <w:b w:val="false"/>
                <w:bCs w:val="false"/>
              </w:rPr>
              <w:t xml:space="preserve">Category</w:t>
            </w:r>
          </w:p>
        </w:tc>
        <w:tc>
          <w:tcPr>
            <w:tcW w:type="dxa" w:w="7300"/>
            <w:shd w:fill="F2F2F2" w:val="clear"/>
            <w:tcMar>
              <w:top w:type="dxa" w:w="80"/>
              <w:left w:type="dxa" w:w="120"/>
              <w:bottom w:type="dxa" w:w="80"/>
              <w:right w:type="dxa" w:w="120"/>
            </w:tcMar>
          </w:tcPr>
          <w:p>
            <w:r>
              <w:rPr>
                <w:b w:val="false"/>
                <w:bCs w:val="false"/>
              </w:rPr>
              <w:t xml:space="preserve">category_id, tenant_id, name, parent_category_id (nullable)</w:t>
            </w:r>
          </w:p>
        </w:tc>
      </w:tr>
      <w:tr>
        <w:tc>
          <w:tcPr>
            <w:tcW w:type="dxa" w:w="2200"/>
            <w:shd w:fill="FFFFFF" w:val="clear"/>
            <w:tcMar>
              <w:top w:type="dxa" w:w="80"/>
              <w:left w:type="dxa" w:w="120"/>
              <w:bottom w:type="dxa" w:w="80"/>
              <w:right w:type="dxa" w:w="120"/>
            </w:tcMar>
          </w:tcPr>
          <w:p>
            <w:r>
              <w:rPr>
                <w:b w:val="false"/>
                <w:bCs w:val="false"/>
              </w:rPr>
              <w:t xml:space="preserve">Item</w:t>
            </w:r>
          </w:p>
        </w:tc>
        <w:tc>
          <w:tcPr>
            <w:tcW w:type="dxa" w:w="7300"/>
            <w:shd w:fill="FFFFFF" w:val="clear"/>
            <w:tcMar>
              <w:top w:type="dxa" w:w="80"/>
              <w:left w:type="dxa" w:w="120"/>
              <w:bottom w:type="dxa" w:w="80"/>
              <w:right w:type="dxa" w:w="120"/>
            </w:tcMar>
          </w:tcPr>
          <w:p>
            <w:r>
              <w:rPr>
                <w:b w:val="false"/>
                <w:bCs w:val="false"/>
              </w:rPr>
              <w:t xml:space="preserve">item_id, tenant_id, category_id, name, part_number, barcode (nullable), photo_url (nullable), cost_price, selling_price, quantity, low_stock_threshold</w:t>
            </w:r>
          </w:p>
        </w:tc>
      </w:tr>
      <w:tr>
        <w:tc>
          <w:tcPr>
            <w:tcW w:type="dxa" w:w="2200"/>
            <w:shd w:fill="F2F2F2" w:val="clear"/>
            <w:tcMar>
              <w:top w:type="dxa" w:w="80"/>
              <w:left w:type="dxa" w:w="120"/>
              <w:bottom w:type="dxa" w:w="80"/>
              <w:right w:type="dxa" w:w="120"/>
            </w:tcMar>
          </w:tcPr>
          <w:p>
            <w:r>
              <w:rPr>
                <w:b w:val="false"/>
                <w:bCs w:val="false"/>
              </w:rPr>
              <w:t xml:space="preserve">Sale</w:t>
            </w:r>
          </w:p>
        </w:tc>
        <w:tc>
          <w:tcPr>
            <w:tcW w:type="dxa" w:w="7300"/>
            <w:shd w:fill="F2F2F2" w:val="clear"/>
            <w:tcMar>
              <w:top w:type="dxa" w:w="80"/>
              <w:left w:type="dxa" w:w="120"/>
              <w:bottom w:type="dxa" w:w="80"/>
              <w:right w:type="dxa" w:w="120"/>
            </w:tcMar>
          </w:tcPr>
          <w:p>
            <w:r>
              <w:rPr>
                <w:b w:val="false"/>
                <w:bCs w:val="false"/>
              </w:rPr>
              <w:t xml:space="preserve">sale_id, tenant_id, item_id, quantity, sale_price, timestamp, receipt_id, device_source</w:t>
            </w:r>
          </w:p>
        </w:tc>
      </w:tr>
      <w:tr>
        <w:tc>
          <w:tcPr>
            <w:tcW w:type="dxa" w:w="2200"/>
            <w:shd w:fill="FFFFFF" w:val="clear"/>
            <w:tcMar>
              <w:top w:type="dxa" w:w="80"/>
              <w:left w:type="dxa" w:w="120"/>
              <w:bottom w:type="dxa" w:w="80"/>
              <w:right w:type="dxa" w:w="120"/>
            </w:tcMar>
          </w:tcPr>
          <w:p>
            <w:r>
              <w:rPr>
                <w:b w:val="false"/>
                <w:bCs w:val="false"/>
              </w:rPr>
              <w:t xml:space="preserve">Distributor</w:t>
            </w:r>
          </w:p>
        </w:tc>
        <w:tc>
          <w:tcPr>
            <w:tcW w:type="dxa" w:w="7300"/>
            <w:shd w:fill="FFFFFF" w:val="clear"/>
            <w:tcMar>
              <w:top w:type="dxa" w:w="80"/>
              <w:left w:type="dxa" w:w="120"/>
              <w:bottom w:type="dxa" w:w="80"/>
              <w:right w:type="dxa" w:w="120"/>
            </w:tcMar>
          </w:tcPr>
          <w:p>
            <w:r>
              <w:rPr>
                <w:b w:val="false"/>
                <w:bCs w:val="false"/>
              </w:rPr>
              <w:t xml:space="preserve">distributor_id, name, contact_info, item_categories_supplied (Phase 2)</w:t>
            </w:r>
          </w:p>
        </w:tc>
      </w:tr>
      <w:tr>
        <w:tc>
          <w:tcPr>
            <w:tcW w:type="dxa" w:w="2200"/>
            <w:shd w:fill="F2F2F2" w:val="clear"/>
            <w:tcMar>
              <w:top w:type="dxa" w:w="80"/>
              <w:left w:type="dxa" w:w="120"/>
              <w:bottom w:type="dxa" w:w="80"/>
              <w:right w:type="dxa" w:w="120"/>
            </w:tcMar>
          </w:tcPr>
          <w:p>
            <w:r>
              <w:rPr>
                <w:b w:val="false"/>
                <w:bCs w:val="false"/>
              </w:rPr>
              <w:t xml:space="preserve">Alert</w:t>
            </w:r>
          </w:p>
        </w:tc>
        <w:tc>
          <w:tcPr>
            <w:tcW w:type="dxa" w:w="7300"/>
            <w:shd w:fill="F2F2F2" w:val="clear"/>
            <w:tcMar>
              <w:top w:type="dxa" w:w="80"/>
              <w:left w:type="dxa" w:w="120"/>
              <w:bottom w:type="dxa" w:w="80"/>
              <w:right w:type="dxa" w:w="120"/>
            </w:tcMar>
          </w:tcPr>
          <w:p>
            <w:r>
              <w:rPr>
                <w:b w:val="false"/>
                <w:bCs w:val="false"/>
              </w:rPr>
              <w:t xml:space="preserve">alert_id, tenant_id, item_id, triggered_at, status (open/resolved)</w:t>
            </w:r>
          </w:p>
        </w:tc>
      </w:tr>
    </w:tbl>
    <w:p>
      <w:r>
        <w:br w:type="page"/>
      </w:r>
    </w:p>
    <w:p>
      <w:pPr>
        <w:pStyle w:val="Heading1"/>
        <w:spacing w:after="200" w:before="400"/>
      </w:pPr>
      <w:r>
        <w:t xml:space="preserve">11. Technical Architecture</w:t>
      </w:r>
    </w:p>
    <w:p>
      <w:pPr>
        <w:spacing w:after="160"/>
      </w:pPr>
      <w:r>
        <w:t xml:space="preserve">StockPilot follows a standard enterprise SaaS pattern: multiple client applications communicating with a shared, centrally hosted backend over authenticated APIs — the same broad shape used by consumer platforms such as Swiggy or Zepto, adapted here for a B2B, multi-tenant retail-operations product rather than a delivery marketplace.</w:t>
      </w:r>
    </w:p>
    <w:p>
      <w:pPr>
        <w:pStyle w:val="Heading2"/>
        <w:spacing w:after="150" w:before="300"/>
      </w:pPr>
      <w:r>
        <w:t xml:space="preserve">11.1 Client Layer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00"/>
      </w:tblGrid>
      <w:tr>
        <w:trPr>
          <w:tblHeader/>
        </w:trPr>
        <w:tc>
          <w:tcPr>
            <w:tcW w:type="dxa" w:w="2000"/>
            <w:shd w:fill="1F3864" w:val="clear"/>
            <w:tcMar>
              <w:top w:type="dxa" w:w="80"/>
              <w:left w:type="dxa" w:w="120"/>
              <w:bottom w:type="dxa" w:w="80"/>
              <w:right w:type="dxa" w:w="120"/>
            </w:tcMar>
          </w:tcPr>
          <w:p>
            <w:r>
              <w:rPr>
                <w:b/>
                <w:bCs/>
                <w:color w:val="FFFFFF"/>
              </w:rPr>
              <w:t xml:space="preserve">Client</w:t>
            </w:r>
          </w:p>
        </w:tc>
        <w:tc>
          <w:tcPr>
            <w:tcW w:type="dxa" w:w="3600"/>
            <w:shd w:fill="1F3864" w:val="clear"/>
            <w:tcMar>
              <w:top w:type="dxa" w:w="80"/>
              <w:left w:type="dxa" w:w="120"/>
              <w:bottom w:type="dxa" w:w="80"/>
              <w:right w:type="dxa" w:w="120"/>
            </w:tcMar>
          </w:tcPr>
          <w:p>
            <w:r>
              <w:rPr>
                <w:b/>
                <w:bCs/>
                <w:color w:val="FFFFFF"/>
              </w:rPr>
              <w:t xml:space="preserve">Technology Approach</w:t>
            </w:r>
          </w:p>
        </w:tc>
        <w:tc>
          <w:tcPr>
            <w:tcW w:type="dxa" w:w="3700"/>
            <w:shd w:fill="1F3864" w:val="clear"/>
            <w:tcMar>
              <w:top w:type="dxa" w:w="80"/>
              <w:left w:type="dxa" w:w="120"/>
              <w:bottom w:type="dxa" w:w="80"/>
              <w:right w:type="dxa" w:w="120"/>
            </w:tcMar>
          </w:tcPr>
          <w:p>
            <w:r>
              <w:rPr>
                <w:b/>
                <w:bCs/>
                <w:color w:val="FFFFFF"/>
              </w:rPr>
              <w:t xml:space="preserve">Primary Use Case</w:t>
            </w:r>
          </w:p>
        </w:tc>
      </w:tr>
      <w:tr>
        <w:tc>
          <w:tcPr>
            <w:tcW w:type="dxa" w:w="2000"/>
            <w:shd w:fill="FFFFFF" w:val="clear"/>
            <w:tcMar>
              <w:top w:type="dxa" w:w="80"/>
              <w:left w:type="dxa" w:w="120"/>
              <w:bottom w:type="dxa" w:w="80"/>
              <w:right w:type="dxa" w:w="120"/>
            </w:tcMar>
          </w:tcPr>
          <w:p>
            <w:r>
              <w:rPr>
                <w:b w:val="false"/>
                <w:bCs w:val="false"/>
              </w:rPr>
              <w:t xml:space="preserve">Web Console</w:t>
            </w:r>
          </w:p>
        </w:tc>
        <w:tc>
          <w:tcPr>
            <w:tcW w:type="dxa" w:w="3600"/>
            <w:shd w:fill="FFFFFF" w:val="clear"/>
            <w:tcMar>
              <w:top w:type="dxa" w:w="80"/>
              <w:left w:type="dxa" w:w="120"/>
              <w:bottom w:type="dxa" w:w="80"/>
              <w:right w:type="dxa" w:w="120"/>
            </w:tcMar>
          </w:tcPr>
          <w:p>
            <w:r>
              <w:rPr>
                <w:b w:val="false"/>
                <w:bCs w:val="false"/>
              </w:rPr>
              <w:t xml:space="preserve">Responsive single-page web app (e.g., React / Next.js)</w:t>
            </w:r>
          </w:p>
        </w:tc>
        <w:tc>
          <w:tcPr>
            <w:tcW w:type="dxa" w:w="3700"/>
            <w:shd w:fill="FFFFFF" w:val="clear"/>
            <w:tcMar>
              <w:top w:type="dxa" w:w="80"/>
              <w:left w:type="dxa" w:w="120"/>
              <w:bottom w:type="dxa" w:w="80"/>
              <w:right w:type="dxa" w:w="120"/>
            </w:tcMar>
          </w:tcPr>
          <w:p>
            <w:r>
              <w:rPr>
                <w:b w:val="false"/>
                <w:bCs w:val="false"/>
              </w:rPr>
              <w:t xml:space="preserve">Account setup, catalog management, reporting, subscription/billing management</w:t>
            </w:r>
          </w:p>
        </w:tc>
      </w:tr>
      <w:tr>
        <w:tc>
          <w:tcPr>
            <w:tcW w:type="dxa" w:w="2000"/>
            <w:shd w:fill="F2F2F2" w:val="clear"/>
            <w:tcMar>
              <w:top w:type="dxa" w:w="80"/>
              <w:left w:type="dxa" w:w="120"/>
              <w:bottom w:type="dxa" w:w="80"/>
              <w:right w:type="dxa" w:w="120"/>
            </w:tcMar>
          </w:tcPr>
          <w:p>
            <w:r>
              <w:rPr>
                <w:b w:val="false"/>
                <w:bCs w:val="false"/>
              </w:rPr>
              <w:t xml:space="preserve">Android App</w:t>
            </w:r>
          </w:p>
        </w:tc>
        <w:tc>
          <w:tcPr>
            <w:tcW w:type="dxa" w:w="3600"/>
            <w:shd w:fill="F2F2F2" w:val="clear"/>
            <w:tcMar>
              <w:top w:type="dxa" w:w="80"/>
              <w:left w:type="dxa" w:w="120"/>
              <w:bottom w:type="dxa" w:w="80"/>
              <w:right w:type="dxa" w:w="120"/>
            </w:tcMar>
          </w:tcPr>
          <w:p>
            <w:r>
              <w:rPr>
                <w:b w:val="false"/>
                <w:bCs w:val="false"/>
              </w:rPr>
              <w:t xml:space="preserve">Cross-platform mobile framework (e.g., React Native or Flutter) sharing one codebase with iOS</w:t>
            </w:r>
          </w:p>
        </w:tc>
        <w:tc>
          <w:tcPr>
            <w:tcW w:type="dxa" w:w="3700"/>
            <w:shd w:fill="F2F2F2" w:val="clear"/>
            <w:tcMar>
              <w:top w:type="dxa" w:w="80"/>
              <w:left w:type="dxa" w:w="120"/>
              <w:bottom w:type="dxa" w:w="80"/>
              <w:right w:type="dxa" w:w="120"/>
            </w:tcMar>
          </w:tcPr>
          <w:p>
            <w:r>
              <w:rPr>
                <w:b w:val="false"/>
                <w:bCs w:val="false"/>
              </w:rPr>
              <w:t xml:space="preserve">Day-to-day floor operations: scan, add items, record sales, view alerts</w:t>
            </w:r>
          </w:p>
        </w:tc>
      </w:tr>
      <w:tr>
        <w:tc>
          <w:tcPr>
            <w:tcW w:type="dxa" w:w="2000"/>
            <w:shd w:fill="FFFFFF" w:val="clear"/>
            <w:tcMar>
              <w:top w:type="dxa" w:w="80"/>
              <w:left w:type="dxa" w:w="120"/>
              <w:bottom w:type="dxa" w:w="80"/>
              <w:right w:type="dxa" w:w="120"/>
            </w:tcMar>
          </w:tcPr>
          <w:p>
            <w:r>
              <w:rPr>
                <w:b w:val="false"/>
                <w:bCs w:val="false"/>
              </w:rPr>
              <w:t xml:space="preserve">iOS App</w:t>
            </w:r>
          </w:p>
        </w:tc>
        <w:tc>
          <w:tcPr>
            <w:tcW w:type="dxa" w:w="3600"/>
            <w:shd w:fill="FFFFFF" w:val="clear"/>
            <w:tcMar>
              <w:top w:type="dxa" w:w="80"/>
              <w:left w:type="dxa" w:w="120"/>
              <w:bottom w:type="dxa" w:w="80"/>
              <w:right w:type="dxa" w:w="120"/>
            </w:tcMar>
          </w:tcPr>
          <w:p>
            <w:r>
              <w:rPr>
                <w:b w:val="false"/>
                <w:bCs w:val="false"/>
              </w:rPr>
              <w:t xml:space="preserve">Same cross-platform codebase as Android, native shell per platform</w:t>
            </w:r>
          </w:p>
        </w:tc>
        <w:tc>
          <w:tcPr>
            <w:tcW w:type="dxa" w:w="3700"/>
            <w:shd w:fill="FFFFFF" w:val="clear"/>
            <w:tcMar>
              <w:top w:type="dxa" w:w="80"/>
              <w:left w:type="dxa" w:w="120"/>
              <w:bottom w:type="dxa" w:w="80"/>
              <w:right w:type="dxa" w:w="120"/>
            </w:tcMar>
          </w:tcPr>
          <w:p>
            <w:r>
              <w:rPr>
                <w:b w:val="false"/>
                <w:bCs w:val="false"/>
              </w:rPr>
              <w:t xml:space="preserve">Same as Android — full feature parity</w:t>
            </w:r>
          </w:p>
        </w:tc>
      </w:tr>
    </w:tbl>
    <w:p>
      <w:pPr>
        <w:spacing w:after="200"/>
      </w:pPr>
    </w:p>
    <w:p>
      <w:pPr>
        <w:pStyle w:val="Heading2"/>
        <w:spacing w:after="150" w:before="300"/>
      </w:pPr>
      <w:r>
        <w:t xml:space="preserve">11.2 API &amp; Application Layer</w:t>
      </w:r>
    </w:p>
    <w:p>
      <w:pPr>
        <w:pStyle w:val="ListParagraph"/>
        <w:numPr>
          <w:ilvl w:val="0"/>
          <w:numId w:val="2"/>
        </w:numPr>
        <w:spacing w:after="80"/>
      </w:pPr>
      <w:r>
        <w:t xml:space="preserve">API Gateway: single authenticated entry point for all clients; handles routing, rate limiting, and request validation.</w:t>
      </w:r>
    </w:p>
    <w:p>
      <w:pPr>
        <w:pStyle w:val="ListParagraph"/>
        <w:numPr>
          <w:ilvl w:val="0"/>
          <w:numId w:val="2"/>
        </w:numPr>
        <w:spacing w:after="80"/>
      </w:pPr>
      <w:r>
        <w:t xml:space="preserve">Auth &amp; Account Service: sign-up, login, session/token issuance (e.g., JWT), password reset, role-based access control.</w:t>
      </w:r>
    </w:p>
    <w:p>
      <w:pPr>
        <w:pStyle w:val="ListParagraph"/>
        <w:numPr>
          <w:ilvl w:val="0"/>
          <w:numId w:val="2"/>
        </w:numPr>
        <w:spacing w:after="80"/>
      </w:pPr>
      <w:r>
        <w:t xml:space="preserve">Tenant Service: shop provisioning, tenant configuration, and taxonomy seeding per vertical.</w:t>
      </w:r>
    </w:p>
    <w:p>
      <w:pPr>
        <w:pStyle w:val="ListParagraph"/>
        <w:numPr>
          <w:ilvl w:val="0"/>
          <w:numId w:val="2"/>
        </w:numPr>
        <w:spacing w:after="80"/>
      </w:pPr>
      <w:r>
        <w:t xml:space="preserve">Inventory Service: item and category CRUD, stock quantity updates, photo/barcode metadata handling.</w:t>
      </w:r>
    </w:p>
    <w:p>
      <w:pPr>
        <w:pStyle w:val="ListParagraph"/>
        <w:numPr>
          <w:ilvl w:val="0"/>
          <w:numId w:val="2"/>
        </w:numPr>
        <w:spacing w:after="80"/>
      </w:pPr>
      <w:r>
        <w:t xml:space="preserve">Sales Service: sale recording, receipt generation, stock decrement transactions.</w:t>
      </w:r>
    </w:p>
    <w:p>
      <w:pPr>
        <w:pStyle w:val="ListParagraph"/>
        <w:numPr>
          <w:ilvl w:val="0"/>
          <w:numId w:val="2"/>
        </w:numPr>
        <w:spacing w:after="80"/>
      </w:pPr>
      <w:r>
        <w:t xml:space="preserve">Alerts &amp; Notification Service: threshold evaluation and push-notification dispatch (FCM for Android, APNs for iOS, web push for the console).</w:t>
      </w:r>
    </w:p>
    <w:p>
      <w:pPr>
        <w:pStyle w:val="ListParagraph"/>
        <w:numPr>
          <w:ilvl w:val="0"/>
          <w:numId w:val="2"/>
        </w:numPr>
        <w:spacing w:after="80"/>
      </w:pPr>
      <w:r>
        <w:t xml:space="preserve">Reporting Service: aggregates sales and inventory data into dashboard-ready summaries.</w:t>
      </w:r>
    </w:p>
    <w:p>
      <w:pPr>
        <w:pStyle w:val="ListParagraph"/>
        <w:numPr>
          <w:ilvl w:val="0"/>
          <w:numId w:val="2"/>
        </w:numPr>
        <w:spacing w:after="80"/>
      </w:pPr>
      <w:r>
        <w:t xml:space="preserve">Billing &amp; Subscription Service: plan management and integration with a payment gateway for recurring subscription charges.</w:t>
      </w:r>
    </w:p>
    <w:p>
      <w:pPr>
        <w:pStyle w:val="ListParagraph"/>
        <w:numPr>
          <w:ilvl w:val="1"/>
          <w:numId w:val="2"/>
        </w:numPr>
        <w:spacing w:after="80"/>
      </w:pPr>
      <w:r>
        <w:t xml:space="preserve">Architecture note: these can be built as a modular monolith at launch (faster to ship, simpler to operate) with clear service boundaries, migrating to independently deployed microservices as tenant volume grows — a common, low-risk progression for an early-stage SaaS product.</w:t>
      </w:r>
    </w:p>
    <w:p>
      <w:pPr>
        <w:pStyle w:val="Heading2"/>
        <w:spacing w:after="150" w:before="300"/>
      </w:pPr>
      <w:r>
        <w:t xml:space="preserve">11.3 Data &amp; Storage Layer</w:t>
      </w:r>
    </w:p>
    <w:p>
      <w:pPr>
        <w:pStyle w:val="ListParagraph"/>
        <w:numPr>
          <w:ilvl w:val="0"/>
          <w:numId w:val="2"/>
        </w:numPr>
        <w:spacing w:after="80"/>
      </w:pPr>
      <w:r>
        <w:t xml:space="preserve">Primary Database: relational database (e.g., PostgreSQL) with tenant_id-based row isolation across all core tables.</w:t>
      </w:r>
    </w:p>
    <w:p>
      <w:pPr>
        <w:pStyle w:val="ListParagraph"/>
        <w:numPr>
          <w:ilvl w:val="0"/>
          <w:numId w:val="2"/>
        </w:numPr>
        <w:spacing w:after="80"/>
      </w:pPr>
      <w:r>
        <w:t xml:space="preserve">Cache: in-memory store (e.g., Redis) for session tokens, rate limiting, and frequently read dashboard aggregates.</w:t>
      </w:r>
    </w:p>
    <w:p>
      <w:pPr>
        <w:pStyle w:val="ListParagraph"/>
        <w:numPr>
          <w:ilvl w:val="0"/>
          <w:numId w:val="2"/>
        </w:numPr>
        <w:spacing w:after="80"/>
      </w:pPr>
      <w:r>
        <w:t xml:space="preserve">Object Storage: cloud object storage (e.g., S3-compatible) for item photos and scanned invoice images.</w:t>
      </w:r>
    </w:p>
    <w:p>
      <w:pPr>
        <w:pStyle w:val="ListParagraph"/>
        <w:numPr>
          <w:ilvl w:val="0"/>
          <w:numId w:val="2"/>
        </w:numPr>
        <w:spacing w:after="80"/>
      </w:pPr>
      <w:r>
        <w:t xml:space="preserve">Message Queue: asynchronous queue (e.g., SQS/RabbitMQ) for background jobs — alert evaluation, notification dispatch, and OCR processing (Phase 2).</w:t>
      </w:r>
    </w:p>
    <w:p>
      <w:pPr>
        <w:pStyle w:val="Heading2"/>
        <w:spacing w:after="150" w:before="300"/>
      </w:pPr>
      <w:r>
        <w:t xml:space="preserve">11.4 Infrastructure &amp; Operations</w:t>
      </w:r>
    </w:p>
    <w:p>
      <w:pPr>
        <w:pStyle w:val="ListParagraph"/>
        <w:numPr>
          <w:ilvl w:val="0"/>
          <w:numId w:val="2"/>
        </w:numPr>
        <w:spacing w:after="80"/>
      </w:pPr>
      <w:r>
        <w:t xml:space="preserve">Cloud Provider: a managed cloud platform (AWS, GCP, or Azure) hosting all backend services.</w:t>
      </w:r>
    </w:p>
    <w:p>
      <w:pPr>
        <w:pStyle w:val="ListParagraph"/>
        <w:numPr>
          <w:ilvl w:val="0"/>
          <w:numId w:val="2"/>
        </w:numPr>
        <w:spacing w:after="80"/>
      </w:pPr>
      <w:r>
        <w:t xml:space="preserve">Containerization: services packaged in containers (Docker), orchestrated via a managed container service or Kubernetes as scale requires.</w:t>
      </w:r>
    </w:p>
    <w:p>
      <w:pPr>
        <w:pStyle w:val="ListParagraph"/>
        <w:numPr>
          <w:ilvl w:val="0"/>
          <w:numId w:val="2"/>
        </w:numPr>
        <w:spacing w:after="80"/>
      </w:pPr>
      <w:r>
        <w:t xml:space="preserve">CDN: content delivery network for the web console's static assets and cached images.</w:t>
      </w:r>
    </w:p>
    <w:p>
      <w:pPr>
        <w:pStyle w:val="ListParagraph"/>
        <w:numPr>
          <w:ilvl w:val="0"/>
          <w:numId w:val="2"/>
        </w:numPr>
        <w:spacing w:after="80"/>
      </w:pPr>
      <w:r>
        <w:t xml:space="preserve">Load Balancing: distributes API traffic across backend instances for availability.</w:t>
      </w:r>
    </w:p>
    <w:p>
      <w:pPr>
        <w:pStyle w:val="ListParagraph"/>
        <w:numPr>
          <w:ilvl w:val="0"/>
          <w:numId w:val="2"/>
        </w:numPr>
        <w:spacing w:after="80"/>
      </w:pPr>
      <w:r>
        <w:t xml:space="preserve">CI/CD Pipeline: automated build, test, and deployment pipeline for all three clients and backend services.</w:t>
      </w:r>
    </w:p>
    <w:p>
      <w:pPr>
        <w:pStyle w:val="ListParagraph"/>
        <w:numPr>
          <w:ilvl w:val="0"/>
          <w:numId w:val="2"/>
        </w:numPr>
        <w:spacing w:after="80"/>
      </w:pPr>
      <w:r>
        <w:t xml:space="preserve">Observability: centralized logging, application performance monitoring, and error tracking across all services.</w:t>
      </w:r>
    </w:p>
    <w:p>
      <w:pPr>
        <w:pStyle w:val="Heading2"/>
        <w:spacing w:after="150" w:before="300"/>
      </w:pPr>
      <w:r>
        <w:t xml:space="preserve">11.5 Design Principles</w:t>
      </w:r>
    </w:p>
    <w:p>
      <w:pPr>
        <w:pStyle w:val="ListParagraph"/>
        <w:numPr>
          <w:ilvl w:val="0"/>
          <w:numId w:val="2"/>
        </w:numPr>
        <w:spacing w:after="80"/>
      </w:pPr>
      <w:r>
        <w:t xml:space="preserve">API-first: all three clients consume the same versioned API — no client-specific backend logic.</w:t>
      </w:r>
    </w:p>
    <w:p>
      <w:pPr>
        <w:pStyle w:val="ListParagraph"/>
        <w:numPr>
          <w:ilvl w:val="0"/>
          <w:numId w:val="2"/>
        </w:numPr>
        <w:spacing w:after="80"/>
      </w:pPr>
      <w:r>
        <w:t xml:space="preserve">Multi-tenant isolation: every data access path is scoped by tenant_id; no cross-tenant data leakage.</w:t>
      </w:r>
    </w:p>
    <w:p>
      <w:pPr>
        <w:pStyle w:val="ListParagraph"/>
        <w:numPr>
          <w:ilvl w:val="0"/>
          <w:numId w:val="2"/>
        </w:numPr>
        <w:spacing w:after="80"/>
      </w:pPr>
      <w:r>
        <w:t xml:space="preserve">Vertical-agnostic schema: no vertical-specific fields hard-coded into core tables — taxonomy is seeded data, not schema.</w:t>
      </w:r>
    </w:p>
    <w:p>
      <w:pPr>
        <w:pStyle w:val="ListParagraph"/>
        <w:numPr>
          <w:ilvl w:val="0"/>
          <w:numId w:val="2"/>
        </w:numPr>
        <w:spacing w:after="80"/>
      </w:pPr>
      <w:r>
        <w:t xml:space="preserve">Mobile offline tolerance: mobile clients cache recent data locally and queue writes (sales, stock updates) for sync when connectivity is intermittent.</w:t>
      </w:r>
    </w:p>
    <w:p>
      <w:pPr>
        <w:pStyle w:val="ListParagraph"/>
        <w:numPr>
          <w:ilvl w:val="0"/>
          <w:numId w:val="2"/>
        </w:numPr>
        <w:spacing w:after="80"/>
      </w:pPr>
      <w:r>
        <w:t xml:space="preserve">Security by default: encrypted data in transit (TLS) and at rest, with role-based access control at the API layer.</w:t>
      </w:r>
    </w:p>
    <w:p>
      <w:r>
        <w:br w:type="page"/>
      </w:r>
    </w:p>
    <w:p>
      <w:pPr>
        <w:pStyle w:val="Heading1"/>
        <w:spacing w:after="200" w:before="400"/>
      </w:pPr>
      <w:r>
        <w:t xml:space="preserve">12.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tcPr>
          <w:p>
            <w:r>
              <w:rPr>
                <w:b/>
                <w:bCs/>
                <w:color w:val="FFFFFF"/>
              </w:rPr>
              <w:t xml:space="preserve">Category</w:t>
            </w:r>
          </w:p>
        </w:tc>
        <w:tc>
          <w:tcPr>
            <w:tcW w:type="dxa" w:w="7300"/>
            <w:shd w:fill="1F3864" w:val="clear"/>
            <w:tcMar>
              <w:top w:type="dxa" w:w="80"/>
              <w:left w:type="dxa" w:w="120"/>
              <w:bottom w:type="dxa" w:w="80"/>
              <w:right w:type="dxa" w:w="120"/>
            </w:tcMar>
          </w:tcPr>
          <w:p>
            <w:r>
              <w:rPr>
                <w:b/>
                <w:bCs/>
                <w:color w:val="FFFFFF"/>
              </w:rPr>
              <w:t xml:space="preserve">Requirement</w:t>
            </w:r>
          </w:p>
        </w:tc>
      </w:tr>
      <w:tr>
        <w:tc>
          <w:tcPr>
            <w:tcW w:type="dxa" w:w="2200"/>
            <w:shd w:fill="FFFFFF" w:val="clear"/>
            <w:tcMar>
              <w:top w:type="dxa" w:w="80"/>
              <w:left w:type="dxa" w:w="120"/>
              <w:bottom w:type="dxa" w:w="80"/>
              <w:right w:type="dxa" w:w="120"/>
            </w:tcMar>
          </w:tcPr>
          <w:p>
            <w:r>
              <w:rPr>
                <w:b w:val="false"/>
                <w:bCs w:val="false"/>
              </w:rPr>
              <w:t xml:space="preserve">Performance</w:t>
            </w:r>
          </w:p>
        </w:tc>
        <w:tc>
          <w:tcPr>
            <w:tcW w:type="dxa" w:w="7300"/>
            <w:shd w:fill="FFFFFF" w:val="clear"/>
            <w:tcMar>
              <w:top w:type="dxa" w:w="80"/>
              <w:left w:type="dxa" w:w="120"/>
              <w:bottom w:type="dxa" w:w="80"/>
              <w:right w:type="dxa" w:w="120"/>
            </w:tcMar>
          </w:tcPr>
          <w:p>
            <w:r>
              <w:rPr>
                <w:b w:val="false"/>
                <w:bCs w:val="false"/>
              </w:rPr>
              <w:t xml:space="preserve">API responses for item lookup and entry should complete in under 500ms under normal load; client-perceived action time under 2 seconds.</w:t>
            </w:r>
          </w:p>
        </w:tc>
      </w:tr>
      <w:tr>
        <w:tc>
          <w:tcPr>
            <w:tcW w:type="dxa" w:w="2200"/>
            <w:shd w:fill="F2F2F2" w:val="clear"/>
            <w:tcMar>
              <w:top w:type="dxa" w:w="80"/>
              <w:left w:type="dxa" w:w="120"/>
              <w:bottom w:type="dxa" w:w="80"/>
              <w:right w:type="dxa" w:w="120"/>
            </w:tcMar>
          </w:tcPr>
          <w:p>
            <w:r>
              <w:rPr>
                <w:b w:val="false"/>
                <w:bCs w:val="false"/>
              </w:rPr>
              <w:t xml:space="preserve">Offline Tolerance</w:t>
            </w:r>
          </w:p>
        </w:tc>
        <w:tc>
          <w:tcPr>
            <w:tcW w:type="dxa" w:w="7300"/>
            <w:shd w:fill="F2F2F2" w:val="clear"/>
            <w:tcMar>
              <w:top w:type="dxa" w:w="80"/>
              <w:left w:type="dxa" w:w="120"/>
              <w:bottom w:type="dxa" w:w="80"/>
              <w:right w:type="dxa" w:w="120"/>
            </w:tcMar>
          </w:tcPr>
          <w:p>
            <w:r>
              <w:rPr>
                <w:b w:val="false"/>
                <w:bCs w:val="false"/>
              </w:rPr>
              <w:t xml:space="preserve">Core mobile actions (add item, record sale) must be queued locally and sync automatically once connectivity resumes.</w:t>
            </w:r>
          </w:p>
        </w:tc>
      </w:tr>
      <w:tr>
        <w:tc>
          <w:tcPr>
            <w:tcW w:type="dxa" w:w="2200"/>
            <w:shd w:fill="FFFFFF" w:val="clear"/>
            <w:tcMar>
              <w:top w:type="dxa" w:w="80"/>
              <w:left w:type="dxa" w:w="120"/>
              <w:bottom w:type="dxa" w:w="80"/>
              <w:right w:type="dxa" w:w="120"/>
            </w:tcMar>
          </w:tcPr>
          <w:p>
            <w:r>
              <w:rPr>
                <w:b w:val="false"/>
                <w:bCs w:val="false"/>
              </w:rPr>
              <w:t xml:space="preserve">Multi-Tenancy &amp; Data Isolation</w:t>
            </w:r>
          </w:p>
        </w:tc>
        <w:tc>
          <w:tcPr>
            <w:tcW w:type="dxa" w:w="7300"/>
            <w:shd w:fill="FFFFFF" w:val="clear"/>
            <w:tcMar>
              <w:top w:type="dxa" w:w="80"/>
              <w:left w:type="dxa" w:w="120"/>
              <w:bottom w:type="dxa" w:w="80"/>
              <w:right w:type="dxa" w:w="120"/>
            </w:tcMar>
          </w:tcPr>
          <w:p>
            <w:r>
              <w:rPr>
                <w:b w:val="false"/>
                <w:bCs w:val="false"/>
              </w:rPr>
              <w:t xml:space="preserve">No tenant's data must be accessible, even transiently, to another tenant under any API path or report.</w:t>
            </w:r>
          </w:p>
        </w:tc>
      </w:tr>
      <w:tr>
        <w:tc>
          <w:tcPr>
            <w:tcW w:type="dxa" w:w="2200"/>
            <w:shd w:fill="F2F2F2" w:val="clear"/>
            <w:tcMar>
              <w:top w:type="dxa" w:w="80"/>
              <w:left w:type="dxa" w:w="120"/>
              <w:bottom w:type="dxa" w:w="80"/>
              <w:right w:type="dxa" w:w="120"/>
            </w:tcMar>
          </w:tcPr>
          <w:p>
            <w:r>
              <w:rPr>
                <w:b w:val="false"/>
                <w:bCs w:val="false"/>
              </w:rPr>
              <w:t xml:space="preserve">Scalability</w:t>
            </w:r>
          </w:p>
        </w:tc>
        <w:tc>
          <w:tcPr>
            <w:tcW w:type="dxa" w:w="7300"/>
            <w:shd w:fill="F2F2F2" w:val="clear"/>
            <w:tcMar>
              <w:top w:type="dxa" w:w="80"/>
              <w:left w:type="dxa" w:w="120"/>
              <w:bottom w:type="dxa" w:w="80"/>
              <w:right w:type="dxa" w:w="120"/>
            </w:tcMar>
          </w:tcPr>
          <w:p>
            <w:r>
              <w:rPr>
                <w:b w:val="false"/>
                <w:bCs w:val="false"/>
              </w:rPr>
              <w:t xml:space="preserve">Backend must scale horizontally to support growth from pilot (tens of shops) to thousands of tenants without architecture rework.</w:t>
            </w:r>
          </w:p>
        </w:tc>
      </w:tr>
      <w:tr>
        <w:tc>
          <w:tcPr>
            <w:tcW w:type="dxa" w:w="2200"/>
            <w:shd w:fill="FFFFFF" w:val="clear"/>
            <w:tcMar>
              <w:top w:type="dxa" w:w="80"/>
              <w:left w:type="dxa" w:w="120"/>
              <w:bottom w:type="dxa" w:w="80"/>
              <w:right w:type="dxa" w:w="120"/>
            </w:tcMar>
          </w:tcPr>
          <w:p>
            <w:r>
              <w:rPr>
                <w:b w:val="false"/>
                <w:bCs w:val="false"/>
              </w:rPr>
              <w:t xml:space="preserve">Availability</w:t>
            </w:r>
          </w:p>
        </w:tc>
        <w:tc>
          <w:tcPr>
            <w:tcW w:type="dxa" w:w="7300"/>
            <w:shd w:fill="FFFFFF" w:val="clear"/>
            <w:tcMar>
              <w:top w:type="dxa" w:w="80"/>
              <w:left w:type="dxa" w:w="120"/>
              <w:bottom w:type="dxa" w:w="80"/>
              <w:right w:type="dxa" w:w="120"/>
            </w:tcMar>
          </w:tcPr>
          <w:p>
            <w:r>
              <w:rPr>
                <w:b w:val="false"/>
                <w:bCs w:val="false"/>
              </w:rPr>
              <w:t xml:space="preserve">Target 99.5% uptime for core backend services (inventory, sales, auth) during initial launch phase.</w:t>
            </w:r>
          </w:p>
        </w:tc>
      </w:tr>
      <w:tr>
        <w:tc>
          <w:tcPr>
            <w:tcW w:type="dxa" w:w="2200"/>
            <w:shd w:fill="F2F2F2" w:val="clear"/>
            <w:tcMar>
              <w:top w:type="dxa" w:w="80"/>
              <w:left w:type="dxa" w:w="120"/>
              <w:bottom w:type="dxa" w:w="80"/>
              <w:right w:type="dxa" w:w="120"/>
            </w:tcMar>
          </w:tcPr>
          <w:p>
            <w:r>
              <w:rPr>
                <w:b w:val="false"/>
                <w:bCs w:val="false"/>
              </w:rPr>
              <w:t xml:space="preserve">Usability</w:t>
            </w:r>
          </w:p>
        </w:tc>
        <w:tc>
          <w:tcPr>
            <w:tcW w:type="dxa" w:w="7300"/>
            <w:shd w:fill="F2F2F2" w:val="clear"/>
            <w:tcMar>
              <w:top w:type="dxa" w:w="80"/>
              <w:left w:type="dxa" w:w="120"/>
              <w:bottom w:type="dxa" w:w="80"/>
              <w:right w:type="dxa" w:w="120"/>
            </w:tcMar>
          </w:tcPr>
          <w:p>
            <w:r>
              <w:rPr>
                <w:b w:val="false"/>
                <w:bCs w:val="false"/>
              </w:rPr>
              <w:t xml:space="preserve">A first-time, non-technical user should be able to add an item and record a sale without external training, on any of the three clients.</w:t>
            </w:r>
          </w:p>
        </w:tc>
      </w:tr>
      <w:tr>
        <w:tc>
          <w:tcPr>
            <w:tcW w:type="dxa" w:w="2200"/>
            <w:shd w:fill="FFFFFF" w:val="clear"/>
            <w:tcMar>
              <w:top w:type="dxa" w:w="80"/>
              <w:left w:type="dxa" w:w="120"/>
              <w:bottom w:type="dxa" w:w="80"/>
              <w:right w:type="dxa" w:w="120"/>
            </w:tcMar>
          </w:tcPr>
          <w:p>
            <w:r>
              <w:rPr>
                <w:b w:val="false"/>
                <w:bCs w:val="false"/>
              </w:rPr>
              <w:t xml:space="preserve">Security</w:t>
            </w:r>
          </w:p>
        </w:tc>
        <w:tc>
          <w:tcPr>
            <w:tcW w:type="dxa" w:w="7300"/>
            <w:shd w:fill="FFFFFF" w:val="clear"/>
            <w:tcMar>
              <w:top w:type="dxa" w:w="80"/>
              <w:left w:type="dxa" w:w="120"/>
              <w:bottom w:type="dxa" w:w="80"/>
              <w:right w:type="dxa" w:w="120"/>
            </w:tcMar>
          </w:tcPr>
          <w:p>
            <w:r>
              <w:rPr>
                <w:b w:val="false"/>
                <w:bCs w:val="false"/>
              </w:rPr>
              <w:t xml:space="preserve">All traffic encrypted in transit (TLS); data encrypted at rest; role-based access control enforced at the API layer, not just the client.</w:t>
            </w:r>
          </w:p>
        </w:tc>
      </w:tr>
      <w:tr>
        <w:tc>
          <w:tcPr>
            <w:tcW w:type="dxa" w:w="2200"/>
            <w:shd w:fill="F2F2F2" w:val="clear"/>
            <w:tcMar>
              <w:top w:type="dxa" w:w="80"/>
              <w:left w:type="dxa" w:w="120"/>
              <w:bottom w:type="dxa" w:w="80"/>
              <w:right w:type="dxa" w:w="120"/>
            </w:tcMar>
          </w:tcPr>
          <w:p>
            <w:r>
              <w:rPr>
                <w:b w:val="false"/>
                <w:bCs w:val="false"/>
              </w:rPr>
              <w:t xml:space="preserve">Cross-Platform Consistency</w:t>
            </w:r>
          </w:p>
        </w:tc>
        <w:tc>
          <w:tcPr>
            <w:tcW w:type="dxa" w:w="7300"/>
            <w:shd w:fill="F2F2F2" w:val="clear"/>
            <w:tcMar>
              <w:top w:type="dxa" w:w="80"/>
              <w:left w:type="dxa" w:w="120"/>
              <w:bottom w:type="dxa" w:w="80"/>
              <w:right w:type="dxa" w:w="120"/>
            </w:tcMar>
          </w:tcPr>
          <w:p>
            <w:r>
              <w:rPr>
                <w:b w:val="false"/>
                <w:bCs w:val="false"/>
              </w:rPr>
              <w:t xml:space="preserve">Feature parity maintained between Android and iOS apps at every release.</w:t>
            </w:r>
          </w:p>
        </w:tc>
      </w:tr>
      <w:tr>
        <w:tc>
          <w:tcPr>
            <w:tcW w:type="dxa" w:w="2200"/>
            <w:shd w:fill="FFFFFF" w:val="clear"/>
            <w:tcMar>
              <w:top w:type="dxa" w:w="80"/>
              <w:left w:type="dxa" w:w="120"/>
              <w:bottom w:type="dxa" w:w="80"/>
              <w:right w:type="dxa" w:w="120"/>
            </w:tcMar>
          </w:tcPr>
          <w:p>
            <w:r>
              <w:rPr>
                <w:b w:val="false"/>
                <w:bCs w:val="false"/>
              </w:rPr>
              <w:t xml:space="preserve">Compatibility</w:t>
            </w:r>
          </w:p>
        </w:tc>
        <w:tc>
          <w:tcPr>
            <w:tcW w:type="dxa" w:w="7300"/>
            <w:shd w:fill="FFFFFF" w:val="clear"/>
            <w:tcMar>
              <w:top w:type="dxa" w:w="80"/>
              <w:left w:type="dxa" w:w="120"/>
              <w:bottom w:type="dxa" w:w="80"/>
              <w:right w:type="dxa" w:w="120"/>
            </w:tcMar>
          </w:tcPr>
          <w:p>
            <w:r>
              <w:rPr>
                <w:b w:val="false"/>
                <w:bCs w:val="false"/>
              </w:rPr>
              <w:t xml:space="preserve">Android 8.0+, iOS 14+, and evergreen modern web browsers for the console.</w:t>
            </w:r>
          </w:p>
        </w:tc>
      </w:tr>
    </w:tbl>
    <w:p>
      <w:r>
        <w:br w:type="page"/>
      </w:r>
    </w:p>
    <w:p>
      <w:pPr>
        <w:pStyle w:val="Heading1"/>
        <w:spacing w:after="200" w:before="400"/>
      </w:pPr>
      <w:r>
        <w:t xml:space="preserve">13. Subscription &amp; Monetization Model</w:t>
      </w:r>
    </w:p>
    <w:p>
      <w:pPr>
        <w:spacing w:after="160"/>
      </w:pPr>
      <w:r>
        <w:t xml:space="preserve">Access to the platform is account-based and subscription-billed, replacing the earlier one-time, device-locked license approach. A retailer signs up for an account, selects a plan, and gains access across Web, Android, and iOS under that single subscription.</w:t>
      </w:r>
    </w:p>
    <w:p>
      <w:pPr>
        <w:pStyle w:val="Heading2"/>
        <w:spacing w:after="150" w:before="300"/>
      </w:pPr>
      <w:r>
        <w:t xml:space="preserve">13.1 Proposed Plan Structure (Indicative — to be validated with pilot pricing research)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00"/>
      </w:tblGrid>
      <w:tr>
        <w:trPr>
          <w:tblHeader/>
        </w:trPr>
        <w:tc>
          <w:tcPr>
            <w:tcW w:type="dxa" w:w="1800"/>
            <w:shd w:fill="1F3864" w:val="clear"/>
            <w:tcMar>
              <w:top w:type="dxa" w:w="80"/>
              <w:left w:type="dxa" w:w="120"/>
              <w:bottom w:type="dxa" w:w="80"/>
              <w:right w:type="dxa" w:w="120"/>
            </w:tcMar>
          </w:tcPr>
          <w:p>
            <w:r>
              <w:rPr>
                <w:b/>
                <w:bCs/>
                <w:color w:val="FFFFFF"/>
              </w:rPr>
              <w:t xml:space="preserve">Plan</w:t>
            </w:r>
          </w:p>
        </w:tc>
        <w:tc>
          <w:tcPr>
            <w:tcW w:type="dxa" w:w="2500"/>
            <w:shd w:fill="1F3864" w:val="clear"/>
            <w:tcMar>
              <w:top w:type="dxa" w:w="80"/>
              <w:left w:type="dxa" w:w="120"/>
              <w:bottom w:type="dxa" w:w="80"/>
              <w:right w:type="dxa" w:w="120"/>
            </w:tcMar>
          </w:tcPr>
          <w:p>
            <w:r>
              <w:rPr>
                <w:b/>
                <w:bCs/>
                <w:color w:val="FFFFFF"/>
              </w:rPr>
              <w:t xml:space="preserve">Indicative Price</w:t>
            </w:r>
          </w:p>
        </w:tc>
        <w:tc>
          <w:tcPr>
            <w:tcW w:type="dxa" w:w="5000"/>
            <w:shd w:fill="1F3864" w:val="clear"/>
            <w:tcMar>
              <w:top w:type="dxa" w:w="80"/>
              <w:left w:type="dxa" w:w="120"/>
              <w:bottom w:type="dxa" w:w="80"/>
              <w:right w:type="dxa" w:w="120"/>
            </w:tcMar>
          </w:tcPr>
          <w:p>
            <w:r>
              <w:rPr>
                <w:b/>
                <w:bCs/>
                <w:color w:val="FFFFFF"/>
              </w:rPr>
              <w:t xml:space="preserve">Includes</w:t>
            </w:r>
          </w:p>
        </w:tc>
      </w:tr>
      <w:tr>
        <w:tc>
          <w:tcPr>
            <w:tcW w:type="dxa" w:w="1800"/>
            <w:shd w:fill="FFFFFF" w:val="clear"/>
            <w:tcMar>
              <w:top w:type="dxa" w:w="80"/>
              <w:left w:type="dxa" w:w="120"/>
              <w:bottom w:type="dxa" w:w="80"/>
              <w:right w:type="dxa" w:w="120"/>
            </w:tcMar>
          </w:tcPr>
          <w:p>
            <w:r>
              <w:rPr>
                <w:b w:val="false"/>
                <w:bCs w:val="false"/>
              </w:rPr>
              <w:t xml:space="preserve">Starter</w:t>
            </w:r>
          </w:p>
        </w:tc>
        <w:tc>
          <w:tcPr>
            <w:tcW w:type="dxa" w:w="2500"/>
            <w:shd w:fill="FFFFFF" w:val="clear"/>
            <w:tcMar>
              <w:top w:type="dxa" w:w="80"/>
              <w:left w:type="dxa" w:w="120"/>
              <w:bottom w:type="dxa" w:w="80"/>
              <w:right w:type="dxa" w:w="120"/>
            </w:tcMar>
          </w:tcPr>
          <w:p>
            <w:r>
              <w:rPr>
                <w:b w:val="false"/>
                <w:bCs w:val="false"/>
              </w:rPr>
              <w:t xml:space="preserve">₹99–₹199 / month</w:t>
            </w:r>
          </w:p>
        </w:tc>
        <w:tc>
          <w:tcPr>
            <w:tcW w:type="dxa" w:w="5000"/>
            <w:shd w:fill="FFFFFF" w:val="clear"/>
            <w:tcMar>
              <w:top w:type="dxa" w:w="80"/>
              <w:left w:type="dxa" w:w="120"/>
              <w:bottom w:type="dxa" w:w="80"/>
              <w:right w:type="dxa" w:w="120"/>
            </w:tcMar>
          </w:tcPr>
          <w:p>
            <w:r>
              <w:rPr>
                <w:b w:val="false"/>
                <w:bCs w:val="false"/>
              </w:rPr>
              <w:t xml:space="preserve">Single shop, single device login, core inventory + sales + alerts + reporting</w:t>
            </w:r>
          </w:p>
        </w:tc>
      </w:tr>
      <w:tr>
        <w:tc>
          <w:tcPr>
            <w:tcW w:type="dxa" w:w="1800"/>
            <w:shd w:fill="F2F2F2" w:val="clear"/>
            <w:tcMar>
              <w:top w:type="dxa" w:w="80"/>
              <w:left w:type="dxa" w:w="120"/>
              <w:bottom w:type="dxa" w:w="80"/>
              <w:right w:type="dxa" w:w="120"/>
            </w:tcMar>
          </w:tcPr>
          <w:p>
            <w:r>
              <w:rPr>
                <w:b w:val="false"/>
                <w:bCs w:val="false"/>
              </w:rPr>
              <w:t xml:space="preserve">Growth</w:t>
            </w:r>
          </w:p>
        </w:tc>
        <w:tc>
          <w:tcPr>
            <w:tcW w:type="dxa" w:w="2500"/>
            <w:shd w:fill="F2F2F2" w:val="clear"/>
            <w:tcMar>
              <w:top w:type="dxa" w:w="80"/>
              <w:left w:type="dxa" w:w="120"/>
              <w:bottom w:type="dxa" w:w="80"/>
              <w:right w:type="dxa" w:w="120"/>
            </w:tcMar>
          </w:tcPr>
          <w:p>
            <w:r>
              <w:rPr>
                <w:b w:val="false"/>
                <w:bCs w:val="false"/>
              </w:rPr>
              <w:t xml:space="preserve">₹299–₹499 / month</w:t>
            </w:r>
          </w:p>
        </w:tc>
        <w:tc>
          <w:tcPr>
            <w:tcW w:type="dxa" w:w="5000"/>
            <w:shd w:fill="F2F2F2" w:val="clear"/>
            <w:tcMar>
              <w:top w:type="dxa" w:w="80"/>
              <w:left w:type="dxa" w:w="120"/>
              <w:bottom w:type="dxa" w:w="80"/>
              <w:right w:type="dxa" w:w="120"/>
            </w:tcMar>
          </w:tcPr>
          <w:p>
            <w:r>
              <w:rPr>
                <w:b w:val="false"/>
                <w:bCs w:val="false"/>
              </w:rPr>
              <w:t xml:space="preserve">Single shop, multiple staff logins (role-based), invoice OCR (Phase 2), distributor directory (Phase 2)</w:t>
            </w:r>
          </w:p>
        </w:tc>
      </w:tr>
      <w:tr>
        <w:tc>
          <w:tcPr>
            <w:tcW w:type="dxa" w:w="1800"/>
            <w:shd w:fill="FFFFFF" w:val="clear"/>
            <w:tcMar>
              <w:top w:type="dxa" w:w="80"/>
              <w:left w:type="dxa" w:w="120"/>
              <w:bottom w:type="dxa" w:w="80"/>
              <w:right w:type="dxa" w:w="120"/>
            </w:tcMar>
          </w:tcPr>
          <w:p>
            <w:r>
              <w:rPr>
                <w:b w:val="false"/>
                <w:bCs w:val="false"/>
              </w:rPr>
              <w:t xml:space="preserve">Multi-Branch</w:t>
            </w:r>
          </w:p>
        </w:tc>
        <w:tc>
          <w:tcPr>
            <w:tcW w:type="dxa" w:w="2500"/>
            <w:shd w:fill="FFFFFF" w:val="clear"/>
            <w:tcMar>
              <w:top w:type="dxa" w:w="80"/>
              <w:left w:type="dxa" w:w="120"/>
              <w:bottom w:type="dxa" w:w="80"/>
              <w:right w:type="dxa" w:w="120"/>
            </w:tcMar>
          </w:tcPr>
          <w:p>
            <w:r>
              <w:rPr>
                <w:b w:val="false"/>
                <w:bCs w:val="false"/>
              </w:rPr>
              <w:t xml:space="preserve">Custom / per-branch pricing</w:t>
            </w:r>
          </w:p>
        </w:tc>
        <w:tc>
          <w:tcPr>
            <w:tcW w:type="dxa" w:w="5000"/>
            <w:shd w:fill="FFFFFF" w:val="clear"/>
            <w:tcMar>
              <w:top w:type="dxa" w:w="80"/>
              <w:left w:type="dxa" w:w="120"/>
              <w:bottom w:type="dxa" w:w="80"/>
              <w:right w:type="dxa" w:w="120"/>
            </w:tcMar>
          </w:tcPr>
          <w:p>
            <w:r>
              <w:rPr>
                <w:b w:val="false"/>
                <w:bCs w:val="false"/>
              </w:rPr>
              <w:t xml:space="preserve">Multiple shop locations under one owner account (Phase 3)</w:t>
            </w:r>
          </w:p>
        </w:tc>
      </w:tr>
    </w:tbl>
    <w:p>
      <w:pPr>
        <w:spacing w:after="200"/>
      </w:pPr>
    </w:p>
    <w:p>
      <w:pPr>
        <w:pStyle w:val="Heading2"/>
        <w:spacing w:after="150" w:before="300"/>
      </w:pPr>
      <w:r>
        <w:t xml:space="preserve">13.2 Billing Mechanics</w:t>
      </w:r>
    </w:p>
    <w:p>
      <w:pPr>
        <w:pStyle w:val="ListParagraph"/>
        <w:numPr>
          <w:ilvl w:val="0"/>
          <w:numId w:val="2"/>
        </w:numPr>
        <w:spacing w:after="80"/>
      </w:pPr>
      <w:r>
        <w:t xml:space="preserve">Subscription payments are processed via an integrated payment gateway at the platform-account level — distinct from, and unrelated to, the retailer's own customer-facing sales flow, which deliberately has no payment gateway (see Section 5.4).</w:t>
      </w:r>
    </w:p>
    <w:p>
      <w:pPr>
        <w:pStyle w:val="ListParagraph"/>
        <w:numPr>
          <w:ilvl w:val="0"/>
          <w:numId w:val="2"/>
        </w:numPr>
        <w:spacing w:after="80"/>
      </w:pPr>
      <w:r>
        <w:t xml:space="preserve">Billing is recurring (monthly or annual), with an account-level grace period before access is restricted on payment failure.</w:t>
      </w:r>
    </w:p>
    <w:p>
      <w:pPr>
        <w:pStyle w:val="ListParagraph"/>
        <w:numPr>
          <w:ilvl w:val="0"/>
          <w:numId w:val="2"/>
        </w:numPr>
        <w:spacing w:after="80"/>
      </w:pPr>
      <w:r>
        <w:t xml:space="preserve">Plan changes (upgrade/downgrade/cancel) are self-serve from the web console.</w:t>
      </w:r>
    </w:p>
    <w:p>
      <w:pPr>
        <w:pStyle w:val="ListParagraph"/>
        <w:numPr>
          <w:ilvl w:val="0"/>
          <w:numId w:val="2"/>
        </w:numPr>
        <w:spacing w:after="80"/>
      </w:pPr>
      <w:r>
        <w:t xml:space="preserve">All devices logged into a tenant's account share the same subscription — access is tied to the account, not to any single device.</w:t>
      </w:r>
    </w:p>
    <w:p>
      <w:r>
        <w:br w:type="page"/>
      </w:r>
    </w:p>
    <w:p>
      <w:pPr>
        <w:pStyle w:val="Heading1"/>
        <w:spacing w:after="200" w:before="400"/>
      </w:pPr>
      <w:r>
        <w:t xml:space="preserve">14. Roadmap &amp; Phasing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500"/>
      </w:tblGrid>
      <w:tr>
        <w:trPr>
          <w:tblHeader/>
        </w:trPr>
        <w:tc>
          <w:tcPr>
            <w:tcW w:type="dxa" w:w="1800"/>
            <w:shd w:fill="1F3864" w:val="clear"/>
            <w:tcMar>
              <w:top w:type="dxa" w:w="80"/>
              <w:left w:type="dxa" w:w="120"/>
              <w:bottom w:type="dxa" w:w="80"/>
              <w:right w:type="dxa" w:w="120"/>
            </w:tcMar>
          </w:tcPr>
          <w:p>
            <w:r>
              <w:rPr>
                <w:b/>
                <w:bCs/>
                <w:color w:val="FFFFFF"/>
              </w:rPr>
              <w:t xml:space="preserve">Phase</w:t>
            </w:r>
          </w:p>
        </w:tc>
        <w:tc>
          <w:tcPr>
            <w:tcW w:type="dxa" w:w="5200"/>
            <w:shd w:fill="1F3864" w:val="clear"/>
            <w:tcMar>
              <w:top w:type="dxa" w:w="80"/>
              <w:left w:type="dxa" w:w="120"/>
              <w:bottom w:type="dxa" w:w="80"/>
              <w:right w:type="dxa" w:w="120"/>
            </w:tcMar>
          </w:tcPr>
          <w:p>
            <w:r>
              <w:rPr>
                <w:b/>
                <w:bCs/>
                <w:color w:val="FFFFFF"/>
              </w:rPr>
              <w:t xml:space="preserve">Key Deliverables</w:t>
            </w:r>
          </w:p>
        </w:tc>
        <w:tc>
          <w:tcPr>
            <w:tcW w:type="dxa" w:w="2500"/>
            <w:shd w:fill="1F3864" w:val="clear"/>
            <w:tcMar>
              <w:top w:type="dxa" w:w="80"/>
              <w:left w:type="dxa" w:w="120"/>
              <w:bottom w:type="dxa" w:w="80"/>
              <w:right w:type="dxa" w:w="120"/>
            </w:tcMar>
          </w:tcPr>
          <w:p>
            <w:r>
              <w:rPr>
                <w:b/>
                <w:bCs/>
                <w:color w:val="FFFFFF"/>
              </w:rPr>
              <w:t xml:space="preserve">Vertical Focus</w:t>
            </w:r>
          </w:p>
        </w:tc>
      </w:tr>
      <w:tr>
        <w:tc>
          <w:tcPr>
            <w:tcW w:type="dxa" w:w="1800"/>
            <w:shd w:fill="FFFFFF" w:val="clear"/>
            <w:tcMar>
              <w:top w:type="dxa" w:w="80"/>
              <w:left w:type="dxa" w:w="120"/>
              <w:bottom w:type="dxa" w:w="80"/>
              <w:right w:type="dxa" w:w="120"/>
            </w:tcMar>
          </w:tcPr>
          <w:p>
            <w:r>
              <w:rPr>
                <w:b w:val="false"/>
                <w:bCs w:val="false"/>
              </w:rPr>
              <w:t xml:space="preserve">Phase 1 — MVP</w:t>
            </w:r>
          </w:p>
        </w:tc>
        <w:tc>
          <w:tcPr>
            <w:tcW w:type="dxa" w:w="5200"/>
            <w:shd w:fill="FFFFFF" w:val="clear"/>
            <w:tcMar>
              <w:top w:type="dxa" w:w="80"/>
              <w:left w:type="dxa" w:w="120"/>
              <w:bottom w:type="dxa" w:w="80"/>
              <w:right w:type="dxa" w:w="120"/>
            </w:tcMar>
          </w:tcPr>
          <w:p>
            <w:r>
              <w:rPr>
                <w:b w:val="false"/>
                <w:bCs w:val="false"/>
              </w:rPr>
              <w:t xml:space="preserve">Multi-tenant backend, account sign-up &amp; subscription billing, Web console, Android app, iOS app (shared codebase), barcode/manual/photo entry, custom categories, low-stock alerts, sales + receipt, reporting dashboard</w:t>
            </w:r>
          </w:p>
        </w:tc>
        <w:tc>
          <w:tcPr>
            <w:tcW w:type="dxa" w:w="2500"/>
            <w:shd w:fill="FFFFFF" w:val="clear"/>
            <w:tcMar>
              <w:top w:type="dxa" w:w="80"/>
              <w:left w:type="dxa" w:w="120"/>
              <w:bottom w:type="dxa" w:w="80"/>
              <w:right w:type="dxa" w:w="120"/>
            </w:tcMar>
          </w:tcPr>
          <w:p>
            <w:r>
              <w:rPr>
                <w:b w:val="false"/>
                <w:bCs w:val="false"/>
              </w:rPr>
              <w:t xml:space="preserve">Two-wheeler auto parts</w:t>
            </w:r>
          </w:p>
        </w:tc>
      </w:tr>
      <w:tr>
        <w:tc>
          <w:tcPr>
            <w:tcW w:type="dxa" w:w="1800"/>
            <w:shd w:fill="F2F2F2" w:val="clear"/>
            <w:tcMar>
              <w:top w:type="dxa" w:w="80"/>
              <w:left w:type="dxa" w:w="120"/>
              <w:bottom w:type="dxa" w:w="80"/>
              <w:right w:type="dxa" w:w="120"/>
            </w:tcMar>
          </w:tcPr>
          <w:p>
            <w:r>
              <w:rPr>
                <w:b w:val="false"/>
                <w:bCs w:val="false"/>
              </w:rPr>
              <w:t xml:space="preserve">Phase 2</w:t>
            </w:r>
          </w:p>
        </w:tc>
        <w:tc>
          <w:tcPr>
            <w:tcW w:type="dxa" w:w="5200"/>
            <w:shd w:fill="F2F2F2" w:val="clear"/>
            <w:tcMar>
              <w:top w:type="dxa" w:w="80"/>
              <w:left w:type="dxa" w:w="120"/>
              <w:bottom w:type="dxa" w:w="80"/>
              <w:right w:type="dxa" w:w="120"/>
            </w:tcMar>
          </w:tcPr>
          <w:p>
            <w:r>
              <w:rPr>
                <w:b w:val="false"/>
                <w:bCs w:val="false"/>
              </w:rPr>
              <w:t xml:space="preserve">OCR invoice scanning, distributor directory &amp; reorder suggestions, role-based multi-staff accounts</w:t>
            </w:r>
          </w:p>
        </w:tc>
        <w:tc>
          <w:tcPr>
            <w:tcW w:type="dxa" w:w="2500"/>
            <w:shd w:fill="F2F2F2" w:val="clear"/>
            <w:tcMar>
              <w:top w:type="dxa" w:w="80"/>
              <w:left w:type="dxa" w:w="120"/>
              <w:bottom w:type="dxa" w:w="80"/>
              <w:right w:type="dxa" w:w="120"/>
            </w:tcMar>
          </w:tcPr>
          <w:p>
            <w:r>
              <w:rPr>
                <w:b w:val="false"/>
                <w:bCs w:val="false"/>
              </w:rPr>
              <w:t xml:space="preserve">Two-wheeler auto parts</w:t>
            </w:r>
          </w:p>
        </w:tc>
      </w:tr>
      <w:tr>
        <w:tc>
          <w:tcPr>
            <w:tcW w:type="dxa" w:w="1800"/>
            <w:shd w:fill="FFFFFF" w:val="clear"/>
            <w:tcMar>
              <w:top w:type="dxa" w:w="80"/>
              <w:left w:type="dxa" w:w="120"/>
              <w:bottom w:type="dxa" w:w="80"/>
              <w:right w:type="dxa" w:w="120"/>
            </w:tcMar>
          </w:tcPr>
          <w:p>
            <w:r>
              <w:rPr>
                <w:b w:val="false"/>
                <w:bCs w:val="false"/>
              </w:rPr>
              <w:t xml:space="preserve">Phase 3</w:t>
            </w:r>
          </w:p>
        </w:tc>
        <w:tc>
          <w:tcPr>
            <w:tcW w:type="dxa" w:w="5200"/>
            <w:shd w:fill="FFFFFF" w:val="clear"/>
            <w:tcMar>
              <w:top w:type="dxa" w:w="80"/>
              <w:left w:type="dxa" w:w="120"/>
              <w:bottom w:type="dxa" w:w="80"/>
              <w:right w:type="dxa" w:w="120"/>
            </w:tcMar>
          </w:tcPr>
          <w:p>
            <w:r>
              <w:rPr>
                <w:b w:val="false"/>
                <w:bCs w:val="false"/>
              </w:rPr>
              <w:t xml:space="preserve">Multi-vertical category packs, multi-branch account hierarchy</w:t>
            </w:r>
          </w:p>
        </w:tc>
        <w:tc>
          <w:tcPr>
            <w:tcW w:type="dxa" w:w="2500"/>
            <w:shd w:fill="FFFFFF" w:val="clear"/>
            <w:tcMar>
              <w:top w:type="dxa" w:w="80"/>
              <w:left w:type="dxa" w:w="120"/>
              <w:bottom w:type="dxa" w:w="80"/>
              <w:right w:type="dxa" w:w="120"/>
            </w:tcMar>
          </w:tcPr>
          <w:p>
            <w:r>
              <w:rPr>
                <w:b w:val="false"/>
                <w:bCs w:val="false"/>
              </w:rPr>
              <w:t xml:space="preserve">Four-wheeler, hardware, furniture, kirana</w:t>
            </w:r>
          </w:p>
        </w:tc>
      </w:tr>
    </w:tbl>
    <w:p>
      <w:r>
        <w:br w:type="page"/>
      </w:r>
    </w:p>
    <w:p>
      <w:pPr>
        <w:pStyle w:val="Heading1"/>
        <w:spacing w:after="200" w:before="400"/>
      </w:pPr>
      <w:r>
        <w:t xml:space="preserve">15. Success Metrics</w:t>
      </w:r>
    </w:p>
    <w:p>
      <w:pPr>
        <w:pStyle w:val="ListParagraph"/>
        <w:numPr>
          <w:ilvl w:val="0"/>
          <w:numId w:val="2"/>
        </w:numPr>
        <w:spacing w:after="80"/>
      </w:pPr>
      <w:r>
        <w:t xml:space="preserve">Number of licenses sold within first 90 days of pilot launch.</w:t>
      </w:r>
    </w:p>
    <w:p>
      <w:pPr>
        <w:pStyle w:val="ListParagraph"/>
        <w:numPr>
          <w:ilvl w:val="0"/>
          <w:numId w:val="2"/>
        </w:numPr>
        <w:spacing w:after="80"/>
      </w:pPr>
      <w:r>
        <w:t xml:space="preserve">Average time to add a new item (target: under 15 seconds for scan/photo entry).</w:t>
      </w:r>
    </w:p>
    <w:p>
      <w:pPr>
        <w:pStyle w:val="ListParagraph"/>
        <w:numPr>
          <w:ilvl w:val="0"/>
          <w:numId w:val="2"/>
        </w:numPr>
        <w:spacing w:after="80"/>
      </w:pPr>
      <w:r>
        <w:t xml:space="preserve">Reduction in reported stock-out incidents among pilot shop owners (self-reported, pre/post).</w:t>
      </w:r>
    </w:p>
    <w:p>
      <w:pPr>
        <w:pStyle w:val="ListParagraph"/>
        <w:numPr>
          <w:ilvl w:val="0"/>
          <w:numId w:val="2"/>
        </w:numPr>
        <w:spacing w:after="80"/>
      </w:pPr>
      <w:r>
        <w:t xml:space="preserve">Weekly active usage rate among licensed shops (target: used at least 5 of 7 days).</w:t>
      </w:r>
    </w:p>
    <w:p>
      <w:pPr>
        <w:pStyle w:val="ListParagraph"/>
        <w:numPr>
          <w:ilvl w:val="0"/>
          <w:numId w:val="2"/>
        </w:numPr>
        <w:spacing w:after="80"/>
      </w:pPr>
      <w:r>
        <w:t xml:space="preserve">Owner-reported satisfaction with reporting dashboard accuracy.</w:t>
      </w:r>
    </w:p>
    <w:p>
      <w:r>
        <w:br w:type="page"/>
      </w:r>
    </w:p>
    <w:p>
      <w:pPr>
        <w:pStyle w:val="Heading1"/>
        <w:spacing w:after="200" w:before="400"/>
      </w:pPr>
      <w:r>
        <w:t xml:space="preserve">16. Risks &amp; Assumptions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300"/>
        <w:gridCol w:w="3500"/>
      </w:tblGrid>
      <w:tr>
        <w:trPr>
          <w:tblHeader/>
        </w:trPr>
        <w:tc>
          <w:tcPr>
            <w:tcW w:type="dxa" w:w="3200"/>
            <w:shd w:fill="1F3864" w:val="clear"/>
            <w:tcMar>
              <w:top w:type="dxa" w:w="80"/>
              <w:left w:type="dxa" w:w="120"/>
              <w:bottom w:type="dxa" w:w="80"/>
              <w:right w:type="dxa" w:w="120"/>
            </w:tcMar>
          </w:tcPr>
          <w:p>
            <w:r>
              <w:rPr>
                <w:b/>
                <w:bCs/>
                <w:color w:val="FFFFFF"/>
              </w:rPr>
              <w:t xml:space="preserve">Risk</w:t>
            </w:r>
          </w:p>
        </w:tc>
        <w:tc>
          <w:tcPr>
            <w:tcW w:type="dxa" w:w="1500"/>
            <w:shd w:fill="1F3864" w:val="clear"/>
            <w:tcMar>
              <w:top w:type="dxa" w:w="80"/>
              <w:left w:type="dxa" w:w="120"/>
              <w:bottom w:type="dxa" w:w="80"/>
              <w:right w:type="dxa" w:w="120"/>
            </w:tcMar>
          </w:tcPr>
          <w:p>
            <w:r>
              <w:rPr>
                <w:b/>
                <w:bCs/>
                <w:color w:val="FFFFFF"/>
              </w:rPr>
              <w:t xml:space="preserve">Likelihood</w:t>
            </w:r>
          </w:p>
        </w:tc>
        <w:tc>
          <w:tcPr>
            <w:tcW w:type="dxa" w:w="1300"/>
            <w:shd w:fill="1F3864" w:val="clear"/>
            <w:tcMar>
              <w:top w:type="dxa" w:w="80"/>
              <w:left w:type="dxa" w:w="120"/>
              <w:bottom w:type="dxa" w:w="80"/>
              <w:right w:type="dxa" w:w="120"/>
            </w:tcMar>
          </w:tcPr>
          <w:p>
            <w:r>
              <w:rPr>
                <w:b/>
                <w:bCs/>
                <w:color w:val="FFFFFF"/>
              </w:rPr>
              <w:t xml:space="preserve">Impact</w:t>
            </w:r>
          </w:p>
        </w:tc>
        <w:tc>
          <w:tcPr>
            <w:tcW w:type="dxa" w:w="3500"/>
            <w:shd w:fill="1F3864" w:val="clear"/>
            <w:tcMar>
              <w:top w:type="dxa" w:w="80"/>
              <w:left w:type="dxa" w:w="120"/>
              <w:bottom w:type="dxa" w:w="80"/>
              <w:right w:type="dxa" w:w="120"/>
            </w:tcMar>
          </w:tcPr>
          <w:p>
            <w:r>
              <w:rPr>
                <w:b/>
                <w:bCs/>
                <w:color w:val="FFFFFF"/>
              </w:rPr>
              <w:t xml:space="preserve">Mitigation</w:t>
            </w:r>
          </w:p>
        </w:tc>
      </w:tr>
      <w:tr>
        <w:tc>
          <w:tcPr>
            <w:tcW w:type="dxa" w:w="3200"/>
            <w:shd w:fill="FFFFFF" w:val="clear"/>
            <w:tcMar>
              <w:top w:type="dxa" w:w="80"/>
              <w:left w:type="dxa" w:w="120"/>
              <w:bottom w:type="dxa" w:w="80"/>
              <w:right w:type="dxa" w:w="120"/>
            </w:tcMar>
          </w:tcPr>
          <w:p>
            <w:r>
              <w:rPr>
                <w:b w:val="false"/>
                <w:bCs w:val="false"/>
              </w:rPr>
              <w:t xml:space="preserve">Low digital literacy slows adoption</w:t>
            </w:r>
          </w:p>
        </w:tc>
        <w:tc>
          <w:tcPr>
            <w:tcW w:type="dxa" w:w="1500"/>
            <w:shd w:fill="FFFFFF" w:val="clear"/>
            <w:tcMar>
              <w:top w:type="dxa" w:w="80"/>
              <w:left w:type="dxa" w:w="120"/>
              <w:bottom w:type="dxa" w:w="80"/>
              <w:right w:type="dxa" w:w="120"/>
            </w:tcMar>
          </w:tcPr>
          <w:p>
            <w:r>
              <w:rPr>
                <w:b w:val="false"/>
                <w:bCs w:val="false"/>
              </w:rPr>
              <w:t xml:space="preserve">Medium</w:t>
            </w:r>
          </w:p>
        </w:tc>
        <w:tc>
          <w:tcPr>
            <w:tcW w:type="dxa" w:w="1300"/>
            <w:shd w:fill="FFFFFF" w:val="clear"/>
            <w:tcMar>
              <w:top w:type="dxa" w:w="80"/>
              <w:left w:type="dxa" w:w="120"/>
              <w:bottom w:type="dxa" w:w="80"/>
              <w:right w:type="dxa" w:w="120"/>
            </w:tcMar>
          </w:tcPr>
          <w:p>
            <w:r>
              <w:rPr>
                <w:b w:val="false"/>
                <w:bCs w:val="false"/>
              </w:rPr>
              <w:t xml:space="preserve">High</w:t>
            </w:r>
          </w:p>
        </w:tc>
        <w:tc>
          <w:tcPr>
            <w:tcW w:type="dxa" w:w="3500"/>
            <w:shd w:fill="FFFFFF" w:val="clear"/>
            <w:tcMar>
              <w:top w:type="dxa" w:w="80"/>
              <w:left w:type="dxa" w:w="120"/>
              <w:bottom w:type="dxa" w:w="80"/>
              <w:right w:type="dxa" w:w="120"/>
            </w:tcMar>
          </w:tcPr>
          <w:p>
            <w:r>
              <w:rPr>
                <w:b w:val="false"/>
                <w:bCs w:val="false"/>
              </w:rPr>
              <w:t xml:space="preserve">Keep UI minimal; provide in-person onboarding during pilot</w:t>
            </w:r>
          </w:p>
        </w:tc>
      </w:tr>
      <w:tr>
        <w:tc>
          <w:tcPr>
            <w:tcW w:type="dxa" w:w="3200"/>
            <w:shd w:fill="F2F2F2" w:val="clear"/>
            <w:tcMar>
              <w:top w:type="dxa" w:w="80"/>
              <w:left w:type="dxa" w:w="120"/>
              <w:bottom w:type="dxa" w:w="80"/>
              <w:right w:type="dxa" w:w="120"/>
            </w:tcMar>
          </w:tcPr>
          <w:p>
            <w:r>
              <w:rPr>
                <w:b w:val="false"/>
                <w:bCs w:val="false"/>
              </w:rPr>
              <w:t xml:space="preserve">Subscription pricing resistance vs. free/manual alternatives</w:t>
            </w:r>
          </w:p>
        </w:tc>
        <w:tc>
          <w:tcPr>
            <w:tcW w:type="dxa" w:w="1500"/>
            <w:shd w:fill="F2F2F2" w:val="clear"/>
            <w:tcMar>
              <w:top w:type="dxa" w:w="80"/>
              <w:left w:type="dxa" w:w="120"/>
              <w:bottom w:type="dxa" w:w="80"/>
              <w:right w:type="dxa" w:w="120"/>
            </w:tcMar>
          </w:tcPr>
          <w:p>
            <w:r>
              <w:rPr>
                <w:b w:val="false"/>
                <w:bCs w:val="false"/>
              </w:rPr>
              <w:t xml:space="preserve">Medium</w:t>
            </w:r>
          </w:p>
        </w:tc>
        <w:tc>
          <w:tcPr>
            <w:tcW w:type="dxa" w:w="1300"/>
            <w:shd w:fill="F2F2F2" w:val="clear"/>
            <w:tcMar>
              <w:top w:type="dxa" w:w="80"/>
              <w:left w:type="dxa" w:w="120"/>
              <w:bottom w:type="dxa" w:w="80"/>
              <w:right w:type="dxa" w:w="120"/>
            </w:tcMar>
          </w:tcPr>
          <w:p>
            <w:r>
              <w:rPr>
                <w:b w:val="false"/>
                <w:bCs w:val="false"/>
              </w:rPr>
              <w:t xml:space="preserve">High</w:t>
            </w:r>
          </w:p>
        </w:tc>
        <w:tc>
          <w:tcPr>
            <w:tcW w:type="dxa" w:w="3500"/>
            <w:shd w:fill="F2F2F2" w:val="clear"/>
            <w:tcMar>
              <w:top w:type="dxa" w:w="80"/>
              <w:left w:type="dxa" w:w="120"/>
              <w:bottom w:type="dxa" w:w="80"/>
              <w:right w:type="dxa" w:w="120"/>
            </w:tcMar>
          </w:tcPr>
          <w:p>
            <w:r>
              <w:rPr>
                <w:b w:val="false"/>
                <w:bCs w:val="false"/>
              </w:rPr>
              <w:t xml:space="preserve">Validate willingness-to-pay during pilot before finalizing plan pricing</w:t>
            </w:r>
          </w:p>
        </w:tc>
      </w:tr>
      <w:tr>
        <w:tc>
          <w:tcPr>
            <w:tcW w:type="dxa" w:w="3200"/>
            <w:shd w:fill="FFFFFF" w:val="clear"/>
            <w:tcMar>
              <w:top w:type="dxa" w:w="80"/>
              <w:left w:type="dxa" w:w="120"/>
              <w:bottom w:type="dxa" w:w="80"/>
              <w:right w:type="dxa" w:w="120"/>
            </w:tcMar>
          </w:tcPr>
          <w:p>
            <w:r>
              <w:rPr>
                <w:b w:val="false"/>
                <w:bCs w:val="false"/>
              </w:rPr>
              <w:t xml:space="preserve">Connectivity gaps in small-retail environments disrupt cloud sync</w:t>
            </w:r>
          </w:p>
        </w:tc>
        <w:tc>
          <w:tcPr>
            <w:tcW w:type="dxa" w:w="1500"/>
            <w:shd w:fill="FFFFFF" w:val="clear"/>
            <w:tcMar>
              <w:top w:type="dxa" w:w="80"/>
              <w:left w:type="dxa" w:w="120"/>
              <w:bottom w:type="dxa" w:w="80"/>
              <w:right w:type="dxa" w:w="120"/>
            </w:tcMar>
          </w:tcPr>
          <w:p>
            <w:r>
              <w:rPr>
                <w:b w:val="false"/>
                <w:bCs w:val="false"/>
              </w:rPr>
              <w:t xml:space="preserve">Medium</w:t>
            </w:r>
          </w:p>
        </w:tc>
        <w:tc>
          <w:tcPr>
            <w:tcW w:type="dxa" w:w="1300"/>
            <w:shd w:fill="FFFFFF" w:val="clear"/>
            <w:tcMar>
              <w:top w:type="dxa" w:w="80"/>
              <w:left w:type="dxa" w:w="120"/>
              <w:bottom w:type="dxa" w:w="80"/>
              <w:right w:type="dxa" w:w="120"/>
            </w:tcMar>
          </w:tcPr>
          <w:p>
            <w:r>
              <w:rPr>
                <w:b w:val="false"/>
                <w:bCs w:val="false"/>
              </w:rPr>
              <w:t xml:space="preserve">Medium</w:t>
            </w:r>
          </w:p>
        </w:tc>
        <w:tc>
          <w:tcPr>
            <w:tcW w:type="dxa" w:w="3500"/>
            <w:shd w:fill="FFFFFF" w:val="clear"/>
            <w:tcMar>
              <w:top w:type="dxa" w:w="80"/>
              <w:left w:type="dxa" w:w="120"/>
              <w:bottom w:type="dxa" w:w="80"/>
              <w:right w:type="dxa" w:w="120"/>
            </w:tcMar>
          </w:tcPr>
          <w:p>
            <w:r>
              <w:rPr>
                <w:b w:val="false"/>
                <w:bCs w:val="false"/>
              </w:rPr>
              <w:t xml:space="preserve">Implement local caching and queued sync on mobile clients</w:t>
            </w:r>
          </w:p>
        </w:tc>
      </w:tr>
      <w:tr>
        <w:tc>
          <w:tcPr>
            <w:tcW w:type="dxa" w:w="3200"/>
            <w:shd w:fill="F2F2F2" w:val="clear"/>
            <w:tcMar>
              <w:top w:type="dxa" w:w="80"/>
              <w:left w:type="dxa" w:w="120"/>
              <w:bottom w:type="dxa" w:w="80"/>
              <w:right w:type="dxa" w:w="120"/>
            </w:tcMar>
          </w:tcPr>
          <w:p>
            <w:r>
              <w:rPr>
                <w:b w:val="false"/>
                <w:bCs w:val="false"/>
              </w:rPr>
              <w:t xml:space="preserve">OCR accuracy insufficient for varied invoice formats</w:t>
            </w:r>
          </w:p>
        </w:tc>
        <w:tc>
          <w:tcPr>
            <w:tcW w:type="dxa" w:w="1500"/>
            <w:shd w:fill="F2F2F2" w:val="clear"/>
            <w:tcMar>
              <w:top w:type="dxa" w:w="80"/>
              <w:left w:type="dxa" w:w="120"/>
              <w:bottom w:type="dxa" w:w="80"/>
              <w:right w:type="dxa" w:w="120"/>
            </w:tcMar>
          </w:tcPr>
          <w:p>
            <w:r>
              <w:rPr>
                <w:b w:val="false"/>
                <w:bCs w:val="false"/>
              </w:rPr>
              <w:t xml:space="preserve">Medium</w:t>
            </w:r>
          </w:p>
        </w:tc>
        <w:tc>
          <w:tcPr>
            <w:tcW w:type="dxa" w:w="1300"/>
            <w:shd w:fill="F2F2F2" w:val="clear"/>
            <w:tcMar>
              <w:top w:type="dxa" w:w="80"/>
              <w:left w:type="dxa" w:w="120"/>
              <w:bottom w:type="dxa" w:w="80"/>
              <w:right w:type="dxa" w:w="120"/>
            </w:tcMar>
          </w:tcPr>
          <w:p>
            <w:r>
              <w:rPr>
                <w:b w:val="false"/>
                <w:bCs w:val="false"/>
              </w:rPr>
              <w:t xml:space="preserve">Medium</w:t>
            </w:r>
          </w:p>
        </w:tc>
        <w:tc>
          <w:tcPr>
            <w:tcW w:type="dxa" w:w="3500"/>
            <w:shd w:fill="F2F2F2" w:val="clear"/>
            <w:tcMar>
              <w:top w:type="dxa" w:w="80"/>
              <w:left w:type="dxa" w:w="120"/>
              <w:bottom w:type="dxa" w:w="80"/>
              <w:right w:type="dxa" w:w="120"/>
            </w:tcMar>
          </w:tcPr>
          <w:p>
            <w:r>
              <w:rPr>
                <w:b w:val="false"/>
                <w:bCs w:val="false"/>
              </w:rPr>
              <w:t xml:space="preserve">Treat as Phase 2 feature; allow manual correction after OCR extraction</w:t>
            </w:r>
          </w:p>
        </w:tc>
      </w:tr>
      <w:tr>
        <w:tc>
          <w:tcPr>
            <w:tcW w:type="dxa" w:w="3200"/>
            <w:shd w:fill="FFFFFF" w:val="clear"/>
            <w:tcMar>
              <w:top w:type="dxa" w:w="80"/>
              <w:left w:type="dxa" w:w="120"/>
              <w:bottom w:type="dxa" w:w="80"/>
              <w:right w:type="dxa" w:w="120"/>
            </w:tcMar>
          </w:tcPr>
          <w:p>
            <w:r>
              <w:rPr>
                <w:b w:val="false"/>
                <w:bCs w:val="false"/>
              </w:rPr>
              <w:t xml:space="preserve">Cross-tenant data leakage due to isolation bugs</w:t>
            </w:r>
          </w:p>
        </w:tc>
        <w:tc>
          <w:tcPr>
            <w:tcW w:type="dxa" w:w="1500"/>
            <w:shd w:fill="FFFFFF" w:val="clear"/>
            <w:tcMar>
              <w:top w:type="dxa" w:w="80"/>
              <w:left w:type="dxa" w:w="120"/>
              <w:bottom w:type="dxa" w:w="80"/>
              <w:right w:type="dxa" w:w="120"/>
            </w:tcMar>
          </w:tcPr>
          <w:p>
            <w:r>
              <w:rPr>
                <w:b w:val="false"/>
                <w:bCs w:val="false"/>
              </w:rPr>
              <w:t xml:space="preserve">Low</w:t>
            </w:r>
          </w:p>
        </w:tc>
        <w:tc>
          <w:tcPr>
            <w:tcW w:type="dxa" w:w="1300"/>
            <w:shd w:fill="FFFFFF" w:val="clear"/>
            <w:tcMar>
              <w:top w:type="dxa" w:w="80"/>
              <w:left w:type="dxa" w:w="120"/>
              <w:bottom w:type="dxa" w:w="80"/>
              <w:right w:type="dxa" w:w="120"/>
            </w:tcMar>
          </w:tcPr>
          <w:p>
            <w:r>
              <w:rPr>
                <w:b w:val="false"/>
                <w:bCs w:val="false"/>
              </w:rPr>
              <w:t xml:space="preserve">High</w:t>
            </w:r>
          </w:p>
        </w:tc>
        <w:tc>
          <w:tcPr>
            <w:tcW w:type="dxa" w:w="3500"/>
            <w:shd w:fill="FFFFFF" w:val="clear"/>
            <w:tcMar>
              <w:top w:type="dxa" w:w="80"/>
              <w:left w:type="dxa" w:w="120"/>
              <w:bottom w:type="dxa" w:w="80"/>
              <w:right w:type="dxa" w:w="120"/>
            </w:tcMar>
          </w:tcPr>
          <w:p>
            <w:r>
              <w:rPr>
                <w:b w:val="false"/>
                <w:bCs w:val="false"/>
              </w:rPr>
              <w:t xml:space="preserve">Enforce tenant_id scoping at the API layer with automated isolation tests</w:t>
            </w:r>
          </w:p>
        </w:tc>
      </w:tr>
      <w:tr>
        <w:tc>
          <w:tcPr>
            <w:tcW w:type="dxa" w:w="3200"/>
            <w:shd w:fill="F2F2F2" w:val="clear"/>
            <w:tcMar>
              <w:top w:type="dxa" w:w="80"/>
              <w:left w:type="dxa" w:w="120"/>
              <w:bottom w:type="dxa" w:w="80"/>
              <w:right w:type="dxa" w:w="120"/>
            </w:tcMar>
          </w:tcPr>
          <w:p>
            <w:r>
              <w:rPr>
                <w:b w:val="false"/>
                <w:bCs w:val="false"/>
              </w:rPr>
              <w:t xml:space="preserve">Category taxonomy mismatch across verticals</w:t>
            </w:r>
          </w:p>
        </w:tc>
        <w:tc>
          <w:tcPr>
            <w:tcW w:type="dxa" w:w="1500"/>
            <w:shd w:fill="F2F2F2" w:val="clear"/>
            <w:tcMar>
              <w:top w:type="dxa" w:w="80"/>
              <w:left w:type="dxa" w:w="120"/>
              <w:bottom w:type="dxa" w:w="80"/>
              <w:right w:type="dxa" w:w="120"/>
            </w:tcMar>
          </w:tcPr>
          <w:p>
            <w:r>
              <w:rPr>
                <w:b w:val="false"/>
                <w:bCs w:val="false"/>
              </w:rPr>
              <w:t xml:space="preserve">Medium</w:t>
            </w:r>
          </w:p>
        </w:tc>
        <w:tc>
          <w:tcPr>
            <w:tcW w:type="dxa" w:w="1300"/>
            <w:shd w:fill="F2F2F2" w:val="clear"/>
            <w:tcMar>
              <w:top w:type="dxa" w:w="80"/>
              <w:left w:type="dxa" w:w="120"/>
              <w:bottom w:type="dxa" w:w="80"/>
              <w:right w:type="dxa" w:w="120"/>
            </w:tcMar>
          </w:tcPr>
          <w:p>
            <w:r>
              <w:rPr>
                <w:b w:val="false"/>
                <w:bCs w:val="false"/>
              </w:rPr>
              <w:t xml:space="preserve">Low</w:t>
            </w:r>
          </w:p>
        </w:tc>
        <w:tc>
          <w:tcPr>
            <w:tcW w:type="dxa" w:w="3500"/>
            <w:shd w:fill="F2F2F2" w:val="clear"/>
            <w:tcMar>
              <w:top w:type="dxa" w:w="80"/>
              <w:left w:type="dxa" w:w="120"/>
              <w:bottom w:type="dxa" w:w="80"/>
              <w:right w:type="dxa" w:w="120"/>
            </w:tcMar>
          </w:tcPr>
          <w:p>
            <w:r>
              <w:rPr>
                <w:b w:val="false"/>
                <w:bCs w:val="false"/>
              </w:rPr>
              <w:t xml:space="preserve">Keep schema vertical-agnostic; taxonomy is data, not code</w:t>
            </w:r>
          </w:p>
        </w:tc>
      </w:tr>
    </w:tbl>
    <w:p>
      <w:r>
        <w:br w:type="page"/>
      </w:r>
    </w:p>
    <w:p>
      <w:pPr>
        <w:pStyle w:val="Heading1"/>
        <w:spacing w:after="200" w:before="400"/>
      </w:pPr>
      <w:r>
        <w:t xml:space="preserve">17. Appendix</w:t>
      </w:r>
    </w:p>
    <w:p>
      <w:pPr>
        <w:pStyle w:val="Heading2"/>
        <w:spacing w:after="150" w:before="300"/>
      </w:pPr>
      <w:r>
        <w:t xml:space="preserve">17.1 Reference Shop (Pilot Candidate)</w:t>
      </w:r>
    </w:p>
    <w:p>
      <w:pPr>
        <w:spacing w:after="100"/>
      </w:pPr>
      <w:r>
        <w:rPr>
          <w:b/>
          <w:bCs/>
        </w:rPr>
        <w:t xml:space="preserve">Name:  </w:t>
      </w:r>
      <w:r>
        <w:t xml:space="preserve">Mahadev Automobiles</w:t>
      </w:r>
    </w:p>
    <w:p>
      <w:pPr>
        <w:spacing w:after="100"/>
      </w:pPr>
      <w:r>
        <w:rPr>
          <w:b/>
          <w:bCs/>
        </w:rPr>
        <w:t xml:space="preserve">Location:  </w:t>
      </w:r>
      <w:r>
        <w:t xml:space="preserve">Miyapur, Hyderabad, Telangana</w:t>
      </w:r>
    </w:p>
    <w:p>
      <w:pPr>
        <w:spacing w:after="100"/>
      </w:pPr>
      <w:r>
        <w:rPr>
          <w:b/>
          <w:bCs/>
        </w:rPr>
        <w:t xml:space="preserve">Vertical:  </w:t>
      </w:r>
      <w:r>
        <w:t xml:space="preserve">Two-wheeler spare parts &amp; accessories</w:t>
      </w:r>
    </w:p>
    <w:p>
      <w:pPr>
        <w:spacing w:after="100"/>
      </w:pPr>
      <w:r>
        <w:rPr>
          <w:b/>
          <w:bCs/>
        </w:rPr>
        <w:t xml:space="preserve">Brands Serviced:  </w:t>
      </w:r>
      <w:r>
        <w:t xml:space="preserve">Hero, Yamaha, TVS, Bajaj, Royal Enfield, Honda, Suzuki</w:t>
      </w:r>
    </w:p>
    <w:p>
      <w:pPr>
        <w:spacing w:after="160"/>
      </w:pPr>
      <w:r>
        <w:t xml:space="preserve">Observed inventory composition (from site visit photos) includes: engine oils and lubricants, control cables and wiring harnesses, filters, brake components, chains/belts, and a large volume of small loose fasteners and fittings — directly informing the photo-capture and manual-entry requirements (FR-1.2, FR-1.3).</w:t>
      </w:r>
    </w:p>
    <w:p>
      <w:pPr>
        <w:pStyle w:val="Heading2"/>
        <w:spacing w:after="150" w:before="300"/>
      </w:pPr>
      <w:r>
        <w:t xml:space="preserve">17.2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1F3864" w:val="clear"/>
            <w:tcMar>
              <w:top w:type="dxa" w:w="80"/>
              <w:left w:type="dxa" w:w="120"/>
              <w:bottom w:type="dxa" w:w="80"/>
              <w:right w:type="dxa" w:w="120"/>
            </w:tcMar>
          </w:tcPr>
          <w:p>
            <w:r>
              <w:rPr>
                <w:b/>
                <w:bCs/>
                <w:color w:val="FFFFFF"/>
              </w:rPr>
              <w:t xml:space="preserve">Term</w:t>
            </w:r>
          </w:p>
        </w:tc>
        <w:tc>
          <w:tcPr>
            <w:tcW w:type="dxa" w:w="7300"/>
            <w:shd w:fill="1F3864" w:val="clear"/>
            <w:tcMar>
              <w:top w:type="dxa" w:w="80"/>
              <w:left w:type="dxa" w:w="120"/>
              <w:bottom w:type="dxa" w:w="80"/>
              <w:right w:type="dxa" w:w="120"/>
            </w:tcMar>
          </w:tcPr>
          <w:p>
            <w:r>
              <w:rPr>
                <w:b/>
                <w:bCs/>
                <w:color w:val="FFFFFF"/>
              </w:rPr>
              <w:t xml:space="preserve">Definition</w:t>
            </w:r>
          </w:p>
        </w:tc>
      </w:tr>
      <w:tr>
        <w:tc>
          <w:tcPr>
            <w:tcW w:type="dxa" w:w="2200"/>
            <w:shd w:fill="FFFFFF" w:val="clear"/>
            <w:tcMar>
              <w:top w:type="dxa" w:w="80"/>
              <w:left w:type="dxa" w:w="120"/>
              <w:bottom w:type="dxa" w:w="80"/>
              <w:right w:type="dxa" w:w="120"/>
            </w:tcMar>
          </w:tcPr>
          <w:p>
            <w:r>
              <w:rPr>
                <w:b w:val="false"/>
                <w:bCs w:val="false"/>
              </w:rPr>
              <w:t xml:space="preserve">SKU</w:t>
            </w:r>
          </w:p>
        </w:tc>
        <w:tc>
          <w:tcPr>
            <w:tcW w:type="dxa" w:w="7300"/>
            <w:shd w:fill="FFFFFF" w:val="clear"/>
            <w:tcMar>
              <w:top w:type="dxa" w:w="80"/>
              <w:left w:type="dxa" w:w="120"/>
              <w:bottom w:type="dxa" w:w="80"/>
              <w:right w:type="dxa" w:w="120"/>
            </w:tcMar>
          </w:tcPr>
          <w:p>
            <w:r>
              <w:rPr>
                <w:b w:val="false"/>
                <w:bCs w:val="false"/>
              </w:rPr>
              <w:t xml:space="preserve">Stock Keeping Unit — a distinct trackable item in inventory</w:t>
            </w:r>
          </w:p>
        </w:tc>
      </w:tr>
      <w:tr>
        <w:tc>
          <w:tcPr>
            <w:tcW w:type="dxa" w:w="2200"/>
            <w:shd w:fill="F2F2F2" w:val="clear"/>
            <w:tcMar>
              <w:top w:type="dxa" w:w="80"/>
              <w:left w:type="dxa" w:w="120"/>
              <w:bottom w:type="dxa" w:w="80"/>
              <w:right w:type="dxa" w:w="120"/>
            </w:tcMar>
          </w:tcPr>
          <w:p>
            <w:r>
              <w:rPr>
                <w:b w:val="false"/>
                <w:bCs w:val="false"/>
              </w:rPr>
              <w:t xml:space="preserve">OCR</w:t>
            </w:r>
          </w:p>
        </w:tc>
        <w:tc>
          <w:tcPr>
            <w:tcW w:type="dxa" w:w="7300"/>
            <w:shd w:fill="F2F2F2" w:val="clear"/>
            <w:tcMar>
              <w:top w:type="dxa" w:w="80"/>
              <w:left w:type="dxa" w:w="120"/>
              <w:bottom w:type="dxa" w:w="80"/>
              <w:right w:type="dxa" w:w="120"/>
            </w:tcMar>
          </w:tcPr>
          <w:p>
            <w:r>
              <w:rPr>
                <w:b w:val="false"/>
                <w:bCs w:val="false"/>
              </w:rPr>
              <w:t xml:space="preserve">Optical Character Recognition — technology to extract text from images/scans</w:t>
            </w:r>
          </w:p>
        </w:tc>
      </w:tr>
      <w:tr>
        <w:tc>
          <w:tcPr>
            <w:tcW w:type="dxa" w:w="2200"/>
            <w:shd w:fill="FFFFFF" w:val="clear"/>
            <w:tcMar>
              <w:top w:type="dxa" w:w="80"/>
              <w:left w:type="dxa" w:w="120"/>
              <w:bottom w:type="dxa" w:w="80"/>
              <w:right w:type="dxa" w:w="120"/>
            </w:tcMar>
          </w:tcPr>
          <w:p>
            <w:r>
              <w:rPr>
                <w:b w:val="false"/>
                <w:bCs w:val="false"/>
              </w:rPr>
              <w:t xml:space="preserve">MVP</w:t>
            </w:r>
          </w:p>
        </w:tc>
        <w:tc>
          <w:tcPr>
            <w:tcW w:type="dxa" w:w="7300"/>
            <w:shd w:fill="FFFFFF" w:val="clear"/>
            <w:tcMar>
              <w:top w:type="dxa" w:w="80"/>
              <w:left w:type="dxa" w:w="120"/>
              <w:bottom w:type="dxa" w:w="80"/>
              <w:right w:type="dxa" w:w="120"/>
            </w:tcMar>
          </w:tcPr>
          <w:p>
            <w:r>
              <w:rPr>
                <w:b w:val="false"/>
                <w:bCs w:val="false"/>
              </w:rPr>
              <w:t xml:space="preserve">Minimum Viable Product — the smallest functional release validating the core value proposition</w:t>
            </w:r>
          </w:p>
        </w:tc>
      </w:tr>
      <w:tr>
        <w:tc>
          <w:tcPr>
            <w:tcW w:type="dxa" w:w="2200"/>
            <w:shd w:fill="F2F2F2" w:val="clear"/>
            <w:tcMar>
              <w:top w:type="dxa" w:w="80"/>
              <w:left w:type="dxa" w:w="120"/>
              <w:bottom w:type="dxa" w:w="80"/>
              <w:right w:type="dxa" w:w="120"/>
            </w:tcMar>
          </w:tcPr>
          <w:p>
            <w:r>
              <w:rPr>
                <w:b w:val="false"/>
                <w:bCs w:val="false"/>
              </w:rPr>
              <w:t xml:space="preserve">Multi-Tenant</w:t>
            </w:r>
          </w:p>
        </w:tc>
        <w:tc>
          <w:tcPr>
            <w:tcW w:type="dxa" w:w="7300"/>
            <w:shd w:fill="F2F2F2" w:val="clear"/>
            <w:tcMar>
              <w:top w:type="dxa" w:w="80"/>
              <w:left w:type="dxa" w:w="120"/>
              <w:bottom w:type="dxa" w:w="80"/>
              <w:right w:type="dxa" w:w="120"/>
            </w:tcMar>
          </w:tcPr>
          <w:p>
            <w:r>
              <w:rPr>
                <w:b w:val="false"/>
                <w:bCs w:val="false"/>
              </w:rPr>
              <w:t xml:space="preserve">A single software instance serving multiple customers (tenants), with each tenant's data kept isolated</w:t>
            </w:r>
          </w:p>
        </w:tc>
      </w:tr>
      <w:tr>
        <w:tc>
          <w:tcPr>
            <w:tcW w:type="dxa" w:w="2200"/>
            <w:shd w:fill="FFFFFF" w:val="clear"/>
            <w:tcMar>
              <w:top w:type="dxa" w:w="80"/>
              <w:left w:type="dxa" w:w="120"/>
              <w:bottom w:type="dxa" w:w="80"/>
              <w:right w:type="dxa" w:w="120"/>
            </w:tcMar>
          </w:tcPr>
          <w:p>
            <w:r>
              <w:rPr>
                <w:b w:val="false"/>
                <w:bCs w:val="false"/>
              </w:rPr>
              <w:t xml:space="preserve">Tenant</w:t>
            </w:r>
          </w:p>
        </w:tc>
        <w:tc>
          <w:tcPr>
            <w:tcW w:type="dxa" w:w="7300"/>
            <w:shd w:fill="FFFFFF" w:val="clear"/>
            <w:tcMar>
              <w:top w:type="dxa" w:w="80"/>
              <w:left w:type="dxa" w:w="120"/>
              <w:bottom w:type="dxa" w:w="80"/>
              <w:right w:type="dxa" w:w="120"/>
            </w:tcMar>
          </w:tcPr>
          <w:p>
            <w:r>
              <w:rPr>
                <w:b w:val="false"/>
                <w:bCs w:val="false"/>
              </w:rPr>
              <w:t xml:space="preserve">An individual retailer/shop account on the platform, with its own isolated data</w:t>
            </w:r>
          </w:p>
        </w:tc>
      </w:tr>
      <w:tr>
        <w:tc>
          <w:tcPr>
            <w:tcW w:type="dxa" w:w="2200"/>
            <w:shd w:fill="F2F2F2" w:val="clear"/>
            <w:tcMar>
              <w:top w:type="dxa" w:w="80"/>
              <w:left w:type="dxa" w:w="120"/>
              <w:bottom w:type="dxa" w:w="80"/>
              <w:right w:type="dxa" w:w="120"/>
            </w:tcMar>
          </w:tcPr>
          <w:p>
            <w:r>
              <w:rPr>
                <w:b w:val="false"/>
                <w:bCs w:val="false"/>
              </w:rPr>
              <w:t xml:space="preserve">API Gateway</w:t>
            </w:r>
          </w:p>
        </w:tc>
        <w:tc>
          <w:tcPr>
            <w:tcW w:type="dxa" w:w="7300"/>
            <w:shd w:fill="F2F2F2" w:val="clear"/>
            <w:tcMar>
              <w:top w:type="dxa" w:w="80"/>
              <w:left w:type="dxa" w:w="120"/>
              <w:bottom w:type="dxa" w:w="80"/>
              <w:right w:type="dxa" w:w="120"/>
            </w:tcMar>
          </w:tcPr>
          <w:p>
            <w:r>
              <w:rPr>
                <w:b w:val="false"/>
                <w:bCs w:val="false"/>
              </w:rPr>
              <w:t xml:space="preserve">A single entry point that routes, authenticates, and rate-limits requests from all clients to backend services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C8C8C"/>
        <w:sz w:val="16"/>
        <w:szCs w:val="16"/>
      </w:rPr>
      <w:t xml:space="preserve">StockPilot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2026-09-12T13:38:26.957Z</dcterms:created>
  <dcterms:modified xsi:type="dcterms:W3CDTF">2026-09-12T13:38:26.968Z</dcterms:modified>
</cp:coreProperties>
</file>

<file path=docProps/custom.xml><?xml version="1.0" encoding="utf-8"?>
<Properties xmlns="http://schemas.openxmlformats.org/officeDocument/2006/custom-properties" xmlns:vt="http://schemas.openxmlformats.org/officeDocument/2006/docPropsVTypes"/>
</file>