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336" w:lineRule="auto"/>
      </w:pPr>
      <w:r>
        <w:br/>
        <w:br/>
      </w:r>
    </w:p>
    <w:p>
      <w:pPr>
        <w:spacing w:after="720" w:line="336" w:lineRule="auto"/>
        <w:jc w:val="center"/>
      </w:pPr>
      <w:r>
        <w:rPr>
          <w:b/>
          <w:sz w:val="40"/>
        </w:rPr>
        <w:t>Hierarchical Multi-Granularity Sentiment Analysis</w:t>
        <w:br/>
        <w:t>for E-Commerce Reviews</w:t>
      </w:r>
    </w:p>
    <w:p>
      <w:pPr>
        <w:spacing w:after="40" w:line="336" w:lineRule="auto"/>
        <w:jc w:val="center"/>
      </w:pPr>
      <w:r>
        <w:rPr>
          <w:b/>
          <w:sz w:val="28"/>
        </w:rPr>
        <w:t>MSc Research Project</w:t>
      </w:r>
    </w:p>
    <w:p>
      <w:pPr>
        <w:spacing w:after="720" w:line="336" w:lineRule="auto"/>
        <w:jc w:val="center"/>
      </w:pPr>
      <w:r>
        <w:rPr>
          <w:sz w:val="28"/>
        </w:rPr>
        <w:t>Cloud Computing</w:t>
      </w:r>
    </w:p>
    <w:p>
      <w:pPr>
        <w:spacing w:after="40" w:line="336" w:lineRule="auto"/>
        <w:jc w:val="center"/>
      </w:pPr>
      <w:r>
        <w:rPr>
          <w:b/>
          <w:sz w:val="28"/>
        </w:rPr>
        <w:t>Vamshi Maidam</w:t>
      </w:r>
    </w:p>
    <w:p>
      <w:pPr>
        <w:spacing w:after="720" w:line="336" w:lineRule="auto"/>
        <w:jc w:val="center"/>
      </w:pPr>
      <w:r>
        <w:rPr>
          <w:sz w:val="24"/>
        </w:rPr>
        <w:t>Student ID: X23289635</w:t>
      </w:r>
    </w:p>
    <w:p>
      <w:pPr>
        <w:spacing w:after="720" w:line="336" w:lineRule="auto"/>
        <w:jc w:val="center"/>
      </w:pPr>
      <w:r>
        <w:rPr>
          <w:sz w:val="24"/>
        </w:rPr>
        <w:t>School of Computing</w:t>
        <w:br/>
        <w:t>National College of Ireland</w:t>
      </w:r>
    </w:p>
    <w:p>
      <w:pPr>
        <w:spacing w:after="40" w:line="336" w:lineRule="auto"/>
        <w:jc w:val="center"/>
      </w:pPr>
      <w:r>
        <w:rPr>
          <w:sz w:val="24"/>
        </w:rPr>
        <w:t>Supervisor: Nitish Bharoth</w:t>
      </w:r>
    </w:p>
    <w:p>
      <w:pPr>
        <w:spacing w:after="0" w:line="336" w:lineRule="auto"/>
        <w:jc w:val="center"/>
      </w:pPr>
      <w:r>
        <w:rPr>
          <w:sz w:val="24"/>
        </w:rPr>
        <w:t>April 2026</w:t>
      </w:r>
    </w:p>
    <w:p>
      <w:r>
        <w:br w:type="page"/>
      </w:r>
    </w:p>
    <w:p>
      <w:pPr>
        <w:pStyle w:val="Heading1"/>
      </w:pPr>
      <w:r>
        <w:rPr>
          <w:rFonts w:ascii="Times New Roman" w:hAnsi="Times New Roman"/>
          <w:color w:val="000000"/>
          <w:sz w:val="32"/>
        </w:rPr>
        <w:t>Declaration</w:t>
      </w:r>
    </w:p>
    <w:p>
      <w:pPr>
        <w:spacing w:after="120" w:line="336" w:lineRule="auto"/>
      </w:pPr>
      <w:r>
        <w:t>I hereby certify that the information contained in this submission is the result of research undertaken by myself for this project. All material drawn from external sources is fully referenced and acknowledged in the bibliography section. No part of this work has been previously submitted, in part or in whole, for any other academic award.</w:t>
      </w:r>
    </w:p>
    <w:p>
      <w:pPr>
        <w:spacing w:after="40" w:line="336" w:lineRule="auto"/>
      </w:pPr>
      <w:r>
        <w:t>Signature: ____________________________</w:t>
      </w:r>
    </w:p>
    <w:p>
      <w:pPr>
        <w:spacing w:after="40" w:line="336" w:lineRule="auto"/>
      </w:pPr>
      <w:r>
        <w:t>Name: Vamshi Maidam</w:t>
      </w:r>
    </w:p>
    <w:p>
      <w:pPr>
        <w:spacing w:after="120" w:line="336" w:lineRule="auto"/>
      </w:pPr>
      <w:r>
        <w:t>Date: April 2026</w:t>
      </w:r>
    </w:p>
    <w:p>
      <w:r>
        <w:br w:type="page"/>
      </w:r>
    </w:p>
    <w:p>
      <w:pPr>
        <w:pStyle w:val="Heading1"/>
      </w:pPr>
      <w:r>
        <w:rPr>
          <w:rFonts w:ascii="Times New Roman" w:hAnsi="Times New Roman"/>
          <w:color w:val="000000"/>
          <w:sz w:val="32"/>
        </w:rPr>
        <w:t>Abstract</w:t>
      </w:r>
    </w:p>
    <w:p>
      <w:pPr>
        <w:spacing w:after="120" w:line="336" w:lineRule="auto"/>
      </w:pPr>
      <w:r>
        <w:t>Sentiment analysis of e-commerce product reviews supports both consumer decision-making and business intelligence, yet most operational systems collapse a review into a single polarity label and discard finer signal. This research designs, implements and evaluates a Hierarchical Multi-Granularity Sentiment (HMGS) system that produces document-, sentence- and aspect-level sentiment in a single forward pass. The model combines a shared BERT encoder, a query-based attention aggregator over sentence representations, a sentence-level classification head, and a Conditional Random Field (CRF) layer for aspect term extraction coupled with an aspect sentiment classifier. The four heads are trained jointly with a weighted multi-task loss. The system is delivered as a full-stack application: a FastAPI inference service, a React 19 dashboard, Docker containerisation, AWS S3 model storage and a GitHub Actions CI/CD pipeline. On Amazon product review data and the SemEval-2014 Task 4 benchmark, the HMGS model reaches approximately 93% document-level accuracy, outperforming TF-IDF, BERT-Linear and BERT-BiLSTM baselines, while producing coherent sentence and aspect outputs in a single inference call. The work demonstrates that hierarchical multi-task learning is a practical and effective alternative to running three separate sentiment pipelines.</w:t>
      </w:r>
    </w:p>
    <w:p>
      <w:pPr>
        <w:spacing w:after="120" w:line="336" w:lineRule="auto"/>
      </w:pPr>
      <w:r>
        <w:rPr>
          <w:i/>
        </w:rPr>
        <w:t>Keywords: sentiment analysis, BERT, multi-granularity, aspect extraction, CRF, multi-task learning, e-commerce, cloud computing.</w:t>
      </w:r>
    </w:p>
    <w:p>
      <w:r>
        <w:br w:type="page"/>
      </w:r>
    </w:p>
    <w:p>
      <w:pPr>
        <w:pStyle w:val="Heading1"/>
      </w:pPr>
      <w:r>
        <w:rPr>
          <w:rFonts w:ascii="Times New Roman" w:hAnsi="Times New Roman"/>
          <w:color w:val="000000"/>
          <w:sz w:val="32"/>
        </w:rPr>
        <w:t>Table of Contents</w:t>
      </w:r>
    </w:p>
    <w:p>
      <w:pPr>
        <w:spacing w:after="40"/>
      </w:pPr>
      <w:r>
        <w:rPr>
          <w:sz w:val="22"/>
        </w:rPr>
        <w:t>1. Introduction</w:t>
      </w:r>
      <w:r>
        <w:rPr>
          <w:sz w:val="22"/>
        </w:rPr>
        <w:tab/>
        <w:t>1</w:t>
      </w:r>
    </w:p>
    <w:p>
      <w:pPr>
        <w:spacing w:after="40"/>
      </w:pPr>
      <w:r>
        <w:rPr>
          <w:sz w:val="22"/>
        </w:rPr>
        <w:t>2. Related Work</w:t>
      </w:r>
      <w:r>
        <w:rPr>
          <w:sz w:val="22"/>
        </w:rPr>
        <w:tab/>
        <w:t>2</w:t>
      </w:r>
    </w:p>
    <w:p>
      <w:pPr>
        <w:spacing w:after="40"/>
      </w:pPr>
      <w:r>
        <w:rPr>
          <w:sz w:val="22"/>
        </w:rPr>
        <w:t xml:space="preserve">   2.1 Foundations of Sentiment Analysis</w:t>
      </w:r>
      <w:r>
        <w:rPr>
          <w:sz w:val="22"/>
        </w:rPr>
        <w:tab/>
        <w:t>2</w:t>
      </w:r>
    </w:p>
    <w:p>
      <w:pPr>
        <w:spacing w:after="40"/>
      </w:pPr>
      <w:r>
        <w:rPr>
          <w:sz w:val="22"/>
        </w:rPr>
        <w:t xml:space="preserve">   2.2 Document-Level Approaches</w:t>
      </w:r>
      <w:r>
        <w:rPr>
          <w:sz w:val="22"/>
        </w:rPr>
        <w:tab/>
        <w:t>3</w:t>
      </w:r>
    </w:p>
    <w:p>
      <w:pPr>
        <w:spacing w:after="40"/>
      </w:pPr>
      <w:r>
        <w:rPr>
          <w:sz w:val="22"/>
        </w:rPr>
        <w:t xml:space="preserve">   2.3 Aspect-Based Sentiment Analysis</w:t>
      </w:r>
      <w:r>
        <w:rPr>
          <w:sz w:val="22"/>
        </w:rPr>
        <w:tab/>
        <w:t>3</w:t>
      </w:r>
    </w:p>
    <w:p>
      <w:pPr>
        <w:spacing w:after="40"/>
      </w:pPr>
      <w:r>
        <w:rPr>
          <w:sz w:val="22"/>
        </w:rPr>
        <w:t xml:space="preserve">   2.4 Transformer-Based Models</w:t>
      </w:r>
      <w:r>
        <w:rPr>
          <w:sz w:val="22"/>
        </w:rPr>
        <w:tab/>
        <w:t>4</w:t>
      </w:r>
    </w:p>
    <w:p>
      <w:pPr>
        <w:spacing w:after="40"/>
      </w:pPr>
      <w:r>
        <w:rPr>
          <w:sz w:val="22"/>
        </w:rPr>
        <w:t xml:space="preserve">   2.5 Multi-Task Learning</w:t>
      </w:r>
      <w:r>
        <w:rPr>
          <w:sz w:val="22"/>
        </w:rPr>
        <w:tab/>
        <w:t>5</w:t>
      </w:r>
    </w:p>
    <w:p>
      <w:pPr>
        <w:spacing w:after="40"/>
      </w:pPr>
      <w:r>
        <w:rPr>
          <w:sz w:val="22"/>
        </w:rPr>
        <w:t xml:space="preserve">   2.6 Research Gap</w:t>
      </w:r>
      <w:r>
        <w:rPr>
          <w:sz w:val="22"/>
        </w:rPr>
        <w:tab/>
        <w:t>5</w:t>
      </w:r>
    </w:p>
    <w:p>
      <w:pPr>
        <w:spacing w:after="40"/>
      </w:pPr>
      <w:r>
        <w:rPr>
          <w:sz w:val="22"/>
        </w:rPr>
        <w:t>3. Methodology</w:t>
      </w:r>
      <w:r>
        <w:rPr>
          <w:sz w:val="22"/>
        </w:rPr>
        <w:tab/>
        <w:t>6</w:t>
      </w:r>
    </w:p>
    <w:p>
      <w:pPr>
        <w:spacing w:after="40"/>
      </w:pPr>
      <w:r>
        <w:rPr>
          <w:sz w:val="22"/>
        </w:rPr>
        <w:t>4. Design Specification</w:t>
      </w:r>
      <w:r>
        <w:rPr>
          <w:sz w:val="22"/>
        </w:rPr>
        <w:tab/>
        <w:t>8</w:t>
      </w:r>
    </w:p>
    <w:p>
      <w:pPr>
        <w:spacing w:after="40"/>
      </w:pPr>
      <w:r>
        <w:rPr>
          <w:sz w:val="22"/>
        </w:rPr>
        <w:t>5. Implementation</w:t>
      </w:r>
      <w:r>
        <w:rPr>
          <w:sz w:val="22"/>
        </w:rPr>
        <w:tab/>
        <w:t>11</w:t>
      </w:r>
    </w:p>
    <w:p>
      <w:pPr>
        <w:spacing w:after="40"/>
      </w:pPr>
      <w:r>
        <w:rPr>
          <w:sz w:val="22"/>
        </w:rPr>
        <w:t>6. Evaluation</w:t>
      </w:r>
      <w:r>
        <w:rPr>
          <w:sz w:val="22"/>
        </w:rPr>
        <w:tab/>
        <w:t>14</w:t>
      </w:r>
    </w:p>
    <w:p>
      <w:pPr>
        <w:spacing w:after="40"/>
      </w:pPr>
      <w:r>
        <w:rPr>
          <w:sz w:val="22"/>
        </w:rPr>
        <w:t>7. Conclusion and Future Work</w:t>
      </w:r>
      <w:r>
        <w:rPr>
          <w:sz w:val="22"/>
        </w:rPr>
        <w:tab/>
        <w:t>17</w:t>
      </w:r>
    </w:p>
    <w:p>
      <w:pPr>
        <w:spacing w:after="40"/>
      </w:pPr>
      <w:r>
        <w:rPr>
          <w:sz w:val="22"/>
        </w:rPr>
        <w:t>References</w:t>
      </w:r>
      <w:r>
        <w:rPr>
          <w:sz w:val="22"/>
        </w:rPr>
        <w:tab/>
        <w:t>18</w:t>
      </w:r>
    </w:p>
    <w:p>
      <w:r>
        <w:br w:type="page"/>
      </w:r>
    </w:p>
    <w:p>
      <w:pPr>
        <w:pStyle w:val="Heading1"/>
      </w:pPr>
      <w:r>
        <w:rPr>
          <w:rFonts w:ascii="Times New Roman" w:hAnsi="Times New Roman"/>
          <w:color w:val="000000"/>
          <w:sz w:val="32"/>
        </w:rPr>
        <w:t>1. Introduction</w:t>
      </w:r>
    </w:p>
    <w:p>
      <w:pPr>
        <w:spacing w:after="120" w:line="336" w:lineRule="auto"/>
      </w:pPr>
      <w:r>
        <w:t>Online retail platforms now host billions of textual product reviews, and these reviews are the dominant signal that buyers use when comparing options. They are also one of the richest sources of feedback available to retailers and manufacturers. Automated sentiment analysis turns this raw feedback into structured insight, but most production systems still classify each review into a single polarity label. This single-label approach loses information whenever a review is mixed: a customer can simultaneously praise the industrial design of a product, complain about its battery, and be neutral on its packaging.</w:t>
      </w:r>
    </w:p>
    <w:p>
      <w:pPr>
        <w:spacing w:after="120" w:line="336" w:lineRule="auto"/>
      </w:pPr>
      <w:r>
        <w:t>A useful system has to expose all three of these layers at once. Document-level sentiment reflects the customer's headline judgement; sentence-level sentiment captures the internal structure of the review and any contrast or transition between positive and negative statements; aspect-level sentiment ties opinions to the specific product features that caused them, which is the level at which most product and pricing decisions are taken.</w:t>
      </w:r>
    </w:p>
    <w:p>
      <w:pPr>
        <w:spacing w:after="120" w:line="336" w:lineRule="auto"/>
      </w:pPr>
      <w:r>
        <w:t>This research addresses the following question: can a hierarchical, multi-granularity sentiment model that combines a BERT encoder, a query-based attention aggregator and a CRF-based aspect extractor produce document-, sentence- and aspect-level sentiment in a single forward pass while matching or exceeding the document-level accuracy of specialised single-task baselines?</w:t>
      </w:r>
    </w:p>
    <w:p>
      <w:pPr>
        <w:spacing w:after="120" w:line="336" w:lineRule="auto"/>
      </w:pPr>
      <w:r>
        <w:t>The objectives that follow from this question are: (i) to design and implement the HMGS model with task-specific heads; (ii) to construct three single-task baselines (TF-IDF + Logistic Regression, BERT-Linear, BERT-BiLSTM-Attention) for fair comparison; (iii) to train and evaluate the system on Amazon product reviews and the SemEval-2014 Task 4 dataset using accuracy, macro-F1 and span-level F1; and (iv) to package the trained system as a deployable web application with a documented API, a React dashboard, Docker images, AWS S3 model storage and a GitHub Actions CI/CD pipeline.</w:t>
      </w:r>
    </w:p>
    <w:p>
      <w:pPr>
        <w:spacing w:after="120" w:line="336" w:lineRule="auto"/>
      </w:pPr>
      <w:r>
        <w:t>The contribution of this work is threefold. First, an end-to-end hierarchical architecture that produces three granularities of sentiment in a single inference call. Second, an empirical comparison against strong baselines on a shared evaluation harness. Third, an open implementation that demonstrates the path from research prototype to cloud-deployable service. The remainder of this report is organised as follows: Section 2 reviews related work; Section 3 describes the methodology; Section 4 specifies the design; Section 5 describes the implementation; Section 6 reports results and discussion; Section 7 concludes and outlines future work.</w:t>
      </w:r>
    </w:p>
    <w:p>
      <w:r>
        <w:br w:type="page"/>
      </w:r>
    </w:p>
    <w:p>
      <w:pPr>
        <w:pStyle w:val="Heading1"/>
      </w:pPr>
      <w:r>
        <w:rPr>
          <w:rFonts w:ascii="Times New Roman" w:hAnsi="Times New Roman"/>
          <w:color w:val="000000"/>
          <w:sz w:val="32"/>
        </w:rPr>
        <w:t>2. Related Work</w:t>
      </w:r>
    </w:p>
    <w:p>
      <w:pPr>
        <w:spacing w:after="120" w:line="336" w:lineRule="auto"/>
      </w:pPr>
      <w:r>
        <w:t>This section reviews the literature underpinning the proposed system across five themes: foundations of sentiment analysis, document-level approaches, aspect-based methods, transformer architectures, and multi-task learning. The review concludes by identifying the gap that motivates the HMGS design.</w:t>
      </w:r>
    </w:p>
    <w:p>
      <w:pPr>
        <w:pStyle w:val="Heading2"/>
      </w:pPr>
      <w:r>
        <w:rPr>
          <w:rFonts w:ascii="Times New Roman" w:hAnsi="Times New Roman"/>
          <w:color w:val="000000"/>
          <w:sz w:val="26"/>
        </w:rPr>
        <w:t>2.1 Foundations of Sentiment Analysis</w:t>
      </w:r>
    </w:p>
    <w:p>
      <w:pPr>
        <w:spacing w:after="120" w:line="336" w:lineRule="auto"/>
      </w:pPr>
      <w:r>
        <w:t>Sentiment analysis, also known as opinion mining, is the computational study of opinions, sentiments and emotions expressed in text (Liu, 2012). Early work was dominated by lexicon-based approaches and supervised machine learning over hand-crafted features. Pang, Lee and Vaithyanathan (2002) provided the first systematic study of supervised classifiers (Naive Bayes, Maximum Entropy, SVMs) on movie reviews and showed that standard text classification techniques could be repurposed for sentiment with surprising effectiveness. Pang and Lee (2008) consolidated the field in an influential survey, noting that domain shift, negation handling and subjectivity detection were the main open problems at that time. Lexical resources such as SentiWordNet (Baccianella, Esuli and Sebastiani, 2010) were widely used to inject prior polarity into feature vectors and remain a useful baseline component.</w:t>
      </w:r>
    </w:p>
    <w:p>
      <w:pPr>
        <w:spacing w:after="120" w:line="336" w:lineRule="auto"/>
      </w:pPr>
      <w:r>
        <w:t>A second wave of work moved away from sparse hand-crafted features toward dense distributed representations of words. Mikolov et al. (2013) showed that the word2vec skip-gram model could learn semantically meaningful word embeddings from large unlabeled corpora, and Pennington, Socher and Manning (2014) demonstrated comparable or better embeddings via the GloVe global co-occurrence factorisation. These embeddings became the standard input layer for downstream sentiment classifiers. Subsequent surveys by Zhang, Wang and Liu (2018) and Do et al. (2019) confirm that the move from sparse to dense representations is one of the most important shifts in the field.</w:t>
      </w:r>
    </w:p>
    <w:p>
      <w:pPr>
        <w:pStyle w:val="Heading2"/>
      </w:pPr>
      <w:r>
        <w:rPr>
          <w:rFonts w:ascii="Times New Roman" w:hAnsi="Times New Roman"/>
          <w:color w:val="000000"/>
          <w:sz w:val="26"/>
        </w:rPr>
        <w:t>2.2 Document-Level Approaches</w:t>
      </w:r>
    </w:p>
    <w:p>
      <w:pPr>
        <w:spacing w:after="120" w:line="336" w:lineRule="auto"/>
      </w:pPr>
      <w:r>
        <w:t>Document-level sentiment classification labels an entire review as positive, negative or neutral. After the shift to dense embeddings, two architectures dominated. Convolutional networks for sentence classification, proposed by Kim (2014), used pre-trained word embeddings with simple convolutional and max-pooling layers and achieved strong results on multiple sentiment benchmarks at low computational cost. In parallel, recurrent networks based on Long Short-Term Memory cells (Hochreiter and Schmidhuber, 1997) were used to model long-range dependencies. Tang, Qin and Liu (2015) showed that document-level sentiment benefits from explicit modelling of sentence-level composition using gated recurrent units, with sentence representations combined into a document representation through a second gated layer.</w:t>
      </w:r>
    </w:p>
    <w:p>
      <w:pPr>
        <w:spacing w:after="120" w:line="336" w:lineRule="auto"/>
      </w:pPr>
      <w:r>
        <w:t>Hierarchical attention networks (Yang et al., 2016) refined this idea further. They introduced word-level and sentence-level attention layers that learn which words are informative for each sentence and which sentences are informative for the document. This is directly relevant to the present work: the HMGS document head reuses the sentence-attention idea, but replaces the BiLSTM word encoder with a BERT encoder and adds explicit sentence- and aspect-level supervision rather than treating those signals as latent.</w:t>
      </w:r>
    </w:p>
    <w:p>
      <w:pPr>
        <w:pStyle w:val="Heading2"/>
      </w:pPr>
      <w:r>
        <w:rPr>
          <w:rFonts w:ascii="Times New Roman" w:hAnsi="Times New Roman"/>
          <w:color w:val="000000"/>
          <w:sz w:val="26"/>
        </w:rPr>
        <w:t>2.3 Aspect-Based Sentiment Analysis</w:t>
      </w:r>
    </w:p>
    <w:p>
      <w:pPr>
        <w:spacing w:after="120" w:line="336" w:lineRule="auto"/>
      </w:pPr>
      <w:r>
        <w:t>Aspect-based sentiment analysis (ABSA) decomposes the task into aspect term extraction (ATE) and aspect sentiment classification (ASC). The SemEval shared tasks (Pontiki et al., 2014; Pontiki et al., 2016) established the benchmarks that the field still uses, covering restaurant and laptop review domains with span-level aspect annotations and polarity labels. Do et al. (2019) provide a comprehensive comparative review of deep learning approaches to ABSA and show that combining sequence labelling with attention over aspect spans is the dominant pattern.</w:t>
      </w:r>
    </w:p>
    <w:p>
      <w:pPr>
        <w:spacing w:after="120" w:line="336" w:lineRule="auto"/>
      </w:pPr>
      <w:r>
        <w:t>For ATE, BIO sequence labelling combined with a Conditional Random Field decoder is the standard. CRFs (Lafferty, McCallum and Pereira, 2001) model dependencies between consecutive tags and consistently improve over independent token classifiers, especially for multi-word aspects such as "battery life". Li et al. (2019) introduced a unified model that performs opinion target extraction and target sentiment prediction jointly, demonstrating that the two subtasks benefit from a shared encoder. The HMGS architecture follows this principle but extends it further by also sharing the encoder with the document and sentence heads.</w:t>
      </w:r>
    </w:p>
    <w:p>
      <w:pPr>
        <w:spacing w:after="120" w:line="336" w:lineRule="auto"/>
      </w:pPr>
      <w:r>
        <w:t>A common limitation of pure ABSA systems is that they treat aspects in isolation from the wider document, which makes it difficult to reconcile contradictory aspect-level signals into a coherent overall judgement. Multi-granularity systems, by contrast, can use document context to disambiguate aspect sentiment and vice versa.</w:t>
      </w:r>
    </w:p>
    <w:p>
      <w:pPr>
        <w:pStyle w:val="Heading2"/>
      </w:pPr>
      <w:r>
        <w:rPr>
          <w:rFonts w:ascii="Times New Roman" w:hAnsi="Times New Roman"/>
          <w:color w:val="000000"/>
          <w:sz w:val="26"/>
        </w:rPr>
        <w:t>2.4 Transformer-Based Models</w:t>
      </w:r>
    </w:p>
    <w:p>
      <w:pPr>
        <w:spacing w:after="120" w:line="336" w:lineRule="auto"/>
      </w:pPr>
      <w:r>
        <w:t>The Transformer architecture (Vaswani et al., 2017) replaced recurrence with stacked self-attention layers and became the backbone of modern NLP. The encoder side of the Transformer underlies BERT (Devlin et al., 2019), which pre-trains a deep bidirectional encoder on masked-language-modelling and next-sentence-prediction objectives and is fine-tuned on downstream tasks. The attention mechanism that makes this possible was introduced earlier by Bahdanau, Cho and Bengio (2015) in the context of neural machine translation, and the modern self-attention variant retains the same intuition: each position attends to a learned weighted combination of every other position.</w:t>
      </w:r>
    </w:p>
    <w:p>
      <w:pPr>
        <w:spacing w:after="120" w:line="336" w:lineRule="auto"/>
      </w:pPr>
      <w:r>
        <w:t>Several BERT variants target sentiment specifically. Xu et al. (2019) introduced post-training on review-domain corpora to align BERT with the e-commerce vocabulary before fine-tuning, which improves aspect-level performance. Sun, Huang and Qiu (2019) reformulated ABSA as a sentence-pair classification task by constructing auxiliary sentences that encode the aspect, allowing BERT to be applied without architectural changes. Open-source implementations of these encoders made them reproducible at scale and form the basis of the implementation used in this work.</w:t>
      </w:r>
    </w:p>
    <w:p>
      <w:pPr>
        <w:spacing w:after="120" w:line="336" w:lineRule="auto"/>
      </w:pPr>
      <w:r>
        <w:t>Earlier work on recursive networks over sentiment treebanks (Socher et al., 2013) demonstrated the value of structured supervision for sentiment composition, and many of the design choices in BERT-based sentiment systems can be traced back to this lineage.</w:t>
      </w:r>
    </w:p>
    <w:p>
      <w:pPr>
        <w:pStyle w:val="Heading2"/>
      </w:pPr>
      <w:r>
        <w:rPr>
          <w:rFonts w:ascii="Times New Roman" w:hAnsi="Times New Roman"/>
          <w:color w:val="000000"/>
          <w:sz w:val="26"/>
        </w:rPr>
        <w:t>2.5 Multi-Task Learning</w:t>
      </w:r>
    </w:p>
    <w:p>
      <w:pPr>
        <w:spacing w:after="120" w:line="336" w:lineRule="auto"/>
      </w:pPr>
      <w:r>
        <w:t>Multi-task learning (MTL) trains a model on several related tasks simultaneously so that the shared representation generalises better than any single-task model would (Caruana, 1997). Collobert and Weston (2008) showed in an early demonstration that a single neural network could be trained jointly on POS tagging, chunking, named-entity recognition and semantic-role labelling with positive transfer between tasks. Ruder (2017) provides a modern survey of MTL in deep neural networks and distinguishes hard parameter sharing (a shared encoder with task-specific heads, the pattern adopted here) from soft sharing.</w:t>
      </w:r>
    </w:p>
    <w:p>
      <w:pPr>
        <w:spacing w:after="120" w:line="336" w:lineRule="auto"/>
      </w:pPr>
      <w:r>
        <w:t>Loss balancing is an open problem in deep MTL: when several losses are summed, a single high-magnitude task can dominate the gradient signal and crowd out the others. In the present work, fixed weights were tuned on a held-out validation split, which is simpler than adaptive schemes and sufficient for the four-task setup considered here. The wider lesson from Caruana, Collobert and Weston, and Ruder is that multi-task supervision tends to help when the tasks share useful structure, which is clearly the case for document, sentence and aspect sentiment.</w:t>
      </w:r>
    </w:p>
    <w:p>
      <w:pPr>
        <w:pStyle w:val="Heading2"/>
      </w:pPr>
      <w:r>
        <w:rPr>
          <w:rFonts w:ascii="Times New Roman" w:hAnsi="Times New Roman"/>
          <w:color w:val="000000"/>
          <w:sz w:val="26"/>
        </w:rPr>
        <w:t>2.6 Research Gap</w:t>
      </w:r>
    </w:p>
    <w:p>
      <w:pPr>
        <w:spacing w:after="120" w:line="336" w:lineRule="auto"/>
      </w:pPr>
      <w:r>
        <w:t>The literature contains strong individual solutions for each granularity of sentiment, but very few systems jointly produce coherent document-, sentence- and aspect-level sentiment from a single shared encoder, and even fewer are delivered as deployable full-stack applications. This research closes that gap by combining a BERT encoder, a query-based attention aggregator, a sentence-level head, a CRF-decoded ATE head and an ASC head into one model, trained with a weighted multi-task loss, and by packaging the result as a documented and tested cloud-deployable service.</w:t>
      </w:r>
    </w:p>
    <w:p>
      <w:r>
        <w:br w:type="page"/>
      </w:r>
    </w:p>
    <w:p>
      <w:pPr>
        <w:pStyle w:val="Heading1"/>
      </w:pPr>
      <w:r>
        <w:rPr>
          <w:rFonts w:ascii="Times New Roman" w:hAnsi="Times New Roman"/>
          <w:color w:val="000000"/>
          <w:sz w:val="32"/>
        </w:rPr>
        <w:t>3. Methodology</w:t>
      </w:r>
    </w:p>
    <w:p>
      <w:pPr>
        <w:pStyle w:val="Heading2"/>
      </w:pPr>
      <w:r>
        <w:rPr>
          <w:rFonts w:ascii="Times New Roman" w:hAnsi="Times New Roman"/>
          <w:color w:val="000000"/>
          <w:sz w:val="26"/>
        </w:rPr>
        <w:t>3.1 Research Design</w:t>
      </w:r>
    </w:p>
    <w:p>
      <w:pPr>
        <w:spacing w:after="120" w:line="336" w:lineRule="auto"/>
      </w:pPr>
      <w:r>
        <w:t>The work follows a design science research methodology, which is appropriate for projects that produce and evaluate IT artefacts. The activities of problem identification, artefact design, demonstration and evaluation were carried out iteratively. The artefacts produced are the HMGS model, the supporting baselines, the inference service, the React dashboard and the deployment toolchain. Evaluation is quantitative and uses standard classification metrics on held-out data.</w:t>
      </w:r>
    </w:p>
    <w:p>
      <w:pPr>
        <w:pStyle w:val="Heading2"/>
      </w:pPr>
      <w:r>
        <w:rPr>
          <w:rFonts w:ascii="Times New Roman" w:hAnsi="Times New Roman"/>
          <w:color w:val="000000"/>
          <w:sz w:val="26"/>
        </w:rPr>
        <w:t>3.2 Data and Preprocessing</w:t>
      </w:r>
    </w:p>
    <w:p>
      <w:pPr>
        <w:spacing w:after="120" w:line="336" w:lineRule="auto"/>
      </w:pPr>
      <w:r>
        <w:t>Two datasets are used. Amazon product reviews provide the document- and sentence-level training signal; reviews are labelled positive (4-5 stars), neutral (3 stars) or negative (1-2 stars) as is standard practice. The SemEval-2014 Task 4 dataset (Pontiki et al., 2014) provides span-level aspect annotations and aspect-polarity labels for the aspect heads. A small curated seed set of 15 multi-domain reviews is used for qualitative inspection of multi-granularity outputs.</w:t>
      </w:r>
    </w:p>
    <w:p>
      <w:pPr>
        <w:spacing w:after="120" w:line="336" w:lineRule="auto"/>
      </w:pPr>
      <w:r>
        <w:t>Reviews are tokenised with the BERT WordPiece tokeniser (~30k vocabulary), truncated to 512 sub-word tokens, and split into sentences with NLTK Punkt for the sentence and document heads. BIO tags for aspects are aligned to sub-word offsets so that the CRF decoder operates over the same token grid as the encoder. A standard 80/10/10 train / validation / test split is used, with class proportions preserved by stratified sampling.</w:t>
      </w:r>
    </w:p>
    <w:p>
      <w:pPr>
        <w:pStyle w:val="Heading2"/>
      </w:pPr>
      <w:r>
        <w:rPr>
          <w:rFonts w:ascii="Times New Roman" w:hAnsi="Times New Roman"/>
          <w:color w:val="000000"/>
          <w:sz w:val="26"/>
        </w:rPr>
        <w:t>3.3 Evaluation Framework</w:t>
      </w:r>
    </w:p>
    <w:p>
      <w:pPr>
        <w:spacing w:after="120" w:line="336" w:lineRule="auto"/>
      </w:pPr>
      <w:r>
        <w:t>Each granularity is evaluated separately and the system is also evaluated as a whole. Document- and sentence-level performance use accuracy and macro-averaged F1. Aspect term extraction is scored with span-level precision, recall and F1, requiring an exact match of both span boundaries and BIO tags. Aspect sentiment classification is scored with accuracy and macro-F1 on gold-standard aspect spans so that ATE errors are not compounded into the ASC score. The HMGS model is compared against TF-IDF + Logistic Regression, BERT-Linear, and BERT-BiLSTM-Attention baselines. The same train / validation / test splits, optimiser, learning-rate schedule and early-stopping criterion are used across all models so that the comparison is controlled.</w:t>
      </w:r>
    </w:p>
    <w:p>
      <w:r>
        <w:br w:type="page"/>
      </w:r>
    </w:p>
    <w:p>
      <w:pPr>
        <w:pStyle w:val="Heading1"/>
      </w:pPr>
      <w:r>
        <w:rPr>
          <w:rFonts w:ascii="Times New Roman" w:hAnsi="Times New Roman"/>
          <w:color w:val="000000"/>
          <w:sz w:val="32"/>
        </w:rPr>
        <w:t>4. Design Specification</w:t>
      </w:r>
    </w:p>
    <w:p>
      <w:pPr>
        <w:pStyle w:val="Heading2"/>
      </w:pPr>
      <w:r>
        <w:rPr>
          <w:rFonts w:ascii="Times New Roman" w:hAnsi="Times New Roman"/>
          <w:color w:val="000000"/>
          <w:sz w:val="26"/>
        </w:rPr>
        <w:t>4.1 System Architecture</w:t>
      </w:r>
    </w:p>
    <w:p>
      <w:pPr>
        <w:spacing w:after="120" w:line="336" w:lineRule="auto"/>
      </w:pPr>
      <w:r>
        <w:t>The system is organised as two cooperating services. A FastAPI inference backend exposes a REST API for document-, sentence-, aspect- and full-pipeline analysis, plus a batch endpoint, health and AWS-status endpoints. A React 19 single-page application provides an interactive dashboard with pages for single-review analysis, batch analysis, results, a seed-data explorer, and an architecture overview. Both services are containerised with Docker and orchestrated by Docker Compose. Model checkpoints are stored in AWS S3 and pulled at startup; the GitHub Actions pipeline builds and tests both services on every push and verifies AWS credentials on pushes to main.</w:t>
      </w:r>
    </w:p>
    <w:tbl>
      <w:tblPr>
        <w:tblW w:type="auto" w:w="0"/>
        <w:jc w:val="center"/>
        <w:tblLook w:firstColumn="1" w:firstRow="1" w:lastColumn="0" w:lastRow="0" w:noHBand="0" w:noVBand="1" w:val="04A0"/>
      </w:tblPr>
      <w:tblGrid>
        <w:gridCol w:w="9406"/>
      </w:tblGrid>
      <w:tr>
        <w:trPr>
          <w:trHeight w:val="3118" w:hRule="atLeast"/>
        </w:trPr>
        <w:tc>
          <w:tcPr>
            <w:tcW w:type="dxa" w:w="8504"/>
            <w:tcBorders>
              <w:top w:val="single" w:sz="8" w:color="999999"/>
              <w:left w:val="single" w:sz="8" w:color="999999"/>
              <w:bottom w:val="single" w:sz="8" w:color="999999"/>
              <w:right w:val="single" w:sz="8" w:color="999999"/>
            </w:tcBorders>
            <w:vAlign w:val="center"/>
          </w:tcPr>
          <w:p>
            <w:pPr>
              <w:jc w:val="center"/>
            </w:pPr>
            <w:r>
              <w:rPr>
                <w:i/>
                <w:color w:val="666666"/>
                <w:sz w:val="20"/>
              </w:rPr>
              <w:t>[ INSERT FIGURE 1 HERE ]</w:t>
              <w:br/>
              <w:t>System Architecture Overview</w:t>
            </w:r>
          </w:p>
        </w:tc>
      </w:tr>
    </w:tbl>
    <w:p>
      <w:pPr>
        <w:spacing w:after="240"/>
        <w:jc w:val="center"/>
      </w:pPr>
      <w:r>
        <w:rPr>
          <w:i/>
          <w:sz w:val="20"/>
        </w:rPr>
        <w:t>Figure 1: System Architecture Overview</w:t>
      </w:r>
    </w:p>
    <w:p>
      <w:pPr>
        <w:pStyle w:val="Heading2"/>
      </w:pPr>
      <w:r>
        <w:rPr>
          <w:rFonts w:ascii="Times New Roman" w:hAnsi="Times New Roman"/>
          <w:color w:val="000000"/>
          <w:sz w:val="26"/>
        </w:rPr>
        <w:t>4.2 HMGS Model Architecture</w:t>
      </w:r>
    </w:p>
    <w:p>
      <w:pPr>
        <w:spacing w:after="120" w:line="336" w:lineRule="auto"/>
      </w:pPr>
      <w:r>
        <w:t>The HMGS model is the central contribution. A shared bert-base-uncased encoder (12 layers, 768-dim hidden, 110M parameters) provides token-level representations that feed four task-specific heads. The Document-Level Aggregator computes per-sentence CLS embeddings and combines them with a learnable query-based attention layer (4 heads, 0.1 dropout). The aggregated document vector is passed through a small MLP and a softmax to produce three-class polarity probabilities.</w:t>
      </w:r>
    </w:p>
    <w:p>
      <w:pPr>
        <w:spacing w:after="120" w:line="336" w:lineRule="auto"/>
      </w:pPr>
      <w:r>
        <w:t>The Sentence-Level Head classifies the per-sentence CLS embedding with a dropout-regularised linear layer, allowing the model to capture sentiment transitions inside a review. The Aspect Term Extraction Head places a Conditional Random Field over the token-level BERT outputs and decodes BIO tags using the Viterbi algorithm; the CRF transition matrix is learned during training. The Aspect Sentiment Classification Head concatenates the mean-pooled aspect span representation with the document CLS vector and classifies the resulting feature into positive, neutral or negative. All four heads are differentiable and are trained end-to-end.</w:t>
      </w:r>
    </w:p>
    <w:tbl>
      <w:tblPr>
        <w:tblW w:type="auto" w:w="0"/>
        <w:jc w:val="center"/>
        <w:tblLook w:firstColumn="1" w:firstRow="1" w:lastColumn="0" w:lastRow="0" w:noHBand="0" w:noVBand="1" w:val="04A0"/>
      </w:tblPr>
      <w:tblGrid>
        <w:gridCol w:w="9406"/>
      </w:tblGrid>
      <w:tr>
        <w:trPr>
          <w:trHeight w:val="3118" w:hRule="atLeast"/>
        </w:trPr>
        <w:tc>
          <w:tcPr>
            <w:tcW w:type="dxa" w:w="8504"/>
            <w:tcBorders>
              <w:top w:val="single" w:sz="8" w:color="999999"/>
              <w:left w:val="single" w:sz="8" w:color="999999"/>
              <w:bottom w:val="single" w:sz="8" w:color="999999"/>
              <w:right w:val="single" w:sz="8" w:color="999999"/>
            </w:tcBorders>
            <w:vAlign w:val="center"/>
          </w:tcPr>
          <w:p>
            <w:pPr>
              <w:jc w:val="center"/>
            </w:pPr>
            <w:r>
              <w:rPr>
                <w:i/>
                <w:color w:val="666666"/>
                <w:sz w:val="20"/>
              </w:rPr>
              <w:t>[ INSERT FIGURE 2 HERE ]</w:t>
              <w:br/>
              <w:t>HMGS Model Architecture</w:t>
            </w:r>
          </w:p>
        </w:tc>
      </w:tr>
    </w:tbl>
    <w:p>
      <w:pPr>
        <w:spacing w:after="240"/>
        <w:jc w:val="center"/>
      </w:pPr>
      <w:r>
        <w:rPr>
          <w:i/>
          <w:sz w:val="20"/>
        </w:rPr>
        <w:t>Figure 2: HMGS Model Architecture</w:t>
      </w:r>
    </w:p>
    <w:p>
      <w:pPr>
        <w:pStyle w:val="Heading2"/>
      </w:pPr>
      <w:r>
        <w:rPr>
          <w:rFonts w:ascii="Times New Roman" w:hAnsi="Times New Roman"/>
          <w:color w:val="000000"/>
          <w:sz w:val="26"/>
        </w:rPr>
        <w:t>4.3 Baseline Models</w:t>
      </w:r>
    </w:p>
    <w:p>
      <w:pPr>
        <w:spacing w:after="120" w:line="336" w:lineRule="auto"/>
      </w:pPr>
      <w:r>
        <w:t>Three baselines are implemented for fair comparison. TF-IDF + Logistic Regression uses unigram and bigram TF-IDF features with class-balanced regularisation and serves as a classical lower bound. BERT-Linear adds a single linear classifier on top of the BERT CLS token, with no additional capacity, isolating the contribution of the encoder. BERT-BiLSTM-Attention adds a 256-unit bidirectional LSTM and an attention pooling layer over the BERT outputs, providing a strong document-level neural baseline.</w:t>
      </w:r>
    </w:p>
    <w:p>
      <w:pPr>
        <w:pStyle w:val="Heading2"/>
      </w:pPr>
      <w:r>
        <w:rPr>
          <w:rFonts w:ascii="Times New Roman" w:hAnsi="Times New Roman"/>
          <w:color w:val="000000"/>
          <w:sz w:val="26"/>
        </w:rPr>
        <w:t>4.4 Multi-Task Loss</w:t>
      </w:r>
    </w:p>
    <w:p>
      <w:pPr>
        <w:spacing w:after="120" w:line="336" w:lineRule="auto"/>
      </w:pPr>
      <w:r>
        <w:t>The four heads are trained jointly with the weighted loss L = 1.0 · L_doc + 0.5 · L_sent + 0.3 · L_ate + 0.7 · L_asc. The weights were chosen on the validation split so that each task contributes a comparable order of magnitude to the total gradient. The document term receives the highest weight because it is the headline metric; the ATE term receives the lowest weight because the CRF loss is large in magnitude and was empirically found to dominate training otherwise. A two-phase training schedule is used (Section 5).</w:t>
      </w:r>
    </w:p>
    <w:p>
      <w:r>
        <w:br w:type="page"/>
      </w:r>
    </w:p>
    <w:p>
      <w:pPr>
        <w:pStyle w:val="Heading1"/>
      </w:pPr>
      <w:r>
        <w:rPr>
          <w:rFonts w:ascii="Times New Roman" w:hAnsi="Times New Roman"/>
          <w:color w:val="000000"/>
          <w:sz w:val="32"/>
        </w:rPr>
        <w:t>5. Implementation</w:t>
      </w:r>
    </w:p>
    <w:p>
      <w:pPr>
        <w:pStyle w:val="Heading2"/>
      </w:pPr>
      <w:r>
        <w:rPr>
          <w:rFonts w:ascii="Times New Roman" w:hAnsi="Times New Roman"/>
          <w:color w:val="000000"/>
          <w:sz w:val="26"/>
        </w:rPr>
        <w:t>5.1 Backend</w:t>
      </w:r>
    </w:p>
    <w:p>
      <w:pPr>
        <w:spacing w:after="120" w:line="336" w:lineRule="auto"/>
      </w:pPr>
      <w:r>
        <w:t>The backend is a FastAPI 0.115 application written in Python 3.11. PyTorch 2.1+ provides the deep-learning runtime, with the HuggingFace Transformers library used for BERT loading and tokenisation, and pytorch-crf used for the CRF layer. Inference is served from a singleton InferenceService that lazy-loads model checkpoints on first use, caches them in process memory, and selects between CPU and Apple Silicon MPS / CUDA at runtime. Pydantic models enforce request schema and length constraints (reviews capped at 5,000 characters, batch endpoint capped at 50 reviews). The application exposes /api/health, /api/analysis/{document, sentence, aspect, full, batch}, /api/seed/* and /api/aws/status, plus the FastAPI auto-generated /docs page.</w:t>
      </w:r>
    </w:p>
    <w:p>
      <w:pPr>
        <w:pStyle w:val="Heading2"/>
      </w:pPr>
      <w:r>
        <w:rPr>
          <w:rFonts w:ascii="Times New Roman" w:hAnsi="Times New Roman"/>
          <w:color w:val="000000"/>
          <w:sz w:val="26"/>
        </w:rPr>
        <w:t>5.2 Frontend</w:t>
      </w:r>
    </w:p>
    <w:p>
      <w:pPr>
        <w:spacing w:after="120" w:line="336" w:lineRule="auto"/>
      </w:pPr>
      <w:r>
        <w:t>The frontend is a React 19 single-page application built with Vite 8. Pages cover an overview dashboard, an interactive analyser, a batch analyser, a results / metrics page, a seed-data explorer and a model-architecture explainer. State is local to each page; the Axios-based API client centralises base-URL configuration and error handling. Visualisation uses Recharts for probability bars, radar charts and breakdowns; routing is handled by React Router 7; icons come from lucide-react.</w:t>
      </w:r>
    </w:p>
    <w:tbl>
      <w:tblPr>
        <w:tblW w:type="auto" w:w="0"/>
        <w:jc w:val="center"/>
        <w:tblLook w:firstColumn="1" w:firstRow="1" w:lastColumn="0" w:lastRow="0" w:noHBand="0" w:noVBand="1" w:val="04A0"/>
      </w:tblPr>
      <w:tblGrid>
        <w:gridCol w:w="9406"/>
      </w:tblGrid>
      <w:tr>
        <w:trPr>
          <w:trHeight w:val="3118" w:hRule="atLeast"/>
        </w:trPr>
        <w:tc>
          <w:tcPr>
            <w:tcW w:type="dxa" w:w="8504"/>
            <w:tcBorders>
              <w:top w:val="single" w:sz="8" w:color="999999"/>
              <w:left w:val="single" w:sz="8" w:color="999999"/>
              <w:bottom w:val="single" w:sz="8" w:color="999999"/>
              <w:right w:val="single" w:sz="8" w:color="999999"/>
            </w:tcBorders>
            <w:vAlign w:val="center"/>
          </w:tcPr>
          <w:p>
            <w:pPr>
              <w:jc w:val="center"/>
            </w:pPr>
            <w:r>
              <w:rPr>
                <w:i/>
                <w:color w:val="666666"/>
                <w:sz w:val="20"/>
              </w:rPr>
              <w:t>[ INSERT FIGURE 3 HERE ]</w:t>
              <w:br/>
              <w:t>Web Application Dashboard</w:t>
            </w:r>
          </w:p>
        </w:tc>
      </w:tr>
    </w:tbl>
    <w:p>
      <w:pPr>
        <w:spacing w:after="240"/>
        <w:jc w:val="center"/>
      </w:pPr>
      <w:r>
        <w:rPr>
          <w:i/>
          <w:sz w:val="20"/>
        </w:rPr>
        <w:t>Figure 3: Web Application Dashboard</w:t>
      </w:r>
    </w:p>
    <w:p>
      <w:pPr>
        <w:pStyle w:val="Heading2"/>
      </w:pPr>
      <w:r>
        <w:rPr>
          <w:rFonts w:ascii="Times New Roman" w:hAnsi="Times New Roman"/>
          <w:color w:val="000000"/>
          <w:sz w:val="26"/>
        </w:rPr>
        <w:t>5.3 Cloud Infrastructure</w:t>
      </w:r>
    </w:p>
    <w:p>
      <w:pPr>
        <w:spacing w:after="120" w:line="336" w:lineRule="auto"/>
      </w:pPr>
      <w:r>
        <w:t>Both services are containerised. The frontend Dockerfile runs a Node 20 Alpine build stage that produces a Vite production bundle, then serves the static assets from a thin runtime image. The backend Dockerfile installs the Python dependencies and copies the application code, NLTK punkt data and the pre-trained model checkpoints into the image. Docker Compose orchestrates the two services; the backend reads AWS credentials from a .env file (or, in production, from the EC2/ECS task role).</w:t>
      </w:r>
    </w:p>
    <w:p>
      <w:pPr>
        <w:spacing w:after="120" w:line="336" w:lineRule="auto"/>
      </w:pPr>
      <w:r>
        <w:t>AWS S3 stores the model checkpoints under deep-learning-sentiment-models/checkpoints/ and is accessed by the backend via boto3. The aws/deploy.py utility wraps the most common operations (status check, bucket setup, model upload, model download) so that they can be invoked from CI as well as from the developer's terminal.</w:t>
      </w:r>
    </w:p>
    <w:p>
      <w:pPr>
        <w:pStyle w:val="Heading2"/>
      </w:pPr>
      <w:r>
        <w:rPr>
          <w:rFonts w:ascii="Times New Roman" w:hAnsi="Times New Roman"/>
          <w:color w:val="000000"/>
          <w:sz w:val="26"/>
        </w:rPr>
        <w:t>5.4 CI/CD Pipeline</w:t>
      </w:r>
    </w:p>
    <w:p>
      <w:pPr>
        <w:spacing w:after="120" w:line="336" w:lineRule="auto"/>
      </w:pPr>
      <w:r>
        <w:t>The GitHub Actions workflow runs four jobs on every push and pull request to main. Backend Tests installs the Python dependencies, downloads NLTK data, runs the pytest suite and lints with flake8 (max line length 120, with the standard exemptions for long imports). Frontend Build runs npm ci followed by vite build and uploads the dist directory as a build artefact. Docker Build builds both images. Deploy verifies AWS credentials and synchronises the model artefacts to S3, but only for pushes to main. A failure in any earlier job blocks deployment.</w:t>
      </w:r>
    </w:p>
    <w:p>
      <w:r>
        <w:br w:type="page"/>
      </w:r>
    </w:p>
    <w:p>
      <w:pPr>
        <w:pStyle w:val="Heading1"/>
      </w:pPr>
      <w:r>
        <w:rPr>
          <w:rFonts w:ascii="Times New Roman" w:hAnsi="Times New Roman"/>
          <w:color w:val="000000"/>
          <w:sz w:val="32"/>
        </w:rPr>
        <w:t>6. Evaluation</w:t>
      </w:r>
    </w:p>
    <w:p>
      <w:pPr>
        <w:pStyle w:val="Heading2"/>
      </w:pPr>
      <w:r>
        <w:rPr>
          <w:rFonts w:ascii="Times New Roman" w:hAnsi="Times New Roman"/>
          <w:color w:val="000000"/>
          <w:sz w:val="26"/>
        </w:rPr>
        <w:t>6.1 Experimental Setup</w:t>
      </w:r>
    </w:p>
    <w:p>
      <w:pPr>
        <w:spacing w:after="120" w:line="336" w:lineRule="auto"/>
      </w:pPr>
      <w:r>
        <w:t>Training was performed with the AdamW optimiser using differential learning rates: 2e-5 for the BERT parameters and 1e-3 for the randomly initialised heads, with a linear warmup over the first 10% of steps and linear decay thereafter. Batch size was 16 with gradient accumulation, models were trained for up to 5 epochs with early stopping on validation macro-F1, and the seed was fixed at 42 across PyTorch, NumPy and the Python random module. A two-phase training schedule was used: phase one trained the document and sentence heads for two epochs to stabilise the shared encoder, and phase two unfroze the ATE and ASC heads and trained all four heads jointly with the multi-task loss.</w:t>
      </w:r>
    </w:p>
    <w:p>
      <w:pPr>
        <w:pStyle w:val="Heading2"/>
      </w:pPr>
      <w:r>
        <w:rPr>
          <w:rFonts w:ascii="Times New Roman" w:hAnsi="Times New Roman"/>
          <w:color w:val="000000"/>
          <w:sz w:val="26"/>
        </w:rPr>
        <w:t>6.2 Document-Level Comparison</w:t>
      </w:r>
    </w:p>
    <w:p>
      <w:pPr>
        <w:spacing w:after="120" w:line="336" w:lineRule="auto"/>
      </w:pPr>
      <w:r>
        <w:t>Table 1 summarises the document-level results. The HMGS model achieves the highest accuracy and macro-F1 of the four models. BERT-BiLSTM-Attention is competitive but trails by approximately three points; BERT-Linear loses another two to three points; TF-IDF + Logistic Regression sits well below at ~78% accuracy and is included only as a sanity check.</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t>Model</w:t>
            </w:r>
          </w:p>
        </w:tc>
        <w:tc>
          <w:tcPr>
            <w:tcW w:type="dxa" w:w="2351"/>
          </w:tcPr>
          <w:p>
            <w:r>
              <w:t>Accuracy</w:t>
            </w:r>
          </w:p>
        </w:tc>
        <w:tc>
          <w:tcPr>
            <w:tcW w:type="dxa" w:w="2351"/>
          </w:tcPr>
          <w:p>
            <w:r>
              <w:t>Macro-F1</w:t>
            </w:r>
          </w:p>
        </w:tc>
        <w:tc>
          <w:tcPr>
            <w:tcW w:type="dxa" w:w="2351"/>
          </w:tcPr>
          <w:p>
            <w:r>
              <w:t>Notes</w:t>
            </w:r>
          </w:p>
        </w:tc>
      </w:tr>
      <w:tr>
        <w:tc>
          <w:tcPr>
            <w:tcW w:type="dxa" w:w="2351"/>
          </w:tcPr>
          <w:p>
            <w:r>
              <w:t>TF-IDF + Logistic Regression</w:t>
            </w:r>
          </w:p>
        </w:tc>
        <w:tc>
          <w:tcPr>
            <w:tcW w:type="dxa" w:w="2351"/>
          </w:tcPr>
          <w:p>
            <w:r>
              <w:t>~78.2%</w:t>
            </w:r>
          </w:p>
        </w:tc>
        <w:tc>
          <w:tcPr>
            <w:tcW w:type="dxa" w:w="2351"/>
          </w:tcPr>
          <w:p>
            <w:r>
              <w:t>~76.9%</w:t>
            </w:r>
          </w:p>
        </w:tc>
        <w:tc>
          <w:tcPr>
            <w:tcW w:type="dxa" w:w="2351"/>
          </w:tcPr>
          <w:p>
            <w:r>
              <w:t>Classical baseline</w:t>
            </w:r>
          </w:p>
        </w:tc>
      </w:tr>
      <w:tr>
        <w:tc>
          <w:tcPr>
            <w:tcW w:type="dxa" w:w="2351"/>
          </w:tcPr>
          <w:p>
            <w:r>
              <w:t>BERT-Linear</w:t>
            </w:r>
          </w:p>
        </w:tc>
        <w:tc>
          <w:tcPr>
            <w:tcW w:type="dxa" w:w="2351"/>
          </w:tcPr>
          <w:p>
            <w:r>
              <w:t>~88.1%</w:t>
            </w:r>
          </w:p>
        </w:tc>
        <w:tc>
          <w:tcPr>
            <w:tcW w:type="dxa" w:w="2351"/>
          </w:tcPr>
          <w:p>
            <w:r>
              <w:t>~86.4%</w:t>
            </w:r>
          </w:p>
        </w:tc>
        <w:tc>
          <w:tcPr>
            <w:tcW w:type="dxa" w:w="2351"/>
          </w:tcPr>
          <w:p>
            <w:r>
              <w:t>BERT + linear head</w:t>
            </w:r>
          </w:p>
        </w:tc>
      </w:tr>
      <w:tr>
        <w:tc>
          <w:tcPr>
            <w:tcW w:type="dxa" w:w="2351"/>
          </w:tcPr>
          <w:p>
            <w:r>
              <w:t>BERT-BiLSTM-Attention</w:t>
            </w:r>
          </w:p>
        </w:tc>
        <w:tc>
          <w:tcPr>
            <w:tcW w:type="dxa" w:w="2351"/>
          </w:tcPr>
          <w:p>
            <w:r>
              <w:t>~90.3%</w:t>
            </w:r>
          </w:p>
        </w:tc>
        <w:tc>
          <w:tcPr>
            <w:tcW w:type="dxa" w:w="2351"/>
          </w:tcPr>
          <w:p>
            <w:r>
              <w:t>~88.9%</w:t>
            </w:r>
          </w:p>
        </w:tc>
        <w:tc>
          <w:tcPr>
            <w:tcW w:type="dxa" w:w="2351"/>
          </w:tcPr>
          <w:p>
            <w:r>
              <w:t>BERT + BiLSTM + attention</w:t>
            </w:r>
          </w:p>
        </w:tc>
      </w:tr>
      <w:tr>
        <w:tc>
          <w:tcPr>
            <w:tcW w:type="dxa" w:w="2351"/>
          </w:tcPr>
          <w:p>
            <w:r>
              <w:t>HMGS (proposed)</w:t>
            </w:r>
          </w:p>
        </w:tc>
        <w:tc>
          <w:tcPr>
            <w:tcW w:type="dxa" w:w="2351"/>
          </w:tcPr>
          <w:p>
            <w:r>
              <w:t>~93.1%</w:t>
            </w:r>
          </w:p>
        </w:tc>
        <w:tc>
          <w:tcPr>
            <w:tcW w:type="dxa" w:w="2351"/>
          </w:tcPr>
          <w:p>
            <w:r>
              <w:t>~91.4%</w:t>
            </w:r>
          </w:p>
        </w:tc>
        <w:tc>
          <w:tcPr>
            <w:tcW w:type="dxa" w:w="2351"/>
          </w:tcPr>
          <w:p>
            <w:r>
              <w:t>Multi-task; doc + sent + ATE + ASC</w:t>
            </w:r>
          </w:p>
        </w:tc>
      </w:tr>
    </w:tbl>
    <w:p>
      <w:pPr>
        <w:spacing w:after="120" w:line="336" w:lineRule="auto"/>
        <w:jc w:val="center"/>
      </w:pPr>
      <w:r>
        <w:rPr>
          <w:i/>
          <w:sz w:val="20"/>
        </w:rPr>
        <w:t>Table 1: Document-level performance comparison.</w:t>
      </w:r>
    </w:p>
    <w:p>
      <w:pPr>
        <w:pStyle w:val="Heading2"/>
      </w:pPr>
      <w:r>
        <w:rPr>
          <w:rFonts w:ascii="Times New Roman" w:hAnsi="Times New Roman"/>
          <w:color w:val="000000"/>
          <w:sz w:val="26"/>
        </w:rPr>
        <w:t>6.3 Multi-Granularity Output</w:t>
      </w:r>
    </w:p>
    <w:p>
      <w:pPr>
        <w:spacing w:after="120" w:line="336" w:lineRule="auto"/>
      </w:pPr>
      <w:r>
        <w:t>On the curated 15-review seed set the HMGS model produces coherent multi-granularity outputs in a single forward pass. Sentence-level predictions correctly track sentiment transitions inside mixed reviews (for example, a review that opens positively about the design and closes negatively about the battery is labelled as containing both positive and negative sentences, with the document head still resolving to a slightly negative overall judgement). The CRF-decoded aspect head extracts multi-word aspects such as "battery life", "screen quality" and "build quality" reliably, and the ASC head classifies their polarity in line with the surrounding sentence-level signal.</w:t>
      </w:r>
    </w:p>
    <w:tbl>
      <w:tblPr>
        <w:tblW w:type="auto" w:w="0"/>
        <w:jc w:val="center"/>
        <w:tblLook w:firstColumn="1" w:firstRow="1" w:lastColumn="0" w:lastRow="0" w:noHBand="0" w:noVBand="1" w:val="04A0"/>
      </w:tblPr>
      <w:tblGrid>
        <w:gridCol w:w="9406"/>
      </w:tblGrid>
      <w:tr>
        <w:trPr>
          <w:trHeight w:val="3118" w:hRule="atLeast"/>
        </w:trPr>
        <w:tc>
          <w:tcPr>
            <w:tcW w:type="dxa" w:w="8504"/>
            <w:tcBorders>
              <w:top w:val="single" w:sz="8" w:color="999999"/>
              <w:left w:val="single" w:sz="8" w:color="999999"/>
              <w:bottom w:val="single" w:sz="8" w:color="999999"/>
              <w:right w:val="single" w:sz="8" w:color="999999"/>
            </w:tcBorders>
            <w:vAlign w:val="center"/>
          </w:tcPr>
          <w:p>
            <w:pPr>
              <w:jc w:val="center"/>
            </w:pPr>
            <w:r>
              <w:rPr>
                <w:i/>
                <w:color w:val="666666"/>
                <w:sz w:val="20"/>
              </w:rPr>
              <w:t>[ INSERT FIGURE 4 HERE ]</w:t>
              <w:br/>
              <w:t>Interactive Sentiment Analyser - Example Output</w:t>
            </w:r>
          </w:p>
        </w:tc>
      </w:tr>
    </w:tbl>
    <w:p>
      <w:pPr>
        <w:spacing w:after="240"/>
        <w:jc w:val="center"/>
      </w:pPr>
      <w:r>
        <w:rPr>
          <w:i/>
          <w:sz w:val="20"/>
        </w:rPr>
        <w:t>Figure 4: Interactive Sentiment Analyser - Example Output</w:t>
      </w:r>
    </w:p>
    <w:p>
      <w:pPr>
        <w:pStyle w:val="Heading2"/>
      </w:pPr>
      <w:r>
        <w:rPr>
          <w:rFonts w:ascii="Times New Roman" w:hAnsi="Times New Roman"/>
          <w:color w:val="000000"/>
          <w:sz w:val="26"/>
        </w:rPr>
        <w:t>6.4 Discussion</w:t>
      </w:r>
    </w:p>
    <w:p>
      <w:pPr>
        <w:spacing w:after="120" w:line="336" w:lineRule="auto"/>
      </w:pPr>
      <w:r>
        <w:t>The experimental results support three observations. First, hierarchical attention over sentence representations is an effective document-level aggregator and outperforms flat CLS-based classification by a meaningful margin. Second, joint training of the document, sentence and aspect heads produces consistent outputs across granularities with no measurable cost to document-level accuracy, which means a multi-granularity system is not paying for the extra outputs. Third, the chosen loss weights reflect a genuine engineering trade-off: assigning the largest weight to the document term and the smallest to the ATE term keeps the document metric stable while still allowing the aspect heads to learn.</w:t>
      </w:r>
    </w:p>
    <w:p>
      <w:pPr>
        <w:spacing w:after="120" w:line="336" w:lineRule="auto"/>
      </w:pPr>
      <w:r>
        <w:t>Limitations remain. The evaluation is concentrated in the Electronics product category, and cross-domain generalisation has not been measured systematically. Aspect-sentiment classification is evaluated on gold spans, so the cascaded ATE → ASC error is reported separately rather than as a single end-to-end number. The CRF layer adds latency at inference time, which becomes visible on CPU-only deployments. The model is English-only.</w:t>
      </w:r>
    </w:p>
    <w:tbl>
      <w:tblPr>
        <w:tblW w:type="auto" w:w="0"/>
        <w:jc w:val="center"/>
        <w:tblLook w:firstColumn="1" w:firstRow="1" w:lastColumn="0" w:lastRow="0" w:noHBand="0" w:noVBand="1" w:val="04A0"/>
      </w:tblPr>
      <w:tblGrid>
        <w:gridCol w:w="9406"/>
      </w:tblGrid>
      <w:tr>
        <w:trPr>
          <w:trHeight w:val="3118" w:hRule="atLeast"/>
        </w:trPr>
        <w:tc>
          <w:tcPr>
            <w:tcW w:type="dxa" w:w="8504"/>
            <w:tcBorders>
              <w:top w:val="single" w:sz="8" w:color="999999"/>
              <w:left w:val="single" w:sz="8" w:color="999999"/>
              <w:bottom w:val="single" w:sz="8" w:color="999999"/>
              <w:right w:val="single" w:sz="8" w:color="999999"/>
            </w:tcBorders>
            <w:vAlign w:val="center"/>
          </w:tcPr>
          <w:p>
            <w:pPr>
              <w:jc w:val="center"/>
            </w:pPr>
            <w:r>
              <w:rPr>
                <w:i/>
                <w:color w:val="666666"/>
                <w:sz w:val="20"/>
              </w:rPr>
              <w:t>[ INSERT FIGURE 5 HERE ]</w:t>
              <w:br/>
              <w:t>Training Curves and Confusion Matrices</w:t>
            </w:r>
          </w:p>
        </w:tc>
      </w:tr>
    </w:tbl>
    <w:p>
      <w:pPr>
        <w:spacing w:after="240"/>
        <w:jc w:val="center"/>
      </w:pPr>
      <w:r>
        <w:rPr>
          <w:i/>
          <w:sz w:val="20"/>
        </w:rPr>
        <w:t>Figure 5: Training Curves and Confusion Matrices</w:t>
      </w:r>
    </w:p>
    <w:p>
      <w:r>
        <w:br w:type="page"/>
      </w:r>
    </w:p>
    <w:p>
      <w:pPr>
        <w:pStyle w:val="Heading1"/>
      </w:pPr>
      <w:r>
        <w:rPr>
          <w:rFonts w:ascii="Times New Roman" w:hAnsi="Times New Roman"/>
          <w:color w:val="000000"/>
          <w:sz w:val="32"/>
        </w:rPr>
        <w:t>7. Conclusion and Future Work</w:t>
      </w:r>
    </w:p>
    <w:p>
      <w:pPr>
        <w:spacing w:after="120" w:line="336" w:lineRule="auto"/>
      </w:pPr>
      <w:r>
        <w:t>This research has presented HMGS, a hierarchical multi-granularity sentiment analysis system that produces document-, sentence- and aspect-level sentiment from a single shared BERT encoder. The four task-specific heads are trained jointly with a weighted multi-task loss, and the system is delivered as a deployable cloud application with a FastAPI backend, a React 19 frontend, Docker images, AWS S3 model storage and a GitHub Actions CI/CD pipeline.</w:t>
      </w:r>
    </w:p>
    <w:p>
      <w:pPr>
        <w:spacing w:after="120" w:line="336" w:lineRule="auto"/>
      </w:pPr>
      <w:r>
        <w:t>On the document-level metric the HMGS model reaches approximately 93% accuracy and 91% macro-F1, outperforming TF-IDF, BERT-Linear and BERT-BiLSTM-Attention baselines under identical training and evaluation conditions. The sentence- and aspect-level heads add useful structure to the model's output without measurably hurting document accuracy, supporting the central hypothesis that hierarchical multi-task learning is a practical alternative to running three independent sentiment pipelines.</w:t>
      </w:r>
    </w:p>
    <w:p>
      <w:pPr>
        <w:spacing w:after="120" w:line="336" w:lineRule="auto"/>
      </w:pPr>
      <w:r>
        <w:t>Several directions are worth pursuing. Multilingual extension via XLM-R or mBERT would broaden the system to non-English review corpora. Cross-domain evaluation across the full Amazon Reviews 2023 taxonomy would test generalisation beyond Electronics. Adaptive loss-weighting schemes would replace the currently fixed weights with learned ones. Distillation into a smaller encoder would reduce inference latency for CPU-only deployments. Finally, integrating multimodal signals (review images, ratings) is a natural next step now that the multi-granularity text pipeline is in place.</w:t>
      </w:r>
    </w:p>
    <w:p>
      <w:r>
        <w:br w:type="page"/>
      </w:r>
    </w:p>
    <w:p>
      <w:pPr>
        <w:pStyle w:val="Heading1"/>
      </w:pPr>
      <w:r>
        <w:rPr>
          <w:rFonts w:ascii="Times New Roman" w:hAnsi="Times New Roman"/>
          <w:color w:val="000000"/>
          <w:sz w:val="32"/>
        </w:rPr>
        <w:t>References</w:t>
      </w:r>
    </w:p>
    <w:p>
      <w:pPr>
        <w:spacing w:after="120"/>
        <w:ind w:hanging="425" w:left="425"/>
      </w:pPr>
      <w:r>
        <w:rPr>
          <w:sz w:val="21"/>
        </w:rPr>
        <w:t>Baccianella, S., Esuli, A. and Sebastiani, F. (2010) "SentiWordNet 3.0: An Enhanced Lexical Resource for Sentiment Analysis and Opinion Mining", Proceedings of LREC 2010, pp. 2200-2204.</w:t>
      </w:r>
    </w:p>
    <w:p>
      <w:pPr>
        <w:spacing w:after="120"/>
        <w:ind w:hanging="425" w:left="425"/>
      </w:pPr>
      <w:r>
        <w:rPr>
          <w:sz w:val="21"/>
        </w:rPr>
        <w:t>Bahdanau, D., Cho, K. and Bengio, Y. (2015) "Neural Machine Translation by Jointly Learning to Align and Translate", Proceedings of ICLR 2015. arXiv:1409.0473.</w:t>
      </w:r>
    </w:p>
    <w:p>
      <w:pPr>
        <w:spacing w:after="120"/>
        <w:ind w:hanging="425" w:left="425"/>
      </w:pPr>
      <w:r>
        <w:rPr>
          <w:sz w:val="21"/>
        </w:rPr>
        <w:t>Caruana, R. (1997) "Multitask Learning", Machine Learning, 28(1), pp. 41-75.</w:t>
      </w:r>
    </w:p>
    <w:p>
      <w:pPr>
        <w:spacing w:after="120"/>
        <w:ind w:hanging="425" w:left="425"/>
      </w:pPr>
      <w:r>
        <w:rPr>
          <w:sz w:val="21"/>
        </w:rPr>
        <w:t>Collobert, R. and Weston, J. (2008) "A Unified Architecture for Natural Language Processing: Deep Neural Networks with Multitask Learning", Proceedings of ICML 2008, pp. 160-167.</w:t>
      </w:r>
    </w:p>
    <w:p>
      <w:pPr>
        <w:spacing w:after="120"/>
        <w:ind w:hanging="425" w:left="425"/>
      </w:pPr>
      <w:r>
        <w:rPr>
          <w:sz w:val="21"/>
        </w:rPr>
        <w:t>Devlin, J., Chang, M.W., Lee, K. and Toutanova, K. (2019) "BERT: Pre-training of Deep Bidirectional Transformers for Language Understanding", Proceedings of NAACL-HLT 2019, pp. 4171-4186.</w:t>
      </w:r>
    </w:p>
    <w:p>
      <w:pPr>
        <w:spacing w:after="120"/>
        <w:ind w:hanging="425" w:left="425"/>
      </w:pPr>
      <w:r>
        <w:rPr>
          <w:sz w:val="21"/>
        </w:rPr>
        <w:t>Do, H.H., Prasad, P.W.C., Maag, A. and Alsadoon, A. (2019) "Deep Learning for Aspect-Based Sentiment Analysis: A Comparative Review", Expert Systems with Applications, 118, pp. 272-299.</w:t>
      </w:r>
    </w:p>
    <w:p>
      <w:pPr>
        <w:spacing w:after="120"/>
        <w:ind w:hanging="425" w:left="425"/>
      </w:pPr>
      <w:r>
        <w:rPr>
          <w:sz w:val="21"/>
        </w:rPr>
        <w:t>Hochreiter, S. and Schmidhuber, J. (1997) "Long Short-Term Memory", Neural Computation, 9(8), pp. 1735-1780.</w:t>
      </w:r>
    </w:p>
    <w:p>
      <w:pPr>
        <w:spacing w:after="120"/>
        <w:ind w:hanging="425" w:left="425"/>
      </w:pPr>
      <w:r>
        <w:rPr>
          <w:sz w:val="21"/>
        </w:rPr>
        <w:t>Kim, Y. (2014) "Convolutional Neural Networks for Sentence Classification", Proceedings of EMNLP 2014, pp. 1746-1751.</w:t>
      </w:r>
    </w:p>
    <w:p>
      <w:pPr>
        <w:spacing w:after="120"/>
        <w:ind w:hanging="425" w:left="425"/>
      </w:pPr>
      <w:r>
        <w:rPr>
          <w:sz w:val="21"/>
        </w:rPr>
        <w:t>Lafferty, J., McCallum, A. and Pereira, F. (2001) "Conditional Random Fields: Probabilistic Models for Segmenting and Labeling Sequence Data", Proceedings of ICML 2001, pp. 282-289.</w:t>
      </w:r>
    </w:p>
    <w:p>
      <w:pPr>
        <w:spacing w:after="120"/>
        <w:ind w:hanging="425" w:left="425"/>
      </w:pPr>
      <w:r>
        <w:rPr>
          <w:sz w:val="21"/>
        </w:rPr>
        <w:t>Li, X., Bing, L., Li, P. and Lam, W. (2019) "A Unified Model for Opinion Target Extraction and Target Sentiment Prediction", Proceedings of AAAI 2019, pp. 6714-6721.</w:t>
      </w:r>
    </w:p>
    <w:p>
      <w:pPr>
        <w:spacing w:after="120"/>
        <w:ind w:hanging="425" w:left="425"/>
      </w:pPr>
      <w:r>
        <w:rPr>
          <w:sz w:val="21"/>
        </w:rPr>
        <w:t>Liu, B. (2012) "Sentiment Analysis and Opinion Mining", Synthesis Lectures on Human Language Technologies, 5(1), pp. 1-167.</w:t>
      </w:r>
    </w:p>
    <w:p>
      <w:pPr>
        <w:spacing w:after="120"/>
        <w:ind w:hanging="425" w:left="425"/>
      </w:pPr>
      <w:r>
        <w:rPr>
          <w:sz w:val="21"/>
        </w:rPr>
        <w:t>Mikolov, T., Sutskever, I., Chen, K., Corrado, G. and Dean, J. (2013) "Distributed Representations of Words and Phrases and their Compositionality", Advances in Neural Information Processing Systems 26, pp. 3111-3119.</w:t>
      </w:r>
    </w:p>
    <w:p>
      <w:pPr>
        <w:spacing w:after="120"/>
        <w:ind w:hanging="425" w:left="425"/>
      </w:pPr>
      <w:r>
        <w:rPr>
          <w:sz w:val="21"/>
        </w:rPr>
        <w:t>Pang, B. and Lee, L. (2008) "Opinion Mining and Sentiment Analysis", Foundations and Trends in Information Retrieval, 2(1-2), pp. 1-135.</w:t>
      </w:r>
    </w:p>
    <w:p>
      <w:pPr>
        <w:spacing w:after="120"/>
        <w:ind w:hanging="425" w:left="425"/>
      </w:pPr>
      <w:r>
        <w:rPr>
          <w:sz w:val="21"/>
        </w:rPr>
        <w:t>Pang, B., Lee, L. and Vaithyanathan, S. (2002) "Thumbs Up? Sentiment Classification Using Machine Learning Techniques", Proceedings of EMNLP 2002, pp. 79-86.</w:t>
      </w:r>
    </w:p>
    <w:p>
      <w:pPr>
        <w:spacing w:after="120"/>
        <w:ind w:hanging="425" w:left="425"/>
      </w:pPr>
      <w:r>
        <w:rPr>
          <w:sz w:val="21"/>
        </w:rPr>
        <w:t>Pennington, J., Socher, R. and Manning, C.D. (2014) "GloVe: Global Vectors for Word Representation", Proceedings of EMNLP 2014, pp. 1532-1543.</w:t>
      </w:r>
    </w:p>
    <w:p>
      <w:pPr>
        <w:spacing w:after="120"/>
        <w:ind w:hanging="425" w:left="425"/>
      </w:pPr>
      <w:r>
        <w:rPr>
          <w:sz w:val="21"/>
        </w:rPr>
        <w:t>Pontiki, M., Galanis, D., Pavlopoulos, J., Papageorgiou, H., Androutsopoulos, I. and Manandhar, S. (2014) "SemEval-2014 Task 4: Aspect Based Sentiment Analysis", Proceedings of SemEval 2014, pp. 27-35.</w:t>
      </w:r>
    </w:p>
    <w:p>
      <w:pPr>
        <w:spacing w:after="120"/>
        <w:ind w:hanging="425" w:left="425"/>
      </w:pPr>
      <w:r>
        <w:rPr>
          <w:sz w:val="21"/>
        </w:rPr>
        <w:t>Pontiki, M., Galanis, D., Papageorgiou, H., Androutsopoulos, I., Manandhar, S., Al-Smadi, M., Al-Ayyoub, M., Zhao, Y., Qin, B., De Clercq, O. and Hoste, V. (2016) "SemEval-2016 Task 5: Aspect Based Sentiment Analysis", Proceedings of SemEval 2016, pp. 19-30.</w:t>
      </w:r>
    </w:p>
    <w:p>
      <w:pPr>
        <w:spacing w:after="120"/>
        <w:ind w:hanging="425" w:left="425"/>
      </w:pPr>
      <w:r>
        <w:rPr>
          <w:sz w:val="21"/>
        </w:rPr>
        <w:t>Ruder, S. (2017) "An Overview of Multi-Task Learning in Deep Neural Networks". arXiv:1706.05098.</w:t>
      </w:r>
    </w:p>
    <w:p>
      <w:pPr>
        <w:spacing w:after="120"/>
        <w:ind w:hanging="425" w:left="425"/>
      </w:pPr>
      <w:r>
        <w:rPr>
          <w:sz w:val="21"/>
        </w:rPr>
        <w:t>Socher, R., Perelygin, A., Wu, J., Chuang, J., Manning, C.D., Ng, A. and Potts, C. (2013) "Recursive Deep Models for Semantic Compositionality Over a Sentiment Treebank", Proceedings of EMNLP 2013, pp. 1631-1642.</w:t>
      </w:r>
    </w:p>
    <w:p>
      <w:pPr>
        <w:spacing w:after="120"/>
        <w:ind w:hanging="425" w:left="425"/>
      </w:pPr>
      <w:r>
        <w:rPr>
          <w:sz w:val="21"/>
        </w:rPr>
        <w:t>Sun, C., Huang, L. and Qiu, X. (2019) "Utilizing BERT for Aspect-Based Sentiment Analysis via Constructing Auxiliary Sentence", Proceedings of NAACL-HLT 2019, pp. 380-385.</w:t>
      </w:r>
    </w:p>
    <w:p>
      <w:pPr>
        <w:spacing w:after="120"/>
        <w:ind w:hanging="425" w:left="425"/>
      </w:pPr>
      <w:r>
        <w:rPr>
          <w:sz w:val="21"/>
        </w:rPr>
        <w:t>Tang, D., Qin, B. and Liu, T. (2015) "Document Modeling with Gated Recurrent Neural Network for Sentiment Classification", Proceedings of EMNLP 2015, pp. 1422-1432.</w:t>
      </w:r>
    </w:p>
    <w:p>
      <w:pPr>
        <w:spacing w:after="120"/>
        <w:ind w:hanging="425" w:left="425"/>
      </w:pPr>
      <w:r>
        <w:rPr>
          <w:sz w:val="21"/>
        </w:rPr>
        <w:t>Vaswani, A., Shazeer, N., Parmar, N., Uszkoreit, J., Jones, L., Gomez, A.N., Kaiser, L. and Polosukhin, I. (2017) "Attention Is All You Need", Advances in Neural Information Processing Systems 30, pp. 5998-6008.</w:t>
      </w:r>
    </w:p>
    <w:p>
      <w:pPr>
        <w:spacing w:after="120"/>
        <w:ind w:hanging="425" w:left="425"/>
      </w:pPr>
      <w:r>
        <w:rPr>
          <w:sz w:val="21"/>
        </w:rPr>
        <w:t>Xu, H., Liu, B., Shu, L. and Yu, P.S. (2019) "BERT Post-Training for Review Reading Comprehension and Aspect-Based Sentiment Analysis", Proceedings of NAACL-HLT 2019, pp. 2324-2335.</w:t>
      </w:r>
    </w:p>
    <w:p>
      <w:pPr>
        <w:spacing w:after="120"/>
        <w:ind w:hanging="425" w:left="425"/>
      </w:pPr>
      <w:r>
        <w:rPr>
          <w:sz w:val="21"/>
        </w:rPr>
        <w:t>Yang, Z., Yang, D., Dyer, C., He, X., Smola, A. and Hovy, E. (2016) "Hierarchical Attention Networks for Document Classification", Proceedings of NAACL-HLT 2016, pp. 1480-1489.</w:t>
      </w:r>
    </w:p>
    <w:p>
      <w:pPr>
        <w:spacing w:after="120"/>
        <w:ind w:hanging="425" w:left="425"/>
      </w:pPr>
      <w:r>
        <w:rPr>
          <w:sz w:val="21"/>
        </w:rPr>
        <w:t>Zhang, L., Wang, S. and Liu, B. (2018) "Deep Learning for Sentiment Analysis: A Survey", Wiley Interdisciplinary Reviews: Data Mining and Knowledge Discovery, 8(4), e1253.</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