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saasmetrics.ai</w:t>
      </w:r>
    </w:p>
    <w:p>
      <w:pPr>
        <w:jc w:val="center"/>
      </w:pPr>
      <w:r>
        <w:rPr>
          <w:color w:val="2E5FA3"/>
          <w:sz w:val="28"/>
        </w:rPr>
        <w:t>GTM Budget &amp; Headcount Plan — FY2025</w:t>
      </w:r>
    </w:p>
    <w:p>
      <w:pPr>
        <w:jc w:val="center"/>
      </w:pPr>
      <w:r>
        <w:rPr>
          <w:color w:val="888888"/>
          <w:sz w:val="20"/>
        </w:rPr>
        <w:t>Finance &amp; RevOps  |  Planning Cycle: Oct 2024  |  CONFIDENTIAL</w:t>
      </w:r>
    </w:p>
    <w:p/>
    <w:p>
      <w:pPr>
        <w:pStyle w:val="Heading1"/>
      </w:pPr>
      <w:r>
        <w:rPr>
          <w:color w:val="1F3864"/>
        </w:rPr>
        <w:t>FY2025 GTM Revenue Targets</w:t>
      </w:r>
    </w:p>
    <w:p>
      <w:r>
        <w:t>Targets are set against Q4 FY2024 exit ARR of $2.31M. FY2025 plan assumes $1.8M net new ARR to reach $4.1M total ARR by December 2025 — a 77% year-over-year growth target.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584"/>
          </w:tcPr>
          <w:p>
            <w:r>
              <w:rPr>
                <w:b/>
                <w:color w:val="FFFFFF"/>
                <w:sz w:val="18"/>
              </w:rPr>
              <w:t>FY2024 Exit ARR</w:t>
            </w:r>
          </w:p>
        </w:tc>
        <w:tc>
          <w:tcPr>
            <w:tcW w:type="dxa" w:w="1584"/>
          </w:tcPr>
          <w:p>
            <w:r>
              <w:rPr>
                <w:b/>
                <w:color w:val="FFFFFF"/>
                <w:sz w:val="18"/>
              </w:rPr>
              <w:t>FY2025 Target ARR</w:t>
            </w:r>
          </w:p>
        </w:tc>
        <w:tc>
          <w:tcPr>
            <w:tcW w:type="dxa" w:w="1584"/>
          </w:tcPr>
          <w:p>
            <w:r>
              <w:rPr>
                <w:b/>
                <w:color w:val="FFFFFF"/>
                <w:sz w:val="18"/>
              </w:rPr>
              <w:t>Net New ARR Target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18"/>
              </w:rPr>
              <w:t>Key Assumption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$1.38M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$2.60M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$1.22M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new logos + Meridian retention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Mid-Market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$0.69M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$1.10M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$0.41M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new logos, 5% churn max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SMB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$0.24M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$0.40M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$0.16M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Self-serve motion launch Q2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$2.31M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$4.10M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$1.79M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77% YoY growth</w:t>
            </w:r>
          </w:p>
        </w:tc>
      </w:tr>
    </w:tbl>
    <w:p/>
    <w:p>
      <w:pPr>
        <w:pStyle w:val="Heading1"/>
      </w:pPr>
      <w:r>
        <w:rPr>
          <w:color w:val="1F3864"/>
        </w:rPr>
        <w:t>Sales Headcount Plan</w:t>
      </w:r>
    </w:p>
    <w:p>
      <w:r>
        <w:t>Plan reflects 3 new AE hires in H1 FY2025 plus 2 SDR hires in Q1. CS team grows by 2 CSMs in Q2 to support customer base expansion.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152"/>
          </w:tcPr>
          <w:p>
            <w:r>
              <w:rPr>
                <w:b/>
                <w:color w:val="FFFFFF"/>
                <w:sz w:val="18"/>
              </w:rPr>
              <w:t>Current HC</w:t>
            </w:r>
          </w:p>
        </w:tc>
        <w:tc>
          <w:tcPr>
            <w:tcW w:type="dxa" w:w="1008"/>
          </w:tcPr>
          <w:p>
            <w:r>
              <w:rPr>
                <w:b/>
                <w:color w:val="FFFFFF"/>
                <w:sz w:val="18"/>
              </w:rPr>
              <w:t>H1 Hires</w:t>
            </w:r>
          </w:p>
        </w:tc>
        <w:tc>
          <w:tcPr>
            <w:tcW w:type="dxa" w:w="1008"/>
          </w:tcPr>
          <w:p>
            <w:r>
              <w:rPr>
                <w:b/>
                <w:color w:val="FFFFFF"/>
                <w:sz w:val="18"/>
              </w:rPr>
              <w:t>H2 Hires</w:t>
            </w:r>
          </w:p>
        </w:tc>
        <w:tc>
          <w:tcPr>
            <w:tcW w:type="dxa" w:w="1008"/>
          </w:tcPr>
          <w:p>
            <w:r>
              <w:rPr>
                <w:b/>
                <w:color w:val="FFFFFF"/>
                <w:sz w:val="18"/>
              </w:rPr>
              <w:t>EOY HC</w:t>
            </w:r>
          </w:p>
        </w:tc>
        <w:tc>
          <w:tcPr>
            <w:tcW w:type="dxa" w:w="1152"/>
          </w:tcPr>
          <w:p>
            <w:r>
              <w:rPr>
                <w:b/>
                <w:color w:val="FFFFFF"/>
                <w:sz w:val="18"/>
              </w:rPr>
              <w:t>OTE ($)</w:t>
            </w:r>
          </w:p>
        </w:tc>
        <w:tc>
          <w:tcPr>
            <w:tcW w:type="dxa" w:w="1296"/>
          </w:tcPr>
          <w:p>
            <w:r>
              <w:rPr>
                <w:b/>
                <w:color w:val="FFFFFF"/>
                <w:sz w:val="18"/>
              </w:rPr>
              <w:t>Total Cost ($)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Enterprise AE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$280K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$1.12M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Mid-Market AE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$200K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$600K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SMB AE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$150K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$300K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SDR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$80K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$320K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CSM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$130K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$520K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SE / Solutions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$180K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$360K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RevOps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$140K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$140K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$3.34M</w:t>
            </w:r>
          </w:p>
        </w:tc>
      </w:tr>
    </w:tbl>
    <w:p/>
    <w:p>
      <w:pPr>
        <w:pStyle w:val="Heading1"/>
      </w:pPr>
      <w:r>
        <w:rPr>
          <w:color w:val="1F3864"/>
        </w:rPr>
        <w:t>Marketing Budget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  <w:sz w:val="18"/>
              </w:rPr>
              <w:t>FY2024 Budget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  <w:sz w:val="18"/>
              </w:rPr>
              <w:t>FY2025 Budget</w:t>
            </w:r>
          </w:p>
        </w:tc>
        <w:tc>
          <w:tcPr>
            <w:tcW w:type="dxa" w:w="1008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312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Demand Gen (Digital)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$180K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$320K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+78%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Scale paid + SEO for inbound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Field Events / Sponsorships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$95K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$140K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+47%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RSA, Black Hat, FS-ISAC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 &amp; Analyst Relations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$60K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$100K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+67%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Gartner MQ, Forrester Wave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Partner / Channel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$40K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$80K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+100%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New MSSPs program launch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Brand / Creative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$45K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$60K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+33%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Refresh brand for Series 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$420K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$700K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+67%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3864"/>
        </w:rPr>
        <w:t>Key FY2025 Assumptions &amp; Risks</w:t>
      </w:r>
    </w:p>
    <w:p>
      <w:r>
        <w:rPr>
          <w:b/>
          <w:sz w:val="20"/>
        </w:rPr>
        <w:t xml:space="preserve">ARR assumption: </w:t>
      </w:r>
      <w:r>
        <w:rPr>
          <w:sz w:val="20"/>
        </w:rPr>
        <w:t>Meridian Trading ($540K, 24% of ARR) renews at $459K (15% discount, 2-year). If churn, target missed by $540K — full year impact.</w:t>
      </w:r>
    </w:p>
    <w:p>
      <w:r>
        <w:rPr>
          <w:b/>
          <w:sz w:val="20"/>
        </w:rPr>
        <w:t xml:space="preserve">Headcount timing: </w:t>
      </w:r>
      <w:r>
        <w:rPr>
          <w:sz w:val="20"/>
        </w:rPr>
        <w:t>3 AE hires must be onboarded by Q1 end for full-year quota contribution. Ramp time assumed 90 days.</w:t>
      </w:r>
    </w:p>
    <w:p>
      <w:r>
        <w:rPr>
          <w:b/>
          <w:sz w:val="20"/>
        </w:rPr>
        <w:t xml:space="preserve">Series B close: </w:t>
      </w:r>
      <w:r>
        <w:rPr>
          <w:sz w:val="20"/>
        </w:rPr>
        <w:t>Assumes $12M Series B closes November 2024 (pre-money $48M). Budget is contingent on close.</w:t>
      </w:r>
    </w:p>
    <w:p>
      <w:r>
        <w:rPr>
          <w:b/>
          <w:sz w:val="20"/>
        </w:rPr>
        <w:t xml:space="preserve">SMB motion: </w:t>
      </w:r>
      <w:r>
        <w:rPr>
          <w:sz w:val="20"/>
        </w:rPr>
        <w:t>Self-serve product launch assumed Q2. If delayed, SMB target is at risk ($160K net new ARR).</w:t>
      </w:r>
    </w:p>
    <w:p>
      <w:r>
        <w:rPr>
          <w:b/>
          <w:sz w:val="20"/>
        </w:rPr>
        <w:t xml:space="preserve">Competition: </w:t>
      </w:r>
      <w:r>
        <w:rPr>
          <w:sz w:val="20"/>
        </w:rPr>
        <w:t>CrowdStrike mid-market push could pressure win rates. Battlecard refresh scheduled Q1.</w:t>
      </w:r>
    </w:p>
    <w:p>
      <w:r>
        <w:rPr>
          <w:b/>
          <w:sz w:val="20"/>
        </w:rPr>
        <w:t xml:space="preserve">Churn cap: </w:t>
      </w:r>
      <w:r>
        <w:rPr>
          <w:sz w:val="20"/>
        </w:rPr>
        <w:t>Total churn capped at $180K in the plan. Meridian save is the single biggest risk to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