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7365D"/>
          <w:sz w:val="60"/>
        </w:rPr>
        <w:t>GitHub Enterprise Billing Reporting</w:t>
        <w:br/>
        <w:t>and Project-Team Chargeback</w:t>
      </w:r>
    </w:p>
    <w:p>
      <w:pPr>
        <w:jc w:val="center"/>
      </w:pPr>
      <w:r>
        <w:rPr>
          <w:color w:val="008C95"/>
          <w:sz w:val="30"/>
        </w:rPr>
        <w:t>Detailed research report for the NET and DIRECT operating model</w:t>
      </w:r>
    </w:p>
    <w:tbl>
      <w:tblPr>
        <w:tblW w:type="auto" w:w="0"/>
        <w:jc w:val="center"/>
        <w:tblLook w:firstColumn="1" w:firstRow="1" w:lastColumn="0" w:lastRow="0" w:noHBand="0" w:noVBand="1" w:val="04A0"/>
      </w:tblPr>
      <w:tblGrid>
        <w:gridCol w:w="5112"/>
        <w:gridCol w:w="5112"/>
      </w:tblGrid>
      <w:tr>
        <w:tc>
          <w:tcPr>
            <w:tcW w:type="dxa" w:w="2232"/>
            <w:shd w:fill="17365D"/>
            <w:tcMar>
              <w:top w:w="100" w:type="dxa"/>
              <w:start w:w="120" w:type="dxa"/>
              <w:bottom w:w="100" w:type="dxa"/>
              <w:end w:w="120" w:type="dxa"/>
            </w:tcMar>
          </w:tcPr>
          <w:p>
            <w:r>
              <w:rPr>
                <w:b/>
                <w:color w:val="FFFFFF"/>
              </w:rPr>
              <w:t>Environment</w:t>
            </w:r>
          </w:p>
        </w:tc>
        <w:tc>
          <w:tcPr>
            <w:tcW w:type="dxa" w:w="6480"/>
            <w:shd w:fill="D9EAF7"/>
            <w:tcMar>
              <w:top w:w="100" w:type="dxa"/>
              <w:start w:w="120" w:type="dxa"/>
              <w:bottom w:w="100" w:type="dxa"/>
              <w:end w:w="120" w:type="dxa"/>
            </w:tcMar>
          </w:tcPr>
          <w:p>
            <w:r>
              <w:t>GitHub Enterprise Cloud POC</w:t>
            </w:r>
          </w:p>
        </w:tc>
      </w:tr>
      <w:tr>
        <w:tc>
          <w:tcPr>
            <w:tcW w:type="dxa" w:w="2232"/>
            <w:shd w:fill="17365D"/>
            <w:tcMar>
              <w:top w:w="100" w:type="dxa"/>
              <w:start w:w="120" w:type="dxa"/>
              <w:bottom w:w="100" w:type="dxa"/>
              <w:end w:w="120" w:type="dxa"/>
            </w:tcMar>
          </w:tcPr>
          <w:p>
            <w:r>
              <w:rPr>
                <w:b/>
                <w:color w:val="FFFFFF"/>
              </w:rPr>
              <w:t>Structure</w:t>
            </w:r>
          </w:p>
        </w:tc>
        <w:tc>
          <w:tcPr>
            <w:tcW w:type="dxa" w:w="6480"/>
            <w:shd w:fill="D9EAF7"/>
            <w:tcMar>
              <w:top w:w="100" w:type="dxa"/>
              <w:start w:w="120" w:type="dxa"/>
              <w:bottom w:w="100" w:type="dxa"/>
              <w:end w:w="120" w:type="dxa"/>
            </w:tcMar>
          </w:tcPr>
          <w:p>
            <w:r>
              <w:t>1 enterprise, NET and DIRECT organisations</w:t>
            </w:r>
          </w:p>
        </w:tc>
      </w:tr>
      <w:tr>
        <w:tc>
          <w:tcPr>
            <w:tcW w:type="dxa" w:w="2232"/>
            <w:shd w:fill="17365D"/>
            <w:tcMar>
              <w:top w:w="100" w:type="dxa"/>
              <w:start w:w="120" w:type="dxa"/>
              <w:bottom w:w="100" w:type="dxa"/>
              <w:end w:w="120" w:type="dxa"/>
            </w:tcMar>
          </w:tcPr>
          <w:p>
            <w:r>
              <w:rPr>
                <w:b/>
                <w:color w:val="FFFFFF"/>
              </w:rPr>
              <w:t>Identity</w:t>
            </w:r>
          </w:p>
        </w:tc>
        <w:tc>
          <w:tcPr>
            <w:tcW w:type="dxa" w:w="6480"/>
            <w:shd w:fill="D9EAF7"/>
            <w:tcMar>
              <w:top w:w="100" w:type="dxa"/>
              <w:start w:w="120" w:type="dxa"/>
              <w:bottom w:w="100" w:type="dxa"/>
              <w:end w:w="120" w:type="dxa"/>
            </w:tcMar>
          </w:tcPr>
          <w:p>
            <w:r>
              <w:t>Okta / Azure Active Directory</w:t>
            </w:r>
          </w:p>
        </w:tc>
      </w:tr>
      <w:tr>
        <w:tc>
          <w:tcPr>
            <w:tcW w:type="dxa" w:w="2232"/>
            <w:shd w:fill="17365D"/>
            <w:tcMar>
              <w:top w:w="100" w:type="dxa"/>
              <w:start w:w="120" w:type="dxa"/>
              <w:bottom w:w="100" w:type="dxa"/>
              <w:end w:w="120" w:type="dxa"/>
            </w:tcMar>
          </w:tcPr>
          <w:p>
            <w:r>
              <w:rPr>
                <w:b/>
                <w:color w:val="FFFFFF"/>
              </w:rPr>
              <w:t>Prepared</w:t>
            </w:r>
          </w:p>
        </w:tc>
        <w:tc>
          <w:tcPr>
            <w:tcW w:type="dxa" w:w="6480"/>
            <w:shd w:fill="D9EAF7"/>
            <w:tcMar>
              <w:top w:w="100" w:type="dxa"/>
              <w:start w:w="120" w:type="dxa"/>
              <w:bottom w:w="100" w:type="dxa"/>
              <w:end w:w="120" w:type="dxa"/>
            </w:tcMar>
          </w:tcPr>
          <w:p>
            <w:r>
              <w:t>9 September 2026</w:t>
            </w:r>
          </w:p>
        </w:tc>
      </w:tr>
    </w:tbl>
    <w:p/>
    <w:tbl>
      <w:tblPr>
        <w:tblW w:type="auto" w:w="0"/>
        <w:jc w:val="center"/>
        <w:tblLook w:firstColumn="1" w:firstRow="1" w:lastColumn="0" w:lastRow="0" w:noHBand="0" w:noVBand="1" w:val="04A0"/>
      </w:tblPr>
      <w:tblGrid>
        <w:gridCol w:w="10224"/>
      </w:tblGrid>
      <w:tr>
        <w:tc>
          <w:tcPr>
            <w:tcW w:type="dxa" w:w="10224"/>
            <w:shd w:fill="FCE4D6"/>
            <w:tcMar>
              <w:top w:w="110" w:type="dxa"/>
              <w:start w:w="130" w:type="dxa"/>
              <w:bottom w:w="110" w:type="dxa"/>
              <w:end w:w="130" w:type="dxa"/>
            </w:tcMar>
          </w:tcPr>
          <w:p>
            <w:pPr>
              <w:spacing w:after="0"/>
            </w:pPr>
            <w:r>
              <w:rPr>
                <w:b/>
                <w:color w:val="17365D"/>
              </w:rPr>
              <w:t xml:space="preserve">Executive position  </w:t>
            </w:r>
            <w:r>
              <w:t>GitHub does not provide a native invoice grouped by ordinary organisation teams or project teams. Native reporting is available at enterprise, organisation, repository, cost-centre, product/SKU, workflow, and in selected cases user level. Project-team reporting must therefore be implemented through cost centres, repository ownership mapping, user attribution, or a custom BI model.</w:t>
            </w:r>
          </w:p>
        </w:tc>
      </w:tr>
    </w:tbl>
    <w:p>
      <w:pPr>
        <w:spacing w:after="20"/>
      </w:pPr>
    </w:p>
    <w:p>
      <w:r>
        <w:br w:type="page"/>
      </w:r>
    </w:p>
    <w:p>
      <w:pPr>
        <w:pStyle w:val="Heading1"/>
      </w:pPr>
      <w:r>
        <w:t>1. Executive summary</w:t>
      </w:r>
    </w:p>
    <w:p>
      <w:r>
        <w:t>For the proposed design, NET has four project teams and DIRECT has six. GitHub’s billing platform can report enterprise-wide expenditure and can break metered usage down by organisation, repository, product/SKU, cost centre, and, in detailed exports, username and workflow path. It does not expose a standard “organisation team” dimension in the billing report. A normal GitHub team is an access-management object, not automatically a billing unit. [1][2]</w:t>
      </w:r>
    </w:p>
    <w:p>
      <w:r>
        <w:t>The recommended model is a hybrid: use GitHub cost centres for formal financial ownership where the ownership is unambiguous, and use a custom dashboard to derive project-team views by joining billing usage to repository ownership and team membership data. GitHub’s REST APIs can list teams, team members, and team repositories, while billing APIs and exports provide enterprise, organisation, repository, cost-centre, product/SKU and selected user data. [2][3][7]</w:t>
      </w:r>
    </w:p>
    <w:tbl>
      <w:tblPr>
        <w:tblW w:type="auto" w:w="0"/>
        <w:jc w:val="center"/>
        <w:tblLook w:firstColumn="1" w:firstRow="1" w:lastColumn="0" w:lastRow="0" w:noHBand="0" w:noVBand="1" w:val="04A0"/>
      </w:tblPr>
      <w:tblGrid>
        <w:gridCol w:w="10224"/>
      </w:tblGrid>
      <w:tr>
        <w:tc>
          <w:tcPr>
            <w:tcW w:type="dxa" w:w="10224"/>
            <w:shd w:fill="FCE4D6"/>
            <w:tcMar>
              <w:top w:w="110" w:type="dxa"/>
              <w:start w:w="130" w:type="dxa"/>
              <w:bottom w:w="110" w:type="dxa"/>
              <w:end w:w="130" w:type="dxa"/>
            </w:tcMar>
          </w:tcPr>
          <w:p>
            <w:pPr>
              <w:spacing w:after="0"/>
            </w:pPr>
            <w:r>
              <w:rPr>
                <w:b/>
                <w:color w:val="17365D"/>
              </w:rPr>
              <w:t xml:space="preserve">Important correction  </w:t>
            </w:r>
            <w:r>
              <w:t>Organisation-level reporting is native. Organisation-team or project-team billing is not native. Enterprise teams can be attached to cost centres, but ordinary organisation teams still do not become an intrinsic billing-report dimension.</w:t>
            </w:r>
          </w:p>
        </w:tc>
      </w:tr>
    </w:tbl>
    <w:p>
      <w:pPr>
        <w:spacing w:after="20"/>
      </w:pPr>
    </w:p>
    <w:p>
      <w:pPr>
        <w:pStyle w:val="Heading1"/>
      </w:pPr>
      <w:r>
        <w:t>2. Native reporting capability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800"/>
            <w:shd w:fill="17365D"/>
            <w:tcMar>
              <w:top w:w="80" w:type="dxa"/>
              <w:start w:w="90" w:type="dxa"/>
              <w:bottom w:w="80" w:type="dxa"/>
              <w:end w:w="90" w:type="dxa"/>
            </w:tcMar>
            <w:vAlign w:val="center"/>
          </w:tcPr>
          <w:p>
            <w:pPr>
              <w:jc w:val="center"/>
            </w:pPr>
            <w:r>
              <w:rPr>
                <w:b/>
                <w:color w:val="FFFFFF"/>
                <w:sz w:val="14"/>
              </w:rPr>
              <w:t>Reporting level</w:t>
            </w:r>
          </w:p>
        </w:tc>
        <w:tc>
          <w:tcPr>
            <w:tcW w:type="dxa" w:w="1152"/>
            <w:shd w:fill="17365D"/>
            <w:tcMar>
              <w:top w:w="80" w:type="dxa"/>
              <w:start w:w="90" w:type="dxa"/>
              <w:bottom w:w="80" w:type="dxa"/>
              <w:end w:w="90" w:type="dxa"/>
            </w:tcMar>
            <w:vAlign w:val="center"/>
          </w:tcPr>
          <w:p>
            <w:pPr>
              <w:jc w:val="center"/>
            </w:pPr>
            <w:r>
              <w:rPr>
                <w:b/>
                <w:color w:val="FFFFFF"/>
                <w:sz w:val="14"/>
              </w:rPr>
              <w:t>Can report?</w:t>
            </w:r>
          </w:p>
        </w:tc>
        <w:tc>
          <w:tcPr>
            <w:tcW w:type="dxa" w:w="1655"/>
            <w:shd w:fill="17365D"/>
            <w:tcMar>
              <w:top w:w="80" w:type="dxa"/>
              <w:start w:w="90" w:type="dxa"/>
              <w:bottom w:w="80" w:type="dxa"/>
              <w:end w:w="90" w:type="dxa"/>
            </w:tcMar>
            <w:vAlign w:val="center"/>
          </w:tcPr>
          <w:p>
            <w:pPr>
              <w:jc w:val="center"/>
            </w:pPr>
            <w:r>
              <w:rPr>
                <w:b/>
                <w:color w:val="FFFFFF"/>
                <w:sz w:val="14"/>
              </w:rPr>
              <w:t>Method</w:t>
            </w:r>
          </w:p>
        </w:tc>
        <w:tc>
          <w:tcPr>
            <w:tcW w:type="dxa" w:w="3816"/>
            <w:shd w:fill="17365D"/>
            <w:tcMar>
              <w:top w:w="80" w:type="dxa"/>
              <w:start w:w="90" w:type="dxa"/>
              <w:bottom w:w="80" w:type="dxa"/>
              <w:end w:w="90" w:type="dxa"/>
            </w:tcMar>
            <w:vAlign w:val="center"/>
          </w:tcPr>
          <w:p>
            <w:pPr>
              <w:jc w:val="center"/>
            </w:pPr>
            <w:r>
              <w:rPr>
                <w:b/>
                <w:color w:val="FFFFFF"/>
                <w:sz w:val="14"/>
              </w:rPr>
              <w:t>What GitHub provides</w:t>
            </w:r>
          </w:p>
        </w:tc>
        <w:tc>
          <w:tcPr>
            <w:tcW w:type="dxa" w:w="3384"/>
            <w:shd w:fill="17365D"/>
            <w:tcMar>
              <w:top w:w="80" w:type="dxa"/>
              <w:start w:w="90" w:type="dxa"/>
              <w:bottom w:w="80" w:type="dxa"/>
              <w:end w:w="90" w:type="dxa"/>
            </w:tcMar>
            <w:vAlign w:val="center"/>
          </w:tcPr>
          <w:p>
            <w:pPr>
              <w:jc w:val="center"/>
            </w:pPr>
            <w:r>
              <w:rPr>
                <w:b/>
                <w:color w:val="FFFFFF"/>
                <w:sz w:val="14"/>
              </w:rPr>
              <w:t>Recommended treatment</w:t>
            </w:r>
          </w:p>
        </w:tc>
      </w:tr>
      <w:tr>
        <w:tc>
          <w:tcPr>
            <w:tcW w:type="dxa" w:w="1800"/>
            <w:tcMar>
              <w:top w:w="80" w:type="dxa"/>
              <w:start w:w="90" w:type="dxa"/>
              <w:bottom w:w="80" w:type="dxa"/>
              <w:end w:w="90" w:type="dxa"/>
            </w:tcMar>
            <w:vAlign w:val="center"/>
          </w:tcPr>
          <w:p>
            <w:pPr>
              <w:spacing w:after="20" w:line="240" w:lineRule="auto"/>
            </w:pPr>
            <w:r>
              <w:rPr>
                <w:b/>
                <w:sz w:val="14"/>
              </w:rPr>
              <w:t>Enterprise</w:t>
            </w:r>
          </w:p>
        </w:tc>
        <w:tc>
          <w:tcPr>
            <w:tcW w:type="dxa" w:w="1152"/>
            <w:tcMar>
              <w:top w:w="80" w:type="dxa"/>
              <w:start w:w="90" w:type="dxa"/>
              <w:bottom w:w="80" w:type="dxa"/>
              <w:end w:w="90" w:type="dxa"/>
            </w:tcMar>
            <w:vAlign w:val="center"/>
          </w:tcPr>
          <w:p>
            <w:pPr>
              <w:spacing w:after="20" w:line="240" w:lineRule="auto"/>
            </w:pPr>
            <w:r>
              <w:rPr>
                <w:b/>
                <w:sz w:val="14"/>
              </w:rPr>
              <w:t>Yes</w:t>
            </w:r>
          </w:p>
        </w:tc>
        <w:tc>
          <w:tcPr>
            <w:tcW w:type="dxa" w:w="1655"/>
            <w:tcMar>
              <w:top w:w="80" w:type="dxa"/>
              <w:start w:w="90" w:type="dxa"/>
              <w:bottom w:w="80" w:type="dxa"/>
              <w:end w:w="90" w:type="dxa"/>
            </w:tcMar>
            <w:vAlign w:val="center"/>
          </w:tcPr>
          <w:p>
            <w:pPr>
              <w:spacing w:after="20" w:line="240" w:lineRule="auto"/>
            </w:pPr>
            <w:r>
              <w:rPr>
                <w:sz w:val="14"/>
              </w:rPr>
              <w:t>Native</w:t>
            </w:r>
          </w:p>
        </w:tc>
        <w:tc>
          <w:tcPr>
            <w:tcW w:type="dxa" w:w="3816"/>
            <w:tcMar>
              <w:top w:w="80" w:type="dxa"/>
              <w:start w:w="90" w:type="dxa"/>
              <w:bottom w:w="80" w:type="dxa"/>
              <w:end w:w="90" w:type="dxa"/>
            </w:tcMar>
            <w:vAlign w:val="center"/>
          </w:tcPr>
          <w:p>
            <w:pPr>
              <w:spacing w:after="20" w:line="240" w:lineRule="auto"/>
            </w:pPr>
            <w:r>
              <w:rPr>
                <w:sz w:val="14"/>
              </w:rPr>
              <w:t>Central view across NET and DIRECT; paid products, SKUs and costs.</w:t>
            </w:r>
          </w:p>
        </w:tc>
        <w:tc>
          <w:tcPr>
            <w:tcW w:type="dxa" w:w="3384"/>
            <w:tcMar>
              <w:top w:w="80" w:type="dxa"/>
              <w:start w:w="90" w:type="dxa"/>
              <w:bottom w:w="80" w:type="dxa"/>
              <w:end w:w="90" w:type="dxa"/>
            </w:tcMar>
            <w:vAlign w:val="center"/>
          </w:tcPr>
          <w:p>
            <w:pPr>
              <w:spacing w:after="20" w:line="240" w:lineRule="auto"/>
            </w:pPr>
            <w:r>
              <w:rPr>
                <w:sz w:val="14"/>
              </w:rPr>
              <w:t>Use for Finance reconciliation and total budget control.</w:t>
            </w:r>
          </w:p>
        </w:tc>
      </w:tr>
      <w:tr>
        <w:tc>
          <w:tcPr>
            <w:tcW w:type="dxa" w:w="1800"/>
            <w:tcMar>
              <w:top w:w="80" w:type="dxa"/>
              <w:start w:w="90" w:type="dxa"/>
              <w:bottom w:w="80" w:type="dxa"/>
              <w:end w:w="90" w:type="dxa"/>
            </w:tcMar>
            <w:vAlign w:val="center"/>
            <w:shd w:fill="F7F9FC"/>
          </w:tcPr>
          <w:p>
            <w:pPr>
              <w:spacing w:after="20" w:line="240" w:lineRule="auto"/>
            </w:pPr>
            <w:r>
              <w:rPr>
                <w:b/>
                <w:sz w:val="14"/>
              </w:rPr>
              <w:t>Organisation: NET / DIRECT</w:t>
            </w:r>
          </w:p>
        </w:tc>
        <w:tc>
          <w:tcPr>
            <w:tcW w:type="dxa" w:w="1152"/>
            <w:tcMar>
              <w:top w:w="80" w:type="dxa"/>
              <w:start w:w="90" w:type="dxa"/>
              <w:bottom w:w="80" w:type="dxa"/>
              <w:end w:w="90" w:type="dxa"/>
            </w:tcMar>
            <w:vAlign w:val="center"/>
            <w:shd w:fill="F7F9FC"/>
          </w:tcPr>
          <w:p>
            <w:pPr>
              <w:spacing w:after="20" w:line="240" w:lineRule="auto"/>
            </w:pPr>
            <w:r>
              <w:rPr>
                <w:b/>
                <w:sz w:val="14"/>
              </w:rPr>
              <w:t>Yes</w:t>
            </w:r>
          </w:p>
        </w:tc>
        <w:tc>
          <w:tcPr>
            <w:tcW w:type="dxa" w:w="1655"/>
            <w:tcMar>
              <w:top w:w="80" w:type="dxa"/>
              <w:start w:w="90" w:type="dxa"/>
              <w:bottom w:w="80" w:type="dxa"/>
              <w:end w:w="90" w:type="dxa"/>
            </w:tcMar>
            <w:vAlign w:val="center"/>
            <w:shd w:fill="F7F9FC"/>
          </w:tcPr>
          <w:p>
            <w:pPr>
              <w:spacing w:after="20" w:line="240" w:lineRule="auto"/>
            </w:pPr>
            <w:r>
              <w:rPr>
                <w:sz w:val="14"/>
              </w:rPr>
              <w:t>Native</w:t>
            </w:r>
          </w:p>
        </w:tc>
        <w:tc>
          <w:tcPr>
            <w:tcW w:type="dxa" w:w="3816"/>
            <w:tcMar>
              <w:top w:w="80" w:type="dxa"/>
              <w:start w:w="90" w:type="dxa"/>
              <w:bottom w:w="80" w:type="dxa"/>
              <w:end w:w="90" w:type="dxa"/>
            </w:tcMar>
            <w:vAlign w:val="center"/>
            <w:shd w:fill="F7F9FC"/>
          </w:tcPr>
          <w:p>
            <w:pPr>
              <w:spacing w:after="20" w:line="240" w:lineRule="auto"/>
            </w:pPr>
            <w:r>
              <w:rPr>
                <w:sz w:val="14"/>
              </w:rPr>
              <w:t>Enterprise reports summarize by organisation; organisation billing endpoints are also available.</w:t>
            </w:r>
          </w:p>
        </w:tc>
        <w:tc>
          <w:tcPr>
            <w:tcW w:type="dxa" w:w="3384"/>
            <w:tcMar>
              <w:top w:w="80" w:type="dxa"/>
              <w:start w:w="90" w:type="dxa"/>
              <w:bottom w:w="80" w:type="dxa"/>
              <w:end w:w="90" w:type="dxa"/>
            </w:tcMar>
            <w:vAlign w:val="center"/>
            <w:shd w:fill="F7F9FC"/>
          </w:tcPr>
          <w:p>
            <w:pPr>
              <w:spacing w:after="20" w:line="240" w:lineRule="auto"/>
            </w:pPr>
            <w:r>
              <w:rPr>
                <w:sz w:val="14"/>
              </w:rPr>
              <w:t>Create separate organisation budgets for metered products.</w:t>
            </w:r>
          </w:p>
        </w:tc>
      </w:tr>
      <w:tr>
        <w:tc>
          <w:tcPr>
            <w:tcW w:type="dxa" w:w="1800"/>
            <w:tcMar>
              <w:top w:w="80" w:type="dxa"/>
              <w:start w:w="90" w:type="dxa"/>
              <w:bottom w:w="80" w:type="dxa"/>
              <w:end w:w="90" w:type="dxa"/>
            </w:tcMar>
            <w:vAlign w:val="center"/>
          </w:tcPr>
          <w:p>
            <w:pPr>
              <w:spacing w:after="20" w:line="240" w:lineRule="auto"/>
            </w:pPr>
            <w:r>
              <w:rPr>
                <w:b/>
                <w:sz w:val="14"/>
              </w:rPr>
              <w:t>Repository</w:t>
            </w:r>
          </w:p>
        </w:tc>
        <w:tc>
          <w:tcPr>
            <w:tcW w:type="dxa" w:w="1152"/>
            <w:tcMar>
              <w:top w:w="80" w:type="dxa"/>
              <w:start w:w="90" w:type="dxa"/>
              <w:bottom w:w="80" w:type="dxa"/>
              <w:end w:w="90" w:type="dxa"/>
            </w:tcMar>
            <w:vAlign w:val="center"/>
          </w:tcPr>
          <w:p>
            <w:pPr>
              <w:spacing w:after="20" w:line="240" w:lineRule="auto"/>
            </w:pPr>
            <w:r>
              <w:rPr>
                <w:b/>
                <w:sz w:val="14"/>
              </w:rPr>
              <w:t>Yes</w:t>
            </w:r>
          </w:p>
        </w:tc>
        <w:tc>
          <w:tcPr>
            <w:tcW w:type="dxa" w:w="1655"/>
            <w:tcMar>
              <w:top w:w="80" w:type="dxa"/>
              <w:start w:w="90" w:type="dxa"/>
              <w:bottom w:w="80" w:type="dxa"/>
              <w:end w:w="90" w:type="dxa"/>
            </w:tcMar>
            <w:vAlign w:val="center"/>
          </w:tcPr>
          <w:p>
            <w:pPr>
              <w:spacing w:after="20" w:line="240" w:lineRule="auto"/>
            </w:pPr>
            <w:r>
              <w:rPr>
                <w:sz w:val="14"/>
              </w:rPr>
              <w:t>Native</w:t>
            </w:r>
          </w:p>
        </w:tc>
        <w:tc>
          <w:tcPr>
            <w:tcW w:type="dxa" w:w="3816"/>
            <w:tcMar>
              <w:top w:w="80" w:type="dxa"/>
              <w:start w:w="90" w:type="dxa"/>
              <w:bottom w:w="80" w:type="dxa"/>
              <w:end w:w="90" w:type="dxa"/>
            </w:tcMar>
            <w:vAlign w:val="center"/>
          </w:tcPr>
          <w:p>
            <w:pPr>
              <w:spacing w:after="20" w:line="240" w:lineRule="auto"/>
            </w:pPr>
            <w:r>
              <w:rPr>
                <w:sz w:val="14"/>
              </w:rPr>
              <w:t>Summarized and detailed usage reports include repository. Actions, Codespaces, LFS and Packages are primarily attributable through repository/organisation ownership.</w:t>
            </w:r>
          </w:p>
        </w:tc>
        <w:tc>
          <w:tcPr>
            <w:tcW w:type="dxa" w:w="3384"/>
            <w:tcMar>
              <w:top w:w="80" w:type="dxa"/>
              <w:start w:w="90" w:type="dxa"/>
              <w:bottom w:w="80" w:type="dxa"/>
              <w:end w:w="90" w:type="dxa"/>
            </w:tcMar>
            <w:vAlign w:val="center"/>
          </w:tcPr>
          <w:p>
            <w:pPr>
              <w:spacing w:after="20" w:line="240" w:lineRule="auto"/>
            </w:pPr>
            <w:r>
              <w:rPr>
                <w:sz w:val="14"/>
              </w:rPr>
              <w:t>Map every repository to one project team and cost owner.</w:t>
            </w:r>
          </w:p>
        </w:tc>
      </w:tr>
      <w:tr>
        <w:tc>
          <w:tcPr>
            <w:tcW w:type="dxa" w:w="1800"/>
            <w:tcMar>
              <w:top w:w="80" w:type="dxa"/>
              <w:start w:w="90" w:type="dxa"/>
              <w:bottom w:w="80" w:type="dxa"/>
              <w:end w:w="90" w:type="dxa"/>
            </w:tcMar>
            <w:vAlign w:val="center"/>
            <w:shd w:fill="F7F9FC"/>
          </w:tcPr>
          <w:p>
            <w:pPr>
              <w:spacing w:after="20" w:line="240" w:lineRule="auto"/>
            </w:pPr>
            <w:r>
              <w:rPr>
                <w:b/>
                <w:sz w:val="14"/>
              </w:rPr>
              <w:t>Cost centre</w:t>
            </w:r>
          </w:p>
        </w:tc>
        <w:tc>
          <w:tcPr>
            <w:tcW w:type="dxa" w:w="1152"/>
            <w:tcMar>
              <w:top w:w="80" w:type="dxa"/>
              <w:start w:w="90" w:type="dxa"/>
              <w:bottom w:w="80" w:type="dxa"/>
              <w:end w:w="90" w:type="dxa"/>
            </w:tcMar>
            <w:vAlign w:val="center"/>
            <w:shd w:fill="F7F9FC"/>
          </w:tcPr>
          <w:p>
            <w:pPr>
              <w:spacing w:after="20" w:line="240" w:lineRule="auto"/>
            </w:pPr>
            <w:r>
              <w:rPr>
                <w:b/>
                <w:sz w:val="14"/>
              </w:rPr>
              <w:t>Yes</w:t>
            </w:r>
          </w:p>
        </w:tc>
        <w:tc>
          <w:tcPr>
            <w:tcW w:type="dxa" w:w="1655"/>
            <w:tcMar>
              <w:top w:w="80" w:type="dxa"/>
              <w:start w:w="90" w:type="dxa"/>
              <w:bottom w:w="80" w:type="dxa"/>
              <w:end w:w="90" w:type="dxa"/>
            </w:tcMar>
            <w:vAlign w:val="center"/>
            <w:shd w:fill="F7F9FC"/>
          </w:tcPr>
          <w:p>
            <w:pPr>
              <w:spacing w:after="20" w:line="240" w:lineRule="auto"/>
            </w:pPr>
            <w:r>
              <w:rPr>
                <w:sz w:val="14"/>
              </w:rPr>
              <w:t>Native, when configured</w:t>
            </w:r>
          </w:p>
        </w:tc>
        <w:tc>
          <w:tcPr>
            <w:tcW w:type="dxa" w:w="3816"/>
            <w:tcMar>
              <w:top w:w="80" w:type="dxa"/>
              <w:start w:w="90" w:type="dxa"/>
              <w:bottom w:w="80" w:type="dxa"/>
              <w:end w:w="90" w:type="dxa"/>
            </w:tcMar>
            <w:vAlign w:val="center"/>
            <w:shd w:fill="F7F9FC"/>
          </w:tcPr>
          <w:p>
            <w:pPr>
              <w:spacing w:after="20" w:line="240" w:lineRule="auto"/>
            </w:pPr>
            <w:r>
              <w:rPr>
                <w:sz w:val="14"/>
              </w:rPr>
              <w:t>Reports include cost_center_name; budgets can be attached to cost centres.</w:t>
            </w:r>
          </w:p>
        </w:tc>
        <w:tc>
          <w:tcPr>
            <w:tcW w:type="dxa" w:w="3384"/>
            <w:tcMar>
              <w:top w:w="80" w:type="dxa"/>
              <w:start w:w="90" w:type="dxa"/>
              <w:bottom w:w="80" w:type="dxa"/>
              <w:end w:w="90" w:type="dxa"/>
            </w:tcMar>
            <w:vAlign w:val="center"/>
            <w:shd w:fill="F7F9FC"/>
          </w:tcPr>
          <w:p>
            <w:pPr>
              <w:spacing w:after="20" w:line="240" w:lineRule="auto"/>
            </w:pPr>
            <w:r>
              <w:rPr>
                <w:sz w:val="14"/>
              </w:rPr>
              <w:t>Best option for formal chargeback when ownership is exclusive.</w:t>
            </w:r>
          </w:p>
        </w:tc>
      </w:tr>
      <w:tr>
        <w:tc>
          <w:tcPr>
            <w:tcW w:type="dxa" w:w="1800"/>
            <w:tcMar>
              <w:top w:w="80" w:type="dxa"/>
              <w:start w:w="90" w:type="dxa"/>
              <w:bottom w:w="80" w:type="dxa"/>
              <w:end w:w="90" w:type="dxa"/>
            </w:tcMar>
            <w:vAlign w:val="center"/>
          </w:tcPr>
          <w:p>
            <w:pPr>
              <w:spacing w:after="20" w:line="240" w:lineRule="auto"/>
            </w:pPr>
            <w:r>
              <w:rPr>
                <w:b/>
                <w:sz w:val="14"/>
              </w:rPr>
              <w:t>Product / SKU</w:t>
            </w:r>
          </w:p>
        </w:tc>
        <w:tc>
          <w:tcPr>
            <w:tcW w:type="dxa" w:w="1152"/>
            <w:tcMar>
              <w:top w:w="80" w:type="dxa"/>
              <w:start w:w="90" w:type="dxa"/>
              <w:bottom w:w="80" w:type="dxa"/>
              <w:end w:w="90" w:type="dxa"/>
            </w:tcMar>
            <w:vAlign w:val="center"/>
          </w:tcPr>
          <w:p>
            <w:pPr>
              <w:spacing w:after="20" w:line="240" w:lineRule="auto"/>
            </w:pPr>
            <w:r>
              <w:rPr>
                <w:b/>
                <w:sz w:val="14"/>
              </w:rPr>
              <w:t>Yes</w:t>
            </w:r>
          </w:p>
        </w:tc>
        <w:tc>
          <w:tcPr>
            <w:tcW w:type="dxa" w:w="1655"/>
            <w:tcMar>
              <w:top w:w="80" w:type="dxa"/>
              <w:start w:w="90" w:type="dxa"/>
              <w:bottom w:w="80" w:type="dxa"/>
              <w:end w:w="90" w:type="dxa"/>
            </w:tcMar>
            <w:vAlign w:val="center"/>
          </w:tcPr>
          <w:p>
            <w:pPr>
              <w:spacing w:after="20" w:line="240" w:lineRule="auto"/>
            </w:pPr>
            <w:r>
              <w:rPr>
                <w:sz w:val="14"/>
              </w:rPr>
              <w:t>Native</w:t>
            </w:r>
          </w:p>
        </w:tc>
        <w:tc>
          <w:tcPr>
            <w:tcW w:type="dxa" w:w="3816"/>
            <w:tcMar>
              <w:top w:w="80" w:type="dxa"/>
              <w:start w:w="90" w:type="dxa"/>
              <w:bottom w:w="80" w:type="dxa"/>
              <w:end w:w="90" w:type="dxa"/>
            </w:tcMar>
            <w:vAlign w:val="center"/>
          </w:tcPr>
          <w:p>
            <w:pPr>
              <w:spacing w:after="20" w:line="240" w:lineRule="auto"/>
            </w:pPr>
            <w:r>
              <w:rPr>
                <w:sz w:val="14"/>
              </w:rPr>
              <w:t>Reports include product, SKU, quantity, unit cost, gross amount, discounts and net amount.</w:t>
            </w:r>
          </w:p>
        </w:tc>
        <w:tc>
          <w:tcPr>
            <w:tcW w:type="dxa" w:w="3384"/>
            <w:tcMar>
              <w:top w:w="80" w:type="dxa"/>
              <w:start w:w="90" w:type="dxa"/>
              <w:bottom w:w="80" w:type="dxa"/>
              <w:end w:w="90" w:type="dxa"/>
            </w:tcMar>
            <w:vAlign w:val="center"/>
          </w:tcPr>
          <w:p>
            <w:pPr>
              <w:spacing w:after="20" w:line="240" w:lineRule="auto"/>
            </w:pPr>
            <w:r>
              <w:rPr>
                <w:sz w:val="14"/>
              </w:rPr>
              <w:t>Use to separate Actions, Codespaces, Packages, LFS, Copilot and other products.</w:t>
            </w:r>
          </w:p>
        </w:tc>
      </w:tr>
      <w:tr>
        <w:tc>
          <w:tcPr>
            <w:tcW w:type="dxa" w:w="1800"/>
            <w:tcMar>
              <w:top w:w="80" w:type="dxa"/>
              <w:start w:w="90" w:type="dxa"/>
              <w:bottom w:w="80" w:type="dxa"/>
              <w:end w:w="90" w:type="dxa"/>
            </w:tcMar>
            <w:vAlign w:val="center"/>
            <w:shd w:fill="F7F9FC"/>
          </w:tcPr>
          <w:p>
            <w:pPr>
              <w:spacing w:after="20" w:line="240" w:lineRule="auto"/>
            </w:pPr>
            <w:r>
              <w:rPr>
                <w:b/>
                <w:sz w:val="14"/>
              </w:rPr>
              <w:t>Workflow</w:t>
            </w:r>
          </w:p>
        </w:tc>
        <w:tc>
          <w:tcPr>
            <w:tcW w:type="dxa" w:w="1152"/>
            <w:tcMar>
              <w:top w:w="80" w:type="dxa"/>
              <w:start w:w="90" w:type="dxa"/>
              <w:bottom w:w="80" w:type="dxa"/>
              <w:end w:w="90" w:type="dxa"/>
            </w:tcMar>
            <w:vAlign w:val="center"/>
            <w:shd w:fill="F7F9FC"/>
          </w:tcPr>
          <w:p>
            <w:pPr>
              <w:spacing w:after="20" w:line="240" w:lineRule="auto"/>
            </w:pPr>
            <w:r>
              <w:rPr>
                <w:b/>
                <w:sz w:val="14"/>
              </w:rPr>
              <w:t>Yes, detailed report</w:t>
            </w:r>
          </w:p>
        </w:tc>
        <w:tc>
          <w:tcPr>
            <w:tcW w:type="dxa" w:w="1655"/>
            <w:tcMar>
              <w:top w:w="80" w:type="dxa"/>
              <w:start w:w="90" w:type="dxa"/>
              <w:bottom w:w="80" w:type="dxa"/>
              <w:end w:w="90" w:type="dxa"/>
            </w:tcMar>
            <w:vAlign w:val="center"/>
            <w:shd w:fill="F7F9FC"/>
          </w:tcPr>
          <w:p>
            <w:pPr>
              <w:spacing w:after="20" w:line="240" w:lineRule="auto"/>
            </w:pPr>
            <w:r>
              <w:rPr>
                <w:sz w:val="14"/>
              </w:rPr>
              <w:t>Native web export only</w:t>
            </w:r>
          </w:p>
        </w:tc>
        <w:tc>
          <w:tcPr>
            <w:tcW w:type="dxa" w:w="3816"/>
            <w:tcMar>
              <w:top w:w="80" w:type="dxa"/>
              <w:start w:w="90" w:type="dxa"/>
              <w:bottom w:w="80" w:type="dxa"/>
              <w:end w:w="90" w:type="dxa"/>
            </w:tcMar>
            <w:vAlign w:val="center"/>
            <w:shd w:fill="F7F9FC"/>
          </w:tcPr>
          <w:p>
            <w:pPr>
              <w:spacing w:after="20" w:line="240" w:lineRule="auto"/>
            </w:pPr>
            <w:r>
              <w:rPr>
                <w:sz w:val="14"/>
              </w:rPr>
              <w:t>Detailed usage report adds workflow_path; useful for Actions cost analysis.</w:t>
            </w:r>
          </w:p>
        </w:tc>
        <w:tc>
          <w:tcPr>
            <w:tcW w:type="dxa" w:w="3384"/>
            <w:tcMar>
              <w:top w:w="80" w:type="dxa"/>
              <w:start w:w="90" w:type="dxa"/>
              <w:bottom w:w="80" w:type="dxa"/>
              <w:end w:w="90" w:type="dxa"/>
            </w:tcMar>
            <w:vAlign w:val="center"/>
            <w:shd w:fill="F7F9FC"/>
          </w:tcPr>
          <w:p>
            <w:pPr>
              <w:spacing w:after="20" w:line="240" w:lineRule="auto"/>
            </w:pPr>
            <w:r>
              <w:rPr>
                <w:sz w:val="14"/>
              </w:rPr>
              <w:t>Download detailed report monthly; the /usage API is summarized only.</w:t>
            </w:r>
          </w:p>
        </w:tc>
      </w:tr>
      <w:tr>
        <w:tc>
          <w:tcPr>
            <w:tcW w:type="dxa" w:w="1800"/>
            <w:tcMar>
              <w:top w:w="80" w:type="dxa"/>
              <w:start w:w="90" w:type="dxa"/>
              <w:bottom w:w="80" w:type="dxa"/>
              <w:end w:w="90" w:type="dxa"/>
            </w:tcMar>
            <w:vAlign w:val="center"/>
          </w:tcPr>
          <w:p>
            <w:pPr>
              <w:spacing w:after="20" w:line="240" w:lineRule="auto"/>
            </w:pPr>
            <w:r>
              <w:rPr>
                <w:b/>
                <w:sz w:val="14"/>
              </w:rPr>
              <w:t>User / username</w:t>
            </w:r>
          </w:p>
        </w:tc>
        <w:tc>
          <w:tcPr>
            <w:tcW w:type="dxa" w:w="1152"/>
            <w:tcMar>
              <w:top w:w="80" w:type="dxa"/>
              <w:start w:w="90" w:type="dxa"/>
              <w:bottom w:w="80" w:type="dxa"/>
              <w:end w:w="90" w:type="dxa"/>
            </w:tcMar>
            <w:vAlign w:val="center"/>
          </w:tcPr>
          <w:p>
            <w:pPr>
              <w:spacing w:after="20" w:line="240" w:lineRule="auto"/>
            </w:pPr>
            <w:r>
              <w:rPr>
                <w:b/>
                <w:sz w:val="14"/>
              </w:rPr>
              <w:t>Partly</w:t>
            </w:r>
          </w:p>
        </w:tc>
        <w:tc>
          <w:tcPr>
            <w:tcW w:type="dxa" w:w="1655"/>
            <w:tcMar>
              <w:top w:w="80" w:type="dxa"/>
              <w:start w:w="90" w:type="dxa"/>
              <w:bottom w:w="80" w:type="dxa"/>
              <w:end w:w="90" w:type="dxa"/>
            </w:tcMar>
            <w:vAlign w:val="center"/>
          </w:tcPr>
          <w:p>
            <w:pPr>
              <w:spacing w:after="20" w:line="240" w:lineRule="auto"/>
            </w:pPr>
            <w:r>
              <w:rPr>
                <w:sz w:val="14"/>
              </w:rPr>
              <w:t>Product-dependent</w:t>
            </w:r>
          </w:p>
        </w:tc>
        <w:tc>
          <w:tcPr>
            <w:tcW w:type="dxa" w:w="3816"/>
            <w:tcMar>
              <w:top w:w="80" w:type="dxa"/>
              <w:start w:w="90" w:type="dxa"/>
              <w:bottom w:w="80" w:type="dxa"/>
              <w:end w:w="90" w:type="dxa"/>
            </w:tcMar>
            <w:vAlign w:val="center"/>
          </w:tcPr>
          <w:p>
            <w:pPr>
              <w:spacing w:after="20" w:line="240" w:lineRule="auto"/>
            </w:pPr>
            <w:r>
              <w:rPr>
                <w:sz w:val="14"/>
              </w:rPr>
              <w:t>Detailed reports include username; AI reports provide per-user AI-credit detail. User endpoints do not show enterprise-managed Copilot billed by the enterprise.</w:t>
            </w:r>
          </w:p>
        </w:tc>
        <w:tc>
          <w:tcPr>
            <w:tcW w:type="dxa" w:w="3384"/>
            <w:tcMar>
              <w:top w:w="80" w:type="dxa"/>
              <w:start w:w="90" w:type="dxa"/>
              <w:bottom w:w="80" w:type="dxa"/>
              <w:end w:w="90" w:type="dxa"/>
            </w:tcMar>
            <w:vAlign w:val="center"/>
          </w:tcPr>
          <w:p>
            <w:pPr>
              <w:spacing w:after="20" w:line="240" w:lineRule="auto"/>
            </w:pPr>
            <w:r>
              <w:rPr>
                <w:sz w:val="14"/>
              </w:rPr>
              <w:t>Use enterprise or organisation data, not personal billing endpoints, for corporate licences.</w:t>
            </w:r>
          </w:p>
        </w:tc>
      </w:tr>
      <w:tr>
        <w:tc>
          <w:tcPr>
            <w:tcW w:type="dxa" w:w="1800"/>
            <w:tcMar>
              <w:top w:w="80" w:type="dxa"/>
              <w:start w:w="90" w:type="dxa"/>
              <w:bottom w:w="80" w:type="dxa"/>
              <w:end w:w="90" w:type="dxa"/>
            </w:tcMar>
            <w:vAlign w:val="center"/>
            <w:shd w:fill="F7F9FC"/>
          </w:tcPr>
          <w:p>
            <w:pPr>
              <w:spacing w:after="20" w:line="240" w:lineRule="auto"/>
            </w:pPr>
            <w:r>
              <w:rPr>
                <w:b/>
                <w:sz w:val="14"/>
              </w:rPr>
              <w:t>Ordinary organisation team</w:t>
            </w:r>
          </w:p>
        </w:tc>
        <w:tc>
          <w:tcPr>
            <w:tcW w:type="dxa" w:w="1152"/>
            <w:tcMar>
              <w:top w:w="80" w:type="dxa"/>
              <w:start w:w="90" w:type="dxa"/>
              <w:bottom w:w="80" w:type="dxa"/>
              <w:end w:w="90" w:type="dxa"/>
            </w:tcMar>
            <w:vAlign w:val="center"/>
            <w:shd w:fill="F7F9FC"/>
          </w:tcPr>
          <w:p>
            <w:pPr>
              <w:spacing w:after="20" w:line="240" w:lineRule="auto"/>
            </w:pPr>
            <w:r>
              <w:rPr>
                <w:b/>
                <w:sz w:val="14"/>
              </w:rPr>
              <w:t>No</w:t>
            </w:r>
          </w:p>
        </w:tc>
        <w:tc>
          <w:tcPr>
            <w:tcW w:type="dxa" w:w="1655"/>
            <w:tcMar>
              <w:top w:w="80" w:type="dxa"/>
              <w:start w:w="90" w:type="dxa"/>
              <w:bottom w:w="80" w:type="dxa"/>
              <w:end w:w="90" w:type="dxa"/>
            </w:tcMar>
            <w:vAlign w:val="center"/>
            <w:shd w:fill="F7F9FC"/>
          </w:tcPr>
          <w:p>
            <w:pPr>
              <w:spacing w:after="20" w:line="240" w:lineRule="auto"/>
            </w:pPr>
            <w:r>
              <w:rPr>
                <w:sz w:val="14"/>
              </w:rPr>
              <w:t>Not a billing dimension</w:t>
            </w:r>
          </w:p>
        </w:tc>
        <w:tc>
          <w:tcPr>
            <w:tcW w:type="dxa" w:w="3816"/>
            <w:tcMar>
              <w:top w:w="80" w:type="dxa"/>
              <w:start w:w="90" w:type="dxa"/>
              <w:bottom w:w="80" w:type="dxa"/>
              <w:end w:w="90" w:type="dxa"/>
            </w:tcMar>
            <w:vAlign w:val="center"/>
            <w:shd w:fill="F7F9FC"/>
          </w:tcPr>
          <w:p>
            <w:pPr>
              <w:spacing w:after="20" w:line="240" w:lineRule="auto"/>
            </w:pPr>
            <w:r>
              <w:rPr>
                <w:sz w:val="14"/>
              </w:rPr>
              <w:t>Team membership and repositories are available through Teams APIs, but billing exports do not include team name.</w:t>
            </w:r>
          </w:p>
        </w:tc>
        <w:tc>
          <w:tcPr>
            <w:tcW w:type="dxa" w:w="3384"/>
            <w:tcMar>
              <w:top w:w="80" w:type="dxa"/>
              <w:start w:w="90" w:type="dxa"/>
              <w:bottom w:w="80" w:type="dxa"/>
              <w:end w:w="90" w:type="dxa"/>
            </w:tcMar>
            <w:vAlign w:val="center"/>
            <w:shd w:fill="F7F9FC"/>
          </w:tcPr>
          <w:p>
            <w:pPr>
              <w:spacing w:after="20" w:line="240" w:lineRule="auto"/>
            </w:pPr>
            <w:r>
              <w:rPr>
                <w:sz w:val="14"/>
              </w:rPr>
              <w:t>Join team API data to repository/user billing data in BI.</w:t>
            </w:r>
          </w:p>
        </w:tc>
      </w:tr>
      <w:tr>
        <w:tc>
          <w:tcPr>
            <w:tcW w:type="dxa" w:w="1800"/>
            <w:tcMar>
              <w:top w:w="80" w:type="dxa"/>
              <w:start w:w="90" w:type="dxa"/>
              <w:bottom w:w="80" w:type="dxa"/>
              <w:end w:w="90" w:type="dxa"/>
            </w:tcMar>
            <w:vAlign w:val="center"/>
          </w:tcPr>
          <w:p>
            <w:pPr>
              <w:spacing w:after="20" w:line="240" w:lineRule="auto"/>
            </w:pPr>
            <w:r>
              <w:rPr>
                <w:b/>
                <w:sz w:val="14"/>
              </w:rPr>
              <w:t>Project team</w:t>
            </w:r>
          </w:p>
        </w:tc>
        <w:tc>
          <w:tcPr>
            <w:tcW w:type="dxa" w:w="1152"/>
            <w:tcMar>
              <w:top w:w="80" w:type="dxa"/>
              <w:start w:w="90" w:type="dxa"/>
              <w:bottom w:w="80" w:type="dxa"/>
              <w:end w:w="90" w:type="dxa"/>
            </w:tcMar>
            <w:vAlign w:val="center"/>
          </w:tcPr>
          <w:p>
            <w:pPr>
              <w:spacing w:after="20" w:line="240" w:lineRule="auto"/>
            </w:pPr>
            <w:r>
              <w:rPr>
                <w:b/>
                <w:sz w:val="14"/>
              </w:rPr>
              <w:t>No</w:t>
            </w:r>
          </w:p>
        </w:tc>
        <w:tc>
          <w:tcPr>
            <w:tcW w:type="dxa" w:w="1655"/>
            <w:tcMar>
              <w:top w:w="80" w:type="dxa"/>
              <w:start w:w="90" w:type="dxa"/>
              <w:bottom w:w="80" w:type="dxa"/>
              <w:end w:w="90" w:type="dxa"/>
            </w:tcMar>
            <w:vAlign w:val="center"/>
          </w:tcPr>
          <w:p>
            <w:pPr>
              <w:spacing w:after="20" w:line="240" w:lineRule="auto"/>
            </w:pPr>
            <w:r>
              <w:rPr>
                <w:sz w:val="14"/>
              </w:rPr>
              <w:t>Business concept, not GitHub billing object</w:t>
            </w:r>
          </w:p>
        </w:tc>
        <w:tc>
          <w:tcPr>
            <w:tcW w:type="dxa" w:w="3816"/>
            <w:tcMar>
              <w:top w:w="80" w:type="dxa"/>
              <w:start w:w="90" w:type="dxa"/>
              <w:bottom w:w="80" w:type="dxa"/>
              <w:end w:w="90" w:type="dxa"/>
            </w:tcMar>
            <w:vAlign w:val="center"/>
          </w:tcPr>
          <w:p>
            <w:pPr>
              <w:spacing w:after="20" w:line="240" w:lineRule="auto"/>
            </w:pPr>
            <w:r>
              <w:rPr>
                <w:sz w:val="14"/>
              </w:rPr>
              <w:t>A project team may span teams, repositories and organisations.</w:t>
            </w:r>
          </w:p>
        </w:tc>
        <w:tc>
          <w:tcPr>
            <w:tcW w:type="dxa" w:w="3384"/>
            <w:tcMar>
              <w:top w:w="80" w:type="dxa"/>
              <w:start w:w="90" w:type="dxa"/>
              <w:bottom w:w="80" w:type="dxa"/>
              <w:end w:w="90" w:type="dxa"/>
            </w:tcMar>
            <w:vAlign w:val="center"/>
          </w:tcPr>
          <w:p>
            <w:pPr>
              <w:spacing w:after="20" w:line="240" w:lineRule="auto"/>
            </w:pPr>
            <w:r>
              <w:rPr>
                <w:sz w:val="14"/>
              </w:rPr>
              <w:t>Maintain a project-to-repository and project-to-user allocation registry.</w:t>
            </w:r>
          </w:p>
        </w:tc>
      </w:tr>
      <w:tr>
        <w:tc>
          <w:tcPr>
            <w:tcW w:type="dxa" w:w="1800"/>
            <w:tcMar>
              <w:top w:w="80" w:type="dxa"/>
              <w:start w:w="90" w:type="dxa"/>
              <w:bottom w:w="80" w:type="dxa"/>
              <w:end w:w="90" w:type="dxa"/>
            </w:tcMar>
            <w:vAlign w:val="center"/>
            <w:shd w:fill="F7F9FC"/>
          </w:tcPr>
          <w:p>
            <w:pPr>
              <w:spacing w:after="20" w:line="240" w:lineRule="auto"/>
            </w:pPr>
            <w:r>
              <w:rPr>
                <w:b/>
                <w:sz w:val="14"/>
              </w:rPr>
              <w:t>Enterprise team</w:t>
            </w:r>
          </w:p>
        </w:tc>
        <w:tc>
          <w:tcPr>
            <w:tcW w:type="dxa" w:w="1152"/>
            <w:tcMar>
              <w:top w:w="80" w:type="dxa"/>
              <w:start w:w="90" w:type="dxa"/>
              <w:bottom w:w="80" w:type="dxa"/>
              <w:end w:w="90" w:type="dxa"/>
            </w:tcMar>
            <w:vAlign w:val="center"/>
            <w:shd w:fill="F7F9FC"/>
          </w:tcPr>
          <w:p>
            <w:pPr>
              <w:spacing w:after="20" w:line="240" w:lineRule="auto"/>
            </w:pPr>
            <w:r>
              <w:rPr>
                <w:b/>
                <w:sz w:val="14"/>
              </w:rPr>
              <w:t>Indirectly</w:t>
            </w:r>
          </w:p>
        </w:tc>
        <w:tc>
          <w:tcPr>
            <w:tcW w:type="dxa" w:w="1655"/>
            <w:tcMar>
              <w:top w:w="80" w:type="dxa"/>
              <w:start w:w="90" w:type="dxa"/>
              <w:bottom w:w="80" w:type="dxa"/>
              <w:end w:w="90" w:type="dxa"/>
            </w:tcMar>
            <w:vAlign w:val="center"/>
            <w:shd w:fill="F7F9FC"/>
          </w:tcPr>
          <w:p>
            <w:pPr>
              <w:spacing w:after="20" w:line="240" w:lineRule="auto"/>
            </w:pPr>
            <w:r>
              <w:rPr>
                <w:sz w:val="14"/>
              </w:rPr>
              <w:t>Via cost centre</w:t>
            </w:r>
          </w:p>
        </w:tc>
        <w:tc>
          <w:tcPr>
            <w:tcW w:type="dxa" w:w="3816"/>
            <w:tcMar>
              <w:top w:w="80" w:type="dxa"/>
              <w:start w:w="90" w:type="dxa"/>
              <w:bottom w:w="80" w:type="dxa"/>
              <w:end w:w="90" w:type="dxa"/>
            </w:tcMar>
            <w:vAlign w:val="center"/>
            <w:shd w:fill="F7F9FC"/>
          </w:tcPr>
          <w:p>
            <w:pPr>
              <w:spacing w:after="20" w:line="240" w:lineRule="auto"/>
            </w:pPr>
            <w:r>
              <w:rPr>
                <w:sz w:val="14"/>
              </w:rPr>
              <w:t>Enterprise teams can be assigned to cost centres; membership follows the enterprise team.</w:t>
            </w:r>
          </w:p>
        </w:tc>
        <w:tc>
          <w:tcPr>
            <w:tcW w:type="dxa" w:w="3384"/>
            <w:tcMar>
              <w:top w:w="80" w:type="dxa"/>
              <w:start w:w="90" w:type="dxa"/>
              <w:bottom w:w="80" w:type="dxa"/>
              <w:end w:w="90" w:type="dxa"/>
            </w:tcMar>
            <w:vAlign w:val="center"/>
            <w:shd w:fill="F7F9FC"/>
          </w:tcPr>
          <w:p>
            <w:pPr>
              <w:spacing w:after="20" w:line="240" w:lineRule="auto"/>
            </w:pPr>
            <w:r>
              <w:rPr>
                <w:sz w:val="14"/>
              </w:rPr>
              <w:t>Useful for licence allocation, but metered repository usage still needs repository/organisation mapping.</w:t>
            </w:r>
          </w:p>
        </w:tc>
      </w:tr>
      <w:tr>
        <w:tc>
          <w:tcPr>
            <w:tcW w:type="dxa" w:w="1800"/>
            <w:tcMar>
              <w:top w:w="80" w:type="dxa"/>
              <w:start w:w="90" w:type="dxa"/>
              <w:bottom w:w="80" w:type="dxa"/>
              <w:end w:w="90" w:type="dxa"/>
            </w:tcMar>
            <w:vAlign w:val="center"/>
          </w:tcPr>
          <w:p>
            <w:pPr>
              <w:spacing w:after="20" w:line="240" w:lineRule="auto"/>
            </w:pPr>
            <w:r>
              <w:rPr>
                <w:b/>
                <w:sz w:val="14"/>
              </w:rPr>
              <w:t>Okta / Azure AD group</w:t>
            </w:r>
          </w:p>
        </w:tc>
        <w:tc>
          <w:tcPr>
            <w:tcW w:type="dxa" w:w="1152"/>
            <w:tcMar>
              <w:top w:w="80" w:type="dxa"/>
              <w:start w:w="90" w:type="dxa"/>
              <w:bottom w:w="80" w:type="dxa"/>
              <w:end w:w="90" w:type="dxa"/>
            </w:tcMar>
            <w:vAlign w:val="center"/>
          </w:tcPr>
          <w:p>
            <w:pPr>
              <w:spacing w:after="20" w:line="240" w:lineRule="auto"/>
            </w:pPr>
            <w:r>
              <w:rPr>
                <w:b/>
                <w:sz w:val="14"/>
              </w:rPr>
              <w:t>No direct billing</w:t>
            </w:r>
          </w:p>
        </w:tc>
        <w:tc>
          <w:tcPr>
            <w:tcW w:type="dxa" w:w="1655"/>
            <w:tcMar>
              <w:top w:w="80" w:type="dxa"/>
              <w:start w:w="90" w:type="dxa"/>
              <w:bottom w:w="80" w:type="dxa"/>
              <w:end w:w="90" w:type="dxa"/>
            </w:tcMar>
            <w:vAlign w:val="center"/>
          </w:tcPr>
          <w:p>
            <w:pPr>
              <w:spacing w:after="20" w:line="240" w:lineRule="auto"/>
            </w:pPr>
            <w:r>
              <w:rPr>
                <w:sz w:val="14"/>
              </w:rPr>
              <w:t>Identity source only</w:t>
            </w:r>
          </w:p>
        </w:tc>
        <w:tc>
          <w:tcPr>
            <w:tcW w:type="dxa" w:w="3816"/>
            <w:tcMar>
              <w:top w:w="80" w:type="dxa"/>
              <w:start w:w="90" w:type="dxa"/>
              <w:bottom w:w="80" w:type="dxa"/>
              <w:end w:w="90" w:type="dxa"/>
            </w:tcMar>
            <w:vAlign w:val="center"/>
          </w:tcPr>
          <w:p>
            <w:pPr>
              <w:spacing w:after="20" w:line="240" w:lineRule="auto"/>
            </w:pPr>
            <w:r>
              <w:rPr>
                <w:sz w:val="14"/>
              </w:rPr>
              <w:t>IdP groups can drive GitHub membership, but group name is not inherently a billing field.</w:t>
            </w:r>
          </w:p>
        </w:tc>
        <w:tc>
          <w:tcPr>
            <w:tcW w:type="dxa" w:w="3384"/>
            <w:tcMar>
              <w:top w:w="80" w:type="dxa"/>
              <w:start w:w="90" w:type="dxa"/>
              <w:bottom w:w="80" w:type="dxa"/>
              <w:end w:w="90" w:type="dxa"/>
            </w:tcMar>
            <w:vAlign w:val="center"/>
          </w:tcPr>
          <w:p>
            <w:pPr>
              <w:spacing w:after="20" w:line="240" w:lineRule="auto"/>
            </w:pPr>
            <w:r>
              <w:rPr>
                <w:sz w:val="14"/>
              </w:rPr>
              <w:t>Persist group-to-project/cost-centre mapping in the reporting data model.</w:t>
            </w:r>
          </w:p>
        </w:tc>
      </w:tr>
    </w:tbl>
    <w:p>
      <w:pPr>
        <w:spacing w:after="20"/>
      </w:pPr>
    </w:p>
    <w:p>
      <w:pPr>
        <w:pStyle w:val="Heading1"/>
      </w:pPr>
      <w:r>
        <w:t>3. Where each product’s cost can be attributed</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232"/>
            <w:shd w:fill="17365D"/>
            <w:tcMar>
              <w:top w:w="80" w:type="dxa"/>
              <w:start w:w="90" w:type="dxa"/>
              <w:bottom w:w="80" w:type="dxa"/>
              <w:end w:w="90" w:type="dxa"/>
            </w:tcMar>
            <w:vAlign w:val="center"/>
          </w:tcPr>
          <w:p>
            <w:pPr>
              <w:jc w:val="center"/>
            </w:pPr>
            <w:r>
              <w:rPr>
                <w:b/>
                <w:color w:val="FFFFFF"/>
                <w:sz w:val="14"/>
              </w:rPr>
              <w:t>Product</w:t>
            </w:r>
          </w:p>
        </w:tc>
        <w:tc>
          <w:tcPr>
            <w:tcW w:type="dxa" w:w="3528"/>
            <w:shd w:fill="17365D"/>
            <w:tcMar>
              <w:top w:w="80" w:type="dxa"/>
              <w:start w:w="90" w:type="dxa"/>
              <w:bottom w:w="80" w:type="dxa"/>
              <w:end w:w="90" w:type="dxa"/>
            </w:tcMar>
            <w:vAlign w:val="center"/>
          </w:tcPr>
          <w:p>
            <w:pPr>
              <w:jc w:val="center"/>
            </w:pPr>
            <w:r>
              <w:rPr>
                <w:b/>
                <w:color w:val="FFFFFF"/>
                <w:sz w:val="14"/>
              </w:rPr>
              <w:t>Native attribution basis</w:t>
            </w:r>
          </w:p>
        </w:tc>
        <w:tc>
          <w:tcPr>
            <w:tcW w:type="dxa" w:w="1800"/>
            <w:shd w:fill="17365D"/>
            <w:tcMar>
              <w:top w:w="80" w:type="dxa"/>
              <w:start w:w="90" w:type="dxa"/>
              <w:bottom w:w="80" w:type="dxa"/>
              <w:end w:w="90" w:type="dxa"/>
            </w:tcMar>
            <w:vAlign w:val="center"/>
          </w:tcPr>
          <w:p>
            <w:pPr>
              <w:jc w:val="center"/>
            </w:pPr>
            <w:r>
              <w:rPr>
                <w:b/>
                <w:color w:val="FFFFFF"/>
                <w:sz w:val="14"/>
              </w:rPr>
              <w:t>Billing character</w:t>
            </w:r>
          </w:p>
        </w:tc>
        <w:tc>
          <w:tcPr>
            <w:tcW w:type="dxa" w:w="4464"/>
            <w:shd w:fill="17365D"/>
            <w:tcMar>
              <w:top w:w="80" w:type="dxa"/>
              <w:start w:w="90" w:type="dxa"/>
              <w:bottom w:w="80" w:type="dxa"/>
              <w:end w:w="90" w:type="dxa"/>
            </w:tcMar>
            <w:vAlign w:val="center"/>
          </w:tcPr>
          <w:p>
            <w:pPr>
              <w:jc w:val="center"/>
            </w:pPr>
            <w:r>
              <w:rPr>
                <w:b/>
                <w:color w:val="FFFFFF"/>
                <w:sz w:val="14"/>
              </w:rPr>
              <w:t>Project-team treatment</w:t>
            </w:r>
          </w:p>
        </w:tc>
      </w:tr>
      <w:tr>
        <w:tc>
          <w:tcPr>
            <w:tcW w:type="dxa" w:w="2232"/>
            <w:tcMar>
              <w:top w:w="80" w:type="dxa"/>
              <w:start w:w="90" w:type="dxa"/>
              <w:bottom w:w="80" w:type="dxa"/>
              <w:end w:w="90" w:type="dxa"/>
            </w:tcMar>
            <w:vAlign w:val="center"/>
          </w:tcPr>
          <w:p>
            <w:pPr>
              <w:spacing w:after="20" w:line="240" w:lineRule="auto"/>
            </w:pPr>
            <w:r>
              <w:rPr>
                <w:b/>
                <w:sz w:val="14"/>
              </w:rPr>
              <w:t>GitHub Enterprise licence</w:t>
            </w:r>
          </w:p>
        </w:tc>
        <w:tc>
          <w:tcPr>
            <w:tcW w:type="dxa" w:w="3528"/>
            <w:tcMar>
              <w:top w:w="80" w:type="dxa"/>
              <w:start w:w="90" w:type="dxa"/>
              <w:bottom w:w="80" w:type="dxa"/>
              <w:end w:w="90" w:type="dxa"/>
            </w:tcMar>
            <w:vAlign w:val="center"/>
          </w:tcPr>
          <w:p>
            <w:pPr>
              <w:spacing w:after="20" w:line="240" w:lineRule="auto"/>
            </w:pPr>
            <w:r>
              <w:rPr>
                <w:b/>
                <w:sz w:val="14"/>
              </w:rPr>
              <w:t>User first, then organisation</w:t>
            </w:r>
          </w:p>
        </w:tc>
        <w:tc>
          <w:tcPr>
            <w:tcW w:type="dxa" w:w="1800"/>
            <w:tcMar>
              <w:top w:w="80" w:type="dxa"/>
              <w:start w:w="90" w:type="dxa"/>
              <w:bottom w:w="80" w:type="dxa"/>
              <w:end w:w="90" w:type="dxa"/>
            </w:tcMar>
            <w:vAlign w:val="center"/>
          </w:tcPr>
          <w:p>
            <w:pPr>
              <w:spacing w:after="20" w:line="240" w:lineRule="auto"/>
            </w:pPr>
            <w:r>
              <w:rPr>
                <w:sz w:val="14"/>
              </w:rPr>
              <w:t>License-based</w:t>
            </w:r>
          </w:p>
        </w:tc>
        <w:tc>
          <w:tcPr>
            <w:tcW w:type="dxa" w:w="4464"/>
            <w:tcMar>
              <w:top w:w="80" w:type="dxa"/>
              <w:start w:w="90" w:type="dxa"/>
              <w:bottom w:w="80" w:type="dxa"/>
              <w:end w:w="90" w:type="dxa"/>
            </w:tcMar>
            <w:vAlign w:val="center"/>
          </w:tcPr>
          <w:p>
            <w:pPr>
              <w:spacing w:after="20" w:line="240" w:lineRule="auto"/>
            </w:pPr>
            <w:r>
              <w:rPr>
                <w:sz w:val="14"/>
              </w:rPr>
              <w:t>Assign user to one home cost centre. Do not duplicate the $20 seat across every team or organisation.</w:t>
            </w:r>
          </w:p>
        </w:tc>
      </w:tr>
      <w:tr>
        <w:tc>
          <w:tcPr>
            <w:tcW w:type="dxa" w:w="2232"/>
            <w:tcMar>
              <w:top w:w="80" w:type="dxa"/>
              <w:start w:w="90" w:type="dxa"/>
              <w:bottom w:w="80" w:type="dxa"/>
              <w:end w:w="90" w:type="dxa"/>
            </w:tcMar>
            <w:vAlign w:val="center"/>
            <w:shd w:fill="F7F9FC"/>
          </w:tcPr>
          <w:p>
            <w:pPr>
              <w:spacing w:after="20" w:line="240" w:lineRule="auto"/>
            </w:pPr>
            <w:r>
              <w:rPr>
                <w:b/>
                <w:sz w:val="14"/>
              </w:rPr>
              <w:t>GitHub Actions</w:t>
            </w:r>
          </w:p>
        </w:tc>
        <w:tc>
          <w:tcPr>
            <w:tcW w:type="dxa" w:w="3528"/>
            <w:tcMar>
              <w:top w:w="80" w:type="dxa"/>
              <w:start w:w="90" w:type="dxa"/>
              <w:bottom w:w="80" w:type="dxa"/>
              <w:end w:w="90" w:type="dxa"/>
            </w:tcMar>
            <w:vAlign w:val="center"/>
            <w:shd w:fill="F7F9FC"/>
          </w:tcPr>
          <w:p>
            <w:pPr>
              <w:spacing w:after="20" w:line="240" w:lineRule="auto"/>
            </w:pPr>
            <w:r>
              <w:rPr>
                <w:b/>
                <w:sz w:val="14"/>
              </w:rPr>
              <w:t>Repository or organisation where workflow runs</w:t>
            </w:r>
          </w:p>
        </w:tc>
        <w:tc>
          <w:tcPr>
            <w:tcW w:type="dxa" w:w="1800"/>
            <w:tcMar>
              <w:top w:w="80" w:type="dxa"/>
              <w:start w:w="90" w:type="dxa"/>
              <w:bottom w:w="80" w:type="dxa"/>
              <w:end w:w="90" w:type="dxa"/>
            </w:tcMar>
            <w:vAlign w:val="center"/>
            <w:shd w:fill="F7F9FC"/>
          </w:tcPr>
          <w:p>
            <w:pPr>
              <w:spacing w:after="20" w:line="240" w:lineRule="auto"/>
            </w:pPr>
            <w:r>
              <w:rPr>
                <w:sz w:val="14"/>
              </w:rPr>
              <w:t>Usage-based</w:t>
            </w:r>
          </w:p>
        </w:tc>
        <w:tc>
          <w:tcPr>
            <w:tcW w:type="dxa" w:w="4464"/>
            <w:tcMar>
              <w:top w:w="80" w:type="dxa"/>
              <w:start w:w="90" w:type="dxa"/>
              <w:bottom w:w="80" w:type="dxa"/>
              <w:end w:w="90" w:type="dxa"/>
            </w:tcMar>
            <w:vAlign w:val="center"/>
            <w:shd w:fill="F7F9FC"/>
          </w:tcPr>
          <w:p>
            <w:pPr>
              <w:spacing w:after="20" w:line="240" w:lineRule="auto"/>
            </w:pPr>
            <w:r>
              <w:rPr>
                <w:sz w:val="14"/>
              </w:rPr>
              <w:t>Project cost follows repository owner. Shared repositories need a documented allocation rule.</w:t>
            </w:r>
          </w:p>
        </w:tc>
      </w:tr>
      <w:tr>
        <w:tc>
          <w:tcPr>
            <w:tcW w:type="dxa" w:w="2232"/>
            <w:tcMar>
              <w:top w:w="80" w:type="dxa"/>
              <w:start w:w="90" w:type="dxa"/>
              <w:bottom w:w="80" w:type="dxa"/>
              <w:end w:w="90" w:type="dxa"/>
            </w:tcMar>
            <w:vAlign w:val="center"/>
          </w:tcPr>
          <w:p>
            <w:pPr>
              <w:spacing w:after="20" w:line="240" w:lineRule="auto"/>
            </w:pPr>
            <w:r>
              <w:rPr>
                <w:b/>
                <w:sz w:val="14"/>
              </w:rPr>
              <w:t>GitHub Codespaces</w:t>
            </w:r>
          </w:p>
        </w:tc>
        <w:tc>
          <w:tcPr>
            <w:tcW w:type="dxa" w:w="3528"/>
            <w:tcMar>
              <w:top w:w="80" w:type="dxa"/>
              <w:start w:w="90" w:type="dxa"/>
              <w:bottom w:w="80" w:type="dxa"/>
              <w:end w:w="90" w:type="dxa"/>
            </w:tcMar>
            <w:vAlign w:val="center"/>
          </w:tcPr>
          <w:p>
            <w:pPr>
              <w:spacing w:after="20" w:line="240" w:lineRule="auto"/>
            </w:pPr>
            <w:r>
              <w:rPr>
                <w:b/>
                <w:sz w:val="14"/>
              </w:rPr>
              <w:t>Repository or organisation where codespace is created</w:t>
            </w:r>
          </w:p>
        </w:tc>
        <w:tc>
          <w:tcPr>
            <w:tcW w:type="dxa" w:w="1800"/>
            <w:tcMar>
              <w:top w:w="80" w:type="dxa"/>
              <w:start w:w="90" w:type="dxa"/>
              <w:bottom w:w="80" w:type="dxa"/>
              <w:end w:w="90" w:type="dxa"/>
            </w:tcMar>
            <w:vAlign w:val="center"/>
          </w:tcPr>
          <w:p>
            <w:pPr>
              <w:spacing w:after="20" w:line="240" w:lineRule="auto"/>
            </w:pPr>
            <w:r>
              <w:rPr>
                <w:sz w:val="14"/>
              </w:rPr>
              <w:t>Usage-based</w:t>
            </w:r>
          </w:p>
        </w:tc>
        <w:tc>
          <w:tcPr>
            <w:tcW w:type="dxa" w:w="4464"/>
            <w:tcMar>
              <w:top w:w="80" w:type="dxa"/>
              <w:start w:w="90" w:type="dxa"/>
              <w:bottom w:w="80" w:type="dxa"/>
              <w:end w:w="90" w:type="dxa"/>
            </w:tcMar>
            <w:vAlign w:val="center"/>
          </w:tcPr>
          <w:p>
            <w:pPr>
              <w:spacing w:after="20" w:line="240" w:lineRule="auto"/>
            </w:pPr>
            <w:r>
              <w:rPr>
                <w:sz w:val="14"/>
              </w:rPr>
              <w:t>Map repository to project; user view may be supplementary.</w:t>
            </w:r>
          </w:p>
        </w:tc>
      </w:tr>
      <w:tr>
        <w:tc>
          <w:tcPr>
            <w:tcW w:type="dxa" w:w="2232"/>
            <w:tcMar>
              <w:top w:w="80" w:type="dxa"/>
              <w:start w:w="90" w:type="dxa"/>
              <w:bottom w:w="80" w:type="dxa"/>
              <w:end w:w="90" w:type="dxa"/>
            </w:tcMar>
            <w:vAlign w:val="center"/>
            <w:shd w:fill="F7F9FC"/>
          </w:tcPr>
          <w:p>
            <w:pPr>
              <w:spacing w:after="20" w:line="240" w:lineRule="auto"/>
            </w:pPr>
            <w:r>
              <w:rPr>
                <w:b/>
                <w:sz w:val="14"/>
              </w:rPr>
              <w:t>GitHub Packages</w:t>
            </w:r>
          </w:p>
        </w:tc>
        <w:tc>
          <w:tcPr>
            <w:tcW w:type="dxa" w:w="3528"/>
            <w:tcMar>
              <w:top w:w="80" w:type="dxa"/>
              <w:start w:w="90" w:type="dxa"/>
              <w:bottom w:w="80" w:type="dxa"/>
              <w:end w:w="90" w:type="dxa"/>
            </w:tcMar>
            <w:vAlign w:val="center"/>
            <w:shd w:fill="F7F9FC"/>
          </w:tcPr>
          <w:p>
            <w:pPr>
              <w:spacing w:after="20" w:line="240" w:lineRule="auto"/>
            </w:pPr>
            <w:r>
              <w:rPr>
                <w:b/>
                <w:sz w:val="14"/>
              </w:rPr>
              <w:t>Repository or organisation owning package</w:t>
            </w:r>
          </w:p>
        </w:tc>
        <w:tc>
          <w:tcPr>
            <w:tcW w:type="dxa" w:w="1800"/>
            <w:tcMar>
              <w:top w:w="80" w:type="dxa"/>
              <w:start w:w="90" w:type="dxa"/>
              <w:bottom w:w="80" w:type="dxa"/>
              <w:end w:w="90" w:type="dxa"/>
            </w:tcMar>
            <w:vAlign w:val="center"/>
            <w:shd w:fill="F7F9FC"/>
          </w:tcPr>
          <w:p>
            <w:pPr>
              <w:spacing w:after="20" w:line="240" w:lineRule="auto"/>
            </w:pPr>
            <w:r>
              <w:rPr>
                <w:sz w:val="14"/>
              </w:rPr>
              <w:t>Usage-based</w:t>
            </w:r>
          </w:p>
        </w:tc>
        <w:tc>
          <w:tcPr>
            <w:tcW w:type="dxa" w:w="4464"/>
            <w:tcMar>
              <w:top w:w="80" w:type="dxa"/>
              <w:start w:w="90" w:type="dxa"/>
              <w:bottom w:w="80" w:type="dxa"/>
              <w:end w:w="90" w:type="dxa"/>
            </w:tcMar>
            <w:vAlign w:val="center"/>
            <w:shd w:fill="F7F9FC"/>
          </w:tcPr>
          <w:p>
            <w:pPr>
              <w:spacing w:after="20" w:line="240" w:lineRule="auto"/>
            </w:pPr>
            <w:r>
              <w:rPr>
                <w:sz w:val="14"/>
              </w:rPr>
              <w:t>Use package’s owning repository/project mapping.</w:t>
            </w:r>
          </w:p>
        </w:tc>
      </w:tr>
      <w:tr>
        <w:tc>
          <w:tcPr>
            <w:tcW w:type="dxa" w:w="2232"/>
            <w:tcMar>
              <w:top w:w="80" w:type="dxa"/>
              <w:start w:w="90" w:type="dxa"/>
              <w:bottom w:w="80" w:type="dxa"/>
              <w:end w:w="90" w:type="dxa"/>
            </w:tcMar>
            <w:vAlign w:val="center"/>
          </w:tcPr>
          <w:p>
            <w:pPr>
              <w:spacing w:after="20" w:line="240" w:lineRule="auto"/>
            </w:pPr>
            <w:r>
              <w:rPr>
                <w:b/>
                <w:sz w:val="14"/>
              </w:rPr>
              <w:t>Git LFS</w:t>
            </w:r>
          </w:p>
        </w:tc>
        <w:tc>
          <w:tcPr>
            <w:tcW w:type="dxa" w:w="3528"/>
            <w:tcMar>
              <w:top w:w="80" w:type="dxa"/>
              <w:start w:w="90" w:type="dxa"/>
              <w:bottom w:w="80" w:type="dxa"/>
              <w:end w:w="90" w:type="dxa"/>
            </w:tcMar>
            <w:vAlign w:val="center"/>
          </w:tcPr>
          <w:p>
            <w:pPr>
              <w:spacing w:after="20" w:line="240" w:lineRule="auto"/>
            </w:pPr>
            <w:r>
              <w:rPr>
                <w:b/>
                <w:sz w:val="14"/>
              </w:rPr>
              <w:t>Repository or organisation where LFS is used</w:t>
            </w:r>
          </w:p>
        </w:tc>
        <w:tc>
          <w:tcPr>
            <w:tcW w:type="dxa" w:w="1800"/>
            <w:tcMar>
              <w:top w:w="80" w:type="dxa"/>
              <w:start w:w="90" w:type="dxa"/>
              <w:bottom w:w="80" w:type="dxa"/>
              <w:end w:w="90" w:type="dxa"/>
            </w:tcMar>
            <w:vAlign w:val="center"/>
          </w:tcPr>
          <w:p>
            <w:pPr>
              <w:spacing w:after="20" w:line="240" w:lineRule="auto"/>
            </w:pPr>
            <w:r>
              <w:rPr>
                <w:sz w:val="14"/>
              </w:rPr>
              <w:t>Usage-based</w:t>
            </w:r>
          </w:p>
        </w:tc>
        <w:tc>
          <w:tcPr>
            <w:tcW w:type="dxa" w:w="4464"/>
            <w:tcMar>
              <w:top w:w="80" w:type="dxa"/>
              <w:start w:w="90" w:type="dxa"/>
              <w:bottom w:w="80" w:type="dxa"/>
              <w:end w:w="90" w:type="dxa"/>
            </w:tcMar>
            <w:vAlign w:val="center"/>
          </w:tcPr>
          <w:p>
            <w:pPr>
              <w:spacing w:after="20" w:line="240" w:lineRule="auto"/>
            </w:pPr>
            <w:r>
              <w:rPr>
                <w:sz w:val="14"/>
              </w:rPr>
              <w:t>Use repository mapping.</w:t>
            </w:r>
          </w:p>
        </w:tc>
      </w:tr>
      <w:tr>
        <w:tc>
          <w:tcPr>
            <w:tcW w:type="dxa" w:w="2232"/>
            <w:tcMar>
              <w:top w:w="80" w:type="dxa"/>
              <w:start w:w="90" w:type="dxa"/>
              <w:bottom w:w="80" w:type="dxa"/>
              <w:end w:w="90" w:type="dxa"/>
            </w:tcMar>
            <w:vAlign w:val="center"/>
            <w:shd w:fill="F7F9FC"/>
          </w:tcPr>
          <w:p>
            <w:pPr>
              <w:spacing w:after="20" w:line="240" w:lineRule="auto"/>
            </w:pPr>
            <w:r>
              <w:rPr>
                <w:b/>
                <w:sz w:val="14"/>
              </w:rPr>
              <w:t>Copilot licence</w:t>
            </w:r>
          </w:p>
        </w:tc>
        <w:tc>
          <w:tcPr>
            <w:tcW w:type="dxa" w:w="3528"/>
            <w:tcMar>
              <w:top w:w="80" w:type="dxa"/>
              <w:start w:w="90" w:type="dxa"/>
              <w:bottom w:w="80" w:type="dxa"/>
              <w:end w:w="90" w:type="dxa"/>
            </w:tcMar>
            <w:vAlign w:val="center"/>
            <w:shd w:fill="F7F9FC"/>
          </w:tcPr>
          <w:p>
            <w:pPr>
              <w:spacing w:after="20" w:line="240" w:lineRule="auto"/>
            </w:pPr>
            <w:r>
              <w:rPr>
                <w:b/>
                <w:sz w:val="14"/>
              </w:rPr>
              <w:t>Licensed user first; otherwise billed organisation</w:t>
            </w:r>
          </w:p>
        </w:tc>
        <w:tc>
          <w:tcPr>
            <w:tcW w:type="dxa" w:w="1800"/>
            <w:tcMar>
              <w:top w:w="80" w:type="dxa"/>
              <w:start w:w="90" w:type="dxa"/>
              <w:bottom w:w="80" w:type="dxa"/>
              <w:end w:w="90" w:type="dxa"/>
            </w:tcMar>
            <w:vAlign w:val="center"/>
            <w:shd w:fill="F7F9FC"/>
          </w:tcPr>
          <w:p>
            <w:pPr>
              <w:spacing w:after="20" w:line="240" w:lineRule="auto"/>
            </w:pPr>
            <w:r>
              <w:rPr>
                <w:sz w:val="14"/>
              </w:rPr>
              <w:t>License-based</w:t>
            </w:r>
          </w:p>
        </w:tc>
        <w:tc>
          <w:tcPr>
            <w:tcW w:type="dxa" w:w="4464"/>
            <w:tcMar>
              <w:top w:w="80" w:type="dxa"/>
              <w:start w:w="90" w:type="dxa"/>
              <w:bottom w:w="80" w:type="dxa"/>
              <w:end w:w="90" w:type="dxa"/>
            </w:tcMar>
            <w:vAlign w:val="center"/>
            <w:shd w:fill="F7F9FC"/>
          </w:tcPr>
          <w:p>
            <w:pPr>
              <w:spacing w:after="20" w:line="240" w:lineRule="auto"/>
            </w:pPr>
            <w:r>
              <w:rPr>
                <w:sz w:val="14"/>
              </w:rPr>
              <w:t>Allocate the seat to the user’s home cost centre.</w:t>
            </w:r>
          </w:p>
        </w:tc>
      </w:tr>
      <w:tr>
        <w:tc>
          <w:tcPr>
            <w:tcW w:type="dxa" w:w="2232"/>
            <w:tcMar>
              <w:top w:w="80" w:type="dxa"/>
              <w:start w:w="90" w:type="dxa"/>
              <w:bottom w:w="80" w:type="dxa"/>
              <w:end w:w="90" w:type="dxa"/>
            </w:tcMar>
            <w:vAlign w:val="center"/>
          </w:tcPr>
          <w:p>
            <w:pPr>
              <w:spacing w:after="20" w:line="240" w:lineRule="auto"/>
            </w:pPr>
            <w:r>
              <w:rPr>
                <w:b/>
                <w:sz w:val="14"/>
              </w:rPr>
              <w:t>AI credits</w:t>
            </w:r>
          </w:p>
        </w:tc>
        <w:tc>
          <w:tcPr>
            <w:tcW w:type="dxa" w:w="3528"/>
            <w:tcMar>
              <w:top w:w="80" w:type="dxa"/>
              <w:start w:w="90" w:type="dxa"/>
              <w:bottom w:w="80" w:type="dxa"/>
              <w:end w:w="90" w:type="dxa"/>
            </w:tcMar>
            <w:vAlign w:val="center"/>
          </w:tcPr>
          <w:p>
            <w:pPr>
              <w:spacing w:after="20" w:line="240" w:lineRule="auto"/>
            </w:pPr>
            <w:r>
              <w:rPr>
                <w:b/>
                <w:sz w:val="14"/>
              </w:rPr>
              <w:t>User who triggered usage first; otherwise licence-granting organisation</w:t>
            </w:r>
          </w:p>
        </w:tc>
        <w:tc>
          <w:tcPr>
            <w:tcW w:type="dxa" w:w="1800"/>
            <w:tcMar>
              <w:top w:w="80" w:type="dxa"/>
              <w:start w:w="90" w:type="dxa"/>
              <w:bottom w:w="80" w:type="dxa"/>
              <w:end w:w="90" w:type="dxa"/>
            </w:tcMar>
            <w:vAlign w:val="center"/>
          </w:tcPr>
          <w:p>
            <w:pPr>
              <w:spacing w:after="20" w:line="240" w:lineRule="auto"/>
            </w:pPr>
            <w:r>
              <w:rPr>
                <w:sz w:val="14"/>
              </w:rPr>
              <w:t>Usage-based</w:t>
            </w:r>
          </w:p>
        </w:tc>
        <w:tc>
          <w:tcPr>
            <w:tcW w:type="dxa" w:w="4464"/>
            <w:tcMar>
              <w:top w:w="80" w:type="dxa"/>
              <w:start w:w="90" w:type="dxa"/>
              <w:bottom w:w="80" w:type="dxa"/>
              <w:end w:w="90" w:type="dxa"/>
            </w:tcMar>
            <w:vAlign w:val="center"/>
          </w:tcPr>
          <w:p>
            <w:pPr>
              <w:spacing w:after="20" w:line="240" w:lineRule="auto"/>
            </w:pPr>
            <w:r>
              <w:rPr>
                <w:sz w:val="14"/>
              </w:rPr>
              <w:t>Attribute directly to user, then roll up through the project allocation table.</w:t>
            </w:r>
          </w:p>
        </w:tc>
      </w:tr>
      <w:tr>
        <w:tc>
          <w:tcPr>
            <w:tcW w:type="dxa" w:w="2232"/>
            <w:tcMar>
              <w:top w:w="80" w:type="dxa"/>
              <w:start w:w="90" w:type="dxa"/>
              <w:bottom w:w="80" w:type="dxa"/>
              <w:end w:w="90" w:type="dxa"/>
            </w:tcMar>
            <w:vAlign w:val="center"/>
            <w:shd w:fill="F7F9FC"/>
          </w:tcPr>
          <w:p>
            <w:pPr>
              <w:spacing w:after="20" w:line="240" w:lineRule="auto"/>
            </w:pPr>
            <w:r>
              <w:rPr>
                <w:b/>
                <w:sz w:val="14"/>
              </w:rPr>
              <w:t>GitHub Advanced Security</w:t>
            </w:r>
          </w:p>
        </w:tc>
        <w:tc>
          <w:tcPr>
            <w:tcW w:type="dxa" w:w="3528"/>
            <w:tcMar>
              <w:top w:w="80" w:type="dxa"/>
              <w:start w:w="90" w:type="dxa"/>
              <w:bottom w:w="80" w:type="dxa"/>
              <w:end w:w="90" w:type="dxa"/>
            </w:tcMar>
            <w:vAlign w:val="center"/>
            <w:shd w:fill="F7F9FC"/>
          </w:tcPr>
          <w:p>
            <w:pPr>
              <w:spacing w:after="20" w:line="240" w:lineRule="auto"/>
            </w:pPr>
            <w:r>
              <w:rPr>
                <w:b/>
                <w:sz w:val="14"/>
              </w:rPr>
              <w:t>Licensed user first or billed organisation</w:t>
            </w:r>
          </w:p>
        </w:tc>
        <w:tc>
          <w:tcPr>
            <w:tcW w:type="dxa" w:w="1800"/>
            <w:tcMar>
              <w:top w:w="80" w:type="dxa"/>
              <w:start w:w="90" w:type="dxa"/>
              <w:bottom w:w="80" w:type="dxa"/>
              <w:end w:w="90" w:type="dxa"/>
            </w:tcMar>
            <w:vAlign w:val="center"/>
            <w:shd w:fill="F7F9FC"/>
          </w:tcPr>
          <w:p>
            <w:pPr>
              <w:spacing w:after="20" w:line="240" w:lineRule="auto"/>
            </w:pPr>
            <w:r>
              <w:rPr>
                <w:sz w:val="14"/>
              </w:rPr>
              <w:t>Licence/SKU dependent</w:t>
            </w:r>
          </w:p>
        </w:tc>
        <w:tc>
          <w:tcPr>
            <w:tcW w:type="dxa" w:w="4464"/>
            <w:tcMar>
              <w:top w:w="80" w:type="dxa"/>
              <w:start w:w="90" w:type="dxa"/>
              <w:bottom w:w="80" w:type="dxa"/>
              <w:end w:w="90" w:type="dxa"/>
            </w:tcMar>
            <w:vAlign w:val="center"/>
            <w:shd w:fill="F7F9FC"/>
          </w:tcPr>
          <w:p>
            <w:pPr>
              <w:spacing w:after="20" w:line="240" w:lineRule="auto"/>
            </w:pPr>
            <w:r>
              <w:rPr>
                <w:sz w:val="14"/>
              </w:rPr>
              <w:t>Confirm contracted model and assign users/repositories to cost centres.</w:t>
            </w:r>
          </w:p>
        </w:tc>
      </w:tr>
    </w:tbl>
    <w:p>
      <w:pPr>
        <w:spacing w:after="20"/>
      </w:pPr>
    </w:p>
    <w:p>
      <w:r>
        <w:t>This attribution order is defined by GitHub’s cost-centre allocation reference. Cost centres apply to metered usage, but GitHub notes that they do not operate as a generic solution for all volume or subscription billing. [4][5]</w:t>
      </w:r>
    </w:p>
    <w:p>
      <w:pPr>
        <w:pStyle w:val="Heading1"/>
      </w:pPr>
      <w:r>
        <w:t>4. Recommended alternatives for project-team reporting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232"/>
            <w:shd w:fill="17365D"/>
            <w:tcMar>
              <w:top w:w="80" w:type="dxa"/>
              <w:start w:w="90" w:type="dxa"/>
              <w:bottom w:w="80" w:type="dxa"/>
              <w:end w:w="90" w:type="dxa"/>
            </w:tcMar>
            <w:vAlign w:val="center"/>
          </w:tcPr>
          <w:p>
            <w:pPr>
              <w:jc w:val="center"/>
            </w:pPr>
            <w:r>
              <w:rPr>
                <w:b/>
                <w:color w:val="FFFFFF"/>
                <w:sz w:val="14"/>
              </w:rPr>
              <w:t>Alternative</w:t>
            </w:r>
          </w:p>
        </w:tc>
        <w:tc>
          <w:tcPr>
            <w:tcW w:type="dxa" w:w="2232"/>
            <w:shd w:fill="17365D"/>
            <w:tcMar>
              <w:top w:w="80" w:type="dxa"/>
              <w:start w:w="90" w:type="dxa"/>
              <w:bottom w:w="80" w:type="dxa"/>
              <w:end w:w="90" w:type="dxa"/>
            </w:tcMar>
            <w:vAlign w:val="center"/>
          </w:tcPr>
          <w:p>
            <w:pPr>
              <w:jc w:val="center"/>
            </w:pPr>
            <w:r>
              <w:rPr>
                <w:b/>
                <w:color w:val="FFFFFF"/>
                <w:sz w:val="14"/>
              </w:rPr>
              <w:t>Best for</w:t>
            </w:r>
          </w:p>
        </w:tc>
        <w:tc>
          <w:tcPr>
            <w:tcW w:type="dxa" w:w="1655"/>
            <w:shd w:fill="17365D"/>
            <w:tcMar>
              <w:top w:w="80" w:type="dxa"/>
              <w:start w:w="90" w:type="dxa"/>
              <w:bottom w:w="80" w:type="dxa"/>
              <w:end w:w="90" w:type="dxa"/>
            </w:tcMar>
            <w:vAlign w:val="center"/>
          </w:tcPr>
          <w:p>
            <w:pPr>
              <w:jc w:val="center"/>
            </w:pPr>
            <w:r>
              <w:rPr>
                <w:b/>
                <w:color w:val="FFFFFF"/>
                <w:sz w:val="14"/>
              </w:rPr>
              <w:t>Accuracy</w:t>
            </w:r>
          </w:p>
        </w:tc>
        <w:tc>
          <w:tcPr>
            <w:tcW w:type="dxa" w:w="3024"/>
            <w:shd w:fill="17365D"/>
            <w:tcMar>
              <w:top w:w="80" w:type="dxa"/>
              <w:start w:w="90" w:type="dxa"/>
              <w:bottom w:w="80" w:type="dxa"/>
              <w:end w:w="90" w:type="dxa"/>
            </w:tcMar>
            <w:vAlign w:val="center"/>
          </w:tcPr>
          <w:p>
            <w:pPr>
              <w:jc w:val="center"/>
            </w:pPr>
            <w:r>
              <w:rPr>
                <w:b/>
                <w:color w:val="FFFFFF"/>
                <w:sz w:val="14"/>
              </w:rPr>
              <w:t>Data required</w:t>
            </w:r>
          </w:p>
        </w:tc>
        <w:tc>
          <w:tcPr>
            <w:tcW w:type="dxa" w:w="3024"/>
            <w:shd w:fill="17365D"/>
            <w:tcMar>
              <w:top w:w="80" w:type="dxa"/>
              <w:start w:w="90" w:type="dxa"/>
              <w:bottom w:w="80" w:type="dxa"/>
              <w:end w:w="90" w:type="dxa"/>
            </w:tcMar>
            <w:vAlign w:val="center"/>
          </w:tcPr>
          <w:p>
            <w:pPr>
              <w:jc w:val="center"/>
            </w:pPr>
            <w:r>
              <w:rPr>
                <w:b/>
                <w:color w:val="FFFFFF"/>
                <w:sz w:val="14"/>
              </w:rPr>
              <w:t>Recommendation</w:t>
            </w:r>
          </w:p>
        </w:tc>
      </w:tr>
      <w:tr>
        <w:tc>
          <w:tcPr>
            <w:tcW w:type="dxa" w:w="2232"/>
            <w:tcMar>
              <w:top w:w="80" w:type="dxa"/>
              <w:start w:w="90" w:type="dxa"/>
              <w:bottom w:w="80" w:type="dxa"/>
              <w:end w:w="90" w:type="dxa"/>
            </w:tcMar>
            <w:vAlign w:val="center"/>
          </w:tcPr>
          <w:p>
            <w:pPr>
              <w:spacing w:after="20" w:line="240" w:lineRule="auto"/>
            </w:pPr>
            <w:r>
              <w:rPr>
                <w:b/>
                <w:sz w:val="14"/>
              </w:rPr>
              <w:t>A. Repository ownership mapping</w:t>
            </w:r>
          </w:p>
        </w:tc>
        <w:tc>
          <w:tcPr>
            <w:tcW w:type="dxa" w:w="2232"/>
            <w:tcMar>
              <w:top w:w="80" w:type="dxa"/>
              <w:start w:w="90" w:type="dxa"/>
              <w:bottom w:w="80" w:type="dxa"/>
              <w:end w:w="90" w:type="dxa"/>
            </w:tcMar>
            <w:vAlign w:val="center"/>
          </w:tcPr>
          <w:p>
            <w:pPr>
              <w:spacing w:after="20" w:line="240" w:lineRule="auto"/>
            </w:pPr>
            <w:r>
              <w:rPr>
                <w:b/>
                <w:sz w:val="14"/>
              </w:rPr>
              <w:t>Actions, Codespaces, Packages, LFS</w:t>
            </w:r>
          </w:p>
        </w:tc>
        <w:tc>
          <w:tcPr>
            <w:tcW w:type="dxa" w:w="1655"/>
            <w:tcMar>
              <w:top w:w="80" w:type="dxa"/>
              <w:start w:w="90" w:type="dxa"/>
              <w:bottom w:w="80" w:type="dxa"/>
              <w:end w:w="90" w:type="dxa"/>
            </w:tcMar>
            <w:vAlign w:val="center"/>
          </w:tcPr>
          <w:p>
            <w:pPr>
              <w:spacing w:after="20" w:line="240" w:lineRule="auto"/>
            </w:pPr>
            <w:r>
              <w:rPr>
                <w:sz w:val="14"/>
              </w:rPr>
              <w:t>High when repositories have one owner</w:t>
            </w:r>
          </w:p>
        </w:tc>
        <w:tc>
          <w:tcPr>
            <w:tcW w:type="dxa" w:w="3024"/>
            <w:tcMar>
              <w:top w:w="80" w:type="dxa"/>
              <w:start w:w="90" w:type="dxa"/>
              <w:bottom w:w="80" w:type="dxa"/>
              <w:end w:w="90" w:type="dxa"/>
            </w:tcMar>
            <w:vAlign w:val="center"/>
          </w:tcPr>
          <w:p>
            <w:pPr>
              <w:spacing w:after="20" w:line="240" w:lineRule="auto"/>
            </w:pPr>
            <w:r>
              <w:rPr>
                <w:sz w:val="14"/>
              </w:rPr>
              <w:t>Billing export + repository-to-project table</w:t>
            </w:r>
          </w:p>
        </w:tc>
        <w:tc>
          <w:tcPr>
            <w:tcW w:type="dxa" w:w="3024"/>
            <w:tcMar>
              <w:top w:w="80" w:type="dxa"/>
              <w:start w:w="90" w:type="dxa"/>
              <w:bottom w:w="80" w:type="dxa"/>
              <w:end w:w="90" w:type="dxa"/>
            </w:tcMar>
            <w:vAlign w:val="center"/>
          </w:tcPr>
          <w:p>
            <w:pPr>
              <w:spacing w:after="20" w:line="240" w:lineRule="auto"/>
            </w:pPr>
            <w:r>
              <w:rPr>
                <w:sz w:val="14"/>
              </w:rPr>
              <w:t>Recommended primary method for future Actions rollout.</w:t>
            </w:r>
          </w:p>
        </w:tc>
      </w:tr>
      <w:tr>
        <w:tc>
          <w:tcPr>
            <w:tcW w:type="dxa" w:w="2232"/>
            <w:tcMar>
              <w:top w:w="80" w:type="dxa"/>
              <w:start w:w="90" w:type="dxa"/>
              <w:bottom w:w="80" w:type="dxa"/>
              <w:end w:w="90" w:type="dxa"/>
            </w:tcMar>
            <w:vAlign w:val="center"/>
            <w:shd w:fill="F7F9FC"/>
          </w:tcPr>
          <w:p>
            <w:pPr>
              <w:spacing w:after="20" w:line="240" w:lineRule="auto"/>
            </w:pPr>
            <w:r>
              <w:rPr>
                <w:b/>
                <w:sz w:val="14"/>
              </w:rPr>
              <w:t>B. Cost centre per project</w:t>
            </w:r>
          </w:p>
        </w:tc>
        <w:tc>
          <w:tcPr>
            <w:tcW w:type="dxa" w:w="2232"/>
            <w:tcMar>
              <w:top w:w="80" w:type="dxa"/>
              <w:start w:w="90" w:type="dxa"/>
              <w:bottom w:w="80" w:type="dxa"/>
              <w:end w:w="90" w:type="dxa"/>
            </w:tcMar>
            <w:vAlign w:val="center"/>
            <w:shd w:fill="F7F9FC"/>
          </w:tcPr>
          <w:p>
            <w:pPr>
              <w:spacing w:after="20" w:line="240" w:lineRule="auto"/>
            </w:pPr>
            <w:r>
              <w:rPr>
                <w:b/>
                <w:sz w:val="14"/>
              </w:rPr>
              <w:t>Formal budget/chargeback</w:t>
            </w:r>
          </w:p>
        </w:tc>
        <w:tc>
          <w:tcPr>
            <w:tcW w:type="dxa" w:w="1655"/>
            <w:tcMar>
              <w:top w:w="80" w:type="dxa"/>
              <w:start w:w="90" w:type="dxa"/>
              <w:bottom w:w="80" w:type="dxa"/>
              <w:end w:w="90" w:type="dxa"/>
            </w:tcMar>
            <w:vAlign w:val="center"/>
            <w:shd w:fill="F7F9FC"/>
          </w:tcPr>
          <w:p>
            <w:pPr>
              <w:spacing w:after="20" w:line="240" w:lineRule="auto"/>
            </w:pPr>
            <w:r>
              <w:rPr>
                <w:sz w:val="14"/>
              </w:rPr>
              <w:t>High if resources are exclusive</w:t>
            </w:r>
          </w:p>
        </w:tc>
        <w:tc>
          <w:tcPr>
            <w:tcW w:type="dxa" w:w="3024"/>
            <w:tcMar>
              <w:top w:w="80" w:type="dxa"/>
              <w:start w:w="90" w:type="dxa"/>
              <w:bottom w:w="80" w:type="dxa"/>
              <w:end w:w="90" w:type="dxa"/>
            </w:tcMar>
            <w:vAlign w:val="center"/>
            <w:shd w:fill="F7F9FC"/>
          </w:tcPr>
          <w:p>
            <w:pPr>
              <w:spacing w:after="20" w:line="240" w:lineRule="auto"/>
            </w:pPr>
            <w:r>
              <w:rPr>
                <w:sz w:val="14"/>
              </w:rPr>
              <w:t>GitHub cost centres, budgets and usage</w:t>
            </w:r>
          </w:p>
        </w:tc>
        <w:tc>
          <w:tcPr>
            <w:tcW w:type="dxa" w:w="3024"/>
            <w:tcMar>
              <w:top w:w="80" w:type="dxa"/>
              <w:start w:w="90" w:type="dxa"/>
              <w:bottom w:w="80" w:type="dxa"/>
              <w:end w:w="90" w:type="dxa"/>
            </w:tcMar>
            <w:vAlign w:val="center"/>
            <w:shd w:fill="F7F9FC"/>
          </w:tcPr>
          <w:p>
            <w:pPr>
              <w:spacing w:after="20" w:line="240" w:lineRule="auto"/>
            </w:pPr>
            <w:r>
              <w:rPr>
                <w:sz w:val="14"/>
              </w:rPr>
              <w:t>Use only where each user/repository has one clear financial owner.</w:t>
            </w:r>
          </w:p>
        </w:tc>
      </w:tr>
      <w:tr>
        <w:tc>
          <w:tcPr>
            <w:tcW w:type="dxa" w:w="2232"/>
            <w:tcMar>
              <w:top w:w="80" w:type="dxa"/>
              <w:start w:w="90" w:type="dxa"/>
              <w:bottom w:w="80" w:type="dxa"/>
              <w:end w:w="90" w:type="dxa"/>
            </w:tcMar>
            <w:vAlign w:val="center"/>
          </w:tcPr>
          <w:p>
            <w:pPr>
              <w:spacing w:after="20" w:line="240" w:lineRule="auto"/>
            </w:pPr>
            <w:r>
              <w:rPr>
                <w:b/>
                <w:sz w:val="14"/>
              </w:rPr>
              <w:t>C. Enterprise team to cost centre</w:t>
            </w:r>
          </w:p>
        </w:tc>
        <w:tc>
          <w:tcPr>
            <w:tcW w:type="dxa" w:w="2232"/>
            <w:tcMar>
              <w:top w:w="80" w:type="dxa"/>
              <w:start w:w="90" w:type="dxa"/>
              <w:bottom w:w="80" w:type="dxa"/>
              <w:end w:w="90" w:type="dxa"/>
            </w:tcMar>
            <w:vAlign w:val="center"/>
          </w:tcPr>
          <w:p>
            <w:pPr>
              <w:spacing w:after="20" w:line="240" w:lineRule="auto"/>
            </w:pPr>
            <w:r>
              <w:rPr>
                <w:b/>
                <w:sz w:val="14"/>
              </w:rPr>
              <w:t>Licence allocation and stable membership</w:t>
            </w:r>
          </w:p>
        </w:tc>
        <w:tc>
          <w:tcPr>
            <w:tcW w:type="dxa" w:w="1655"/>
            <w:tcMar>
              <w:top w:w="80" w:type="dxa"/>
              <w:start w:w="90" w:type="dxa"/>
              <w:bottom w:w="80" w:type="dxa"/>
              <w:end w:w="90" w:type="dxa"/>
            </w:tcMar>
            <w:vAlign w:val="center"/>
          </w:tcPr>
          <w:p>
            <w:pPr>
              <w:spacing w:after="20" w:line="240" w:lineRule="auto"/>
            </w:pPr>
            <w:r>
              <w:rPr>
                <w:sz w:val="14"/>
              </w:rPr>
              <w:t>High for user-based products</w:t>
            </w:r>
          </w:p>
        </w:tc>
        <w:tc>
          <w:tcPr>
            <w:tcW w:type="dxa" w:w="3024"/>
            <w:tcMar>
              <w:top w:w="80" w:type="dxa"/>
              <w:start w:w="90" w:type="dxa"/>
              <w:bottom w:w="80" w:type="dxa"/>
              <w:end w:w="90" w:type="dxa"/>
            </w:tcMar>
            <w:vAlign w:val="center"/>
          </w:tcPr>
          <w:p>
            <w:pPr>
              <w:spacing w:after="20" w:line="240" w:lineRule="auto"/>
            </w:pPr>
            <w:r>
              <w:rPr>
                <w:sz w:val="14"/>
              </w:rPr>
              <w:t>Enterprise team membership + cost centre</w:t>
            </w:r>
          </w:p>
        </w:tc>
        <w:tc>
          <w:tcPr>
            <w:tcW w:type="dxa" w:w="3024"/>
            <w:tcMar>
              <w:top w:w="80" w:type="dxa"/>
              <w:start w:w="90" w:type="dxa"/>
              <w:bottom w:w="80" w:type="dxa"/>
              <w:end w:w="90" w:type="dxa"/>
            </w:tcMar>
            <w:vAlign w:val="center"/>
          </w:tcPr>
          <w:p>
            <w:pPr>
              <w:spacing w:after="20" w:line="240" w:lineRule="auto"/>
            </w:pPr>
            <w:r>
              <w:rPr>
                <w:sz w:val="14"/>
              </w:rPr>
              <w:t>Useful for GitHub Enterprise/Copilot seats; avoid ambiguous multi-team membership.</w:t>
            </w:r>
          </w:p>
        </w:tc>
      </w:tr>
      <w:tr>
        <w:tc>
          <w:tcPr>
            <w:tcW w:type="dxa" w:w="2232"/>
            <w:tcMar>
              <w:top w:w="80" w:type="dxa"/>
              <w:start w:w="90" w:type="dxa"/>
              <w:bottom w:w="80" w:type="dxa"/>
              <w:end w:w="90" w:type="dxa"/>
            </w:tcMar>
            <w:vAlign w:val="center"/>
            <w:shd w:fill="F7F9FC"/>
          </w:tcPr>
          <w:p>
            <w:pPr>
              <w:spacing w:after="20" w:line="240" w:lineRule="auto"/>
            </w:pPr>
            <w:r>
              <w:rPr>
                <w:b/>
                <w:sz w:val="14"/>
              </w:rPr>
              <w:t>D. User-to-project allocation</w:t>
            </w:r>
          </w:p>
        </w:tc>
        <w:tc>
          <w:tcPr>
            <w:tcW w:type="dxa" w:w="2232"/>
            <w:tcMar>
              <w:top w:w="80" w:type="dxa"/>
              <w:start w:w="90" w:type="dxa"/>
              <w:bottom w:w="80" w:type="dxa"/>
              <w:end w:w="90" w:type="dxa"/>
            </w:tcMar>
            <w:vAlign w:val="center"/>
            <w:shd w:fill="F7F9FC"/>
          </w:tcPr>
          <w:p>
            <w:pPr>
              <w:spacing w:after="20" w:line="240" w:lineRule="auto"/>
            </w:pPr>
            <w:r>
              <w:rPr>
                <w:b/>
                <w:sz w:val="14"/>
              </w:rPr>
              <w:t>Copilot/AI and shared developers</w:t>
            </w:r>
          </w:p>
        </w:tc>
        <w:tc>
          <w:tcPr>
            <w:tcW w:type="dxa" w:w="1655"/>
            <w:tcMar>
              <w:top w:w="80" w:type="dxa"/>
              <w:start w:w="90" w:type="dxa"/>
              <w:bottom w:w="80" w:type="dxa"/>
              <w:end w:w="90" w:type="dxa"/>
            </w:tcMar>
            <w:vAlign w:val="center"/>
            <w:shd w:fill="F7F9FC"/>
          </w:tcPr>
          <w:p>
            <w:pPr>
              <w:spacing w:after="20" w:line="240" w:lineRule="auto"/>
            </w:pPr>
            <w:r>
              <w:rPr>
                <w:sz w:val="14"/>
              </w:rPr>
              <w:t>Medium; policy-driven</w:t>
            </w:r>
          </w:p>
        </w:tc>
        <w:tc>
          <w:tcPr>
            <w:tcW w:type="dxa" w:w="3024"/>
            <w:tcMar>
              <w:top w:w="80" w:type="dxa"/>
              <w:start w:w="90" w:type="dxa"/>
              <w:bottom w:w="80" w:type="dxa"/>
              <w:end w:w="90" w:type="dxa"/>
            </w:tcMar>
            <w:vAlign w:val="center"/>
            <w:shd w:fill="F7F9FC"/>
          </w:tcPr>
          <w:p>
            <w:pPr>
              <w:spacing w:after="20" w:line="240" w:lineRule="auto"/>
            </w:pPr>
            <w:r>
              <w:rPr>
                <w:sz w:val="14"/>
              </w:rPr>
              <w:t>Username usage + allocation percentages</w:t>
            </w:r>
          </w:p>
        </w:tc>
        <w:tc>
          <w:tcPr>
            <w:tcW w:type="dxa" w:w="3024"/>
            <w:tcMar>
              <w:top w:w="80" w:type="dxa"/>
              <w:start w:w="90" w:type="dxa"/>
              <w:bottom w:w="80" w:type="dxa"/>
              <w:end w:w="90" w:type="dxa"/>
            </w:tcMar>
            <w:vAlign w:val="center"/>
            <w:shd w:fill="F7F9FC"/>
          </w:tcPr>
          <w:p>
            <w:pPr>
              <w:spacing w:after="20" w:line="240" w:lineRule="auto"/>
            </w:pPr>
            <w:r>
              <w:rPr>
                <w:sz w:val="14"/>
              </w:rPr>
              <w:t>Needed when one developer serves multiple projects.</w:t>
            </w:r>
          </w:p>
        </w:tc>
      </w:tr>
      <w:tr>
        <w:tc>
          <w:tcPr>
            <w:tcW w:type="dxa" w:w="2232"/>
            <w:tcMar>
              <w:top w:w="80" w:type="dxa"/>
              <w:start w:w="90" w:type="dxa"/>
              <w:bottom w:w="80" w:type="dxa"/>
              <w:end w:w="90" w:type="dxa"/>
            </w:tcMar>
            <w:vAlign w:val="center"/>
          </w:tcPr>
          <w:p>
            <w:pPr>
              <w:spacing w:after="20" w:line="240" w:lineRule="auto"/>
            </w:pPr>
            <w:r>
              <w:rPr>
                <w:b/>
                <w:sz w:val="14"/>
              </w:rPr>
              <w:t>E. Custom BI dashboard</w:t>
            </w:r>
          </w:p>
        </w:tc>
        <w:tc>
          <w:tcPr>
            <w:tcW w:type="dxa" w:w="2232"/>
            <w:tcMar>
              <w:top w:w="80" w:type="dxa"/>
              <w:start w:w="90" w:type="dxa"/>
              <w:bottom w:w="80" w:type="dxa"/>
              <w:end w:w="90" w:type="dxa"/>
            </w:tcMar>
            <w:vAlign w:val="center"/>
          </w:tcPr>
          <w:p>
            <w:pPr>
              <w:spacing w:after="20" w:line="240" w:lineRule="auto"/>
            </w:pPr>
            <w:r>
              <w:rPr>
                <w:b/>
                <w:sz w:val="14"/>
              </w:rPr>
              <w:t>Combined management view</w:t>
            </w:r>
          </w:p>
        </w:tc>
        <w:tc>
          <w:tcPr>
            <w:tcW w:type="dxa" w:w="1655"/>
            <w:tcMar>
              <w:top w:w="80" w:type="dxa"/>
              <w:start w:w="90" w:type="dxa"/>
              <w:bottom w:w="80" w:type="dxa"/>
              <w:end w:w="90" w:type="dxa"/>
            </w:tcMar>
            <w:vAlign w:val="center"/>
          </w:tcPr>
          <w:p>
            <w:pPr>
              <w:spacing w:after="20" w:line="240" w:lineRule="auto"/>
            </w:pPr>
            <w:r>
              <w:rPr>
                <w:sz w:val="14"/>
              </w:rPr>
              <w:t>Depends on mapping quality</w:t>
            </w:r>
          </w:p>
        </w:tc>
        <w:tc>
          <w:tcPr>
            <w:tcW w:type="dxa" w:w="3024"/>
            <w:tcMar>
              <w:top w:w="80" w:type="dxa"/>
              <w:start w:w="90" w:type="dxa"/>
              <w:bottom w:w="80" w:type="dxa"/>
              <w:end w:w="90" w:type="dxa"/>
            </w:tcMar>
            <w:vAlign w:val="center"/>
          </w:tcPr>
          <w:p>
            <w:pPr>
              <w:spacing w:after="20" w:line="240" w:lineRule="auto"/>
            </w:pPr>
            <w:r>
              <w:rPr>
                <w:sz w:val="14"/>
              </w:rPr>
              <w:t>Billing API/export + Teams API + CMDB/Jira/Okta</w:t>
            </w:r>
          </w:p>
        </w:tc>
        <w:tc>
          <w:tcPr>
            <w:tcW w:type="dxa" w:w="3024"/>
            <w:tcMar>
              <w:top w:w="80" w:type="dxa"/>
              <w:start w:w="90" w:type="dxa"/>
              <w:bottom w:w="80" w:type="dxa"/>
              <w:end w:w="90" w:type="dxa"/>
            </w:tcMar>
            <w:vAlign w:val="center"/>
          </w:tcPr>
          <w:p>
            <w:pPr>
              <w:spacing w:after="20" w:line="240" w:lineRule="auto"/>
            </w:pPr>
            <w:r>
              <w:rPr>
                <w:sz w:val="14"/>
              </w:rPr>
              <w:t>Best overall view; clearly label native cost versus allocated cost.</w:t>
            </w:r>
          </w:p>
        </w:tc>
      </w:tr>
      <w:tr>
        <w:tc>
          <w:tcPr>
            <w:tcW w:type="dxa" w:w="2232"/>
            <w:tcMar>
              <w:top w:w="80" w:type="dxa"/>
              <w:start w:w="90" w:type="dxa"/>
              <w:bottom w:w="80" w:type="dxa"/>
              <w:end w:w="90" w:type="dxa"/>
            </w:tcMar>
            <w:vAlign w:val="center"/>
            <w:shd w:fill="F7F9FC"/>
          </w:tcPr>
          <w:p>
            <w:pPr>
              <w:spacing w:after="20" w:line="240" w:lineRule="auto"/>
            </w:pPr>
            <w:r>
              <w:rPr>
                <w:b/>
                <w:sz w:val="14"/>
              </w:rPr>
              <w:t>F. Organisation-only reporting</w:t>
            </w:r>
          </w:p>
        </w:tc>
        <w:tc>
          <w:tcPr>
            <w:tcW w:type="dxa" w:w="2232"/>
            <w:tcMar>
              <w:top w:w="80" w:type="dxa"/>
              <w:start w:w="90" w:type="dxa"/>
              <w:bottom w:w="80" w:type="dxa"/>
              <w:end w:w="90" w:type="dxa"/>
            </w:tcMar>
            <w:vAlign w:val="center"/>
            <w:shd w:fill="F7F9FC"/>
          </w:tcPr>
          <w:p>
            <w:pPr>
              <w:spacing w:after="20" w:line="240" w:lineRule="auto"/>
            </w:pPr>
            <w:r>
              <w:rPr>
                <w:b/>
                <w:sz w:val="14"/>
              </w:rPr>
              <w:t>POC and early rollout</w:t>
            </w:r>
          </w:p>
        </w:tc>
        <w:tc>
          <w:tcPr>
            <w:tcW w:type="dxa" w:w="1655"/>
            <w:tcMar>
              <w:top w:w="80" w:type="dxa"/>
              <w:start w:w="90" w:type="dxa"/>
              <w:bottom w:w="80" w:type="dxa"/>
              <w:end w:w="90" w:type="dxa"/>
            </w:tcMar>
            <w:vAlign w:val="center"/>
            <w:shd w:fill="F7F9FC"/>
          </w:tcPr>
          <w:p>
            <w:pPr>
              <w:spacing w:after="20" w:line="240" w:lineRule="auto"/>
            </w:pPr>
            <w:r>
              <w:rPr>
                <w:sz w:val="14"/>
              </w:rPr>
              <w:t>High but coarse</w:t>
            </w:r>
          </w:p>
        </w:tc>
        <w:tc>
          <w:tcPr>
            <w:tcW w:type="dxa" w:w="3024"/>
            <w:tcMar>
              <w:top w:w="80" w:type="dxa"/>
              <w:start w:w="90" w:type="dxa"/>
              <w:bottom w:w="80" w:type="dxa"/>
              <w:end w:w="90" w:type="dxa"/>
            </w:tcMar>
            <w:vAlign w:val="center"/>
            <w:shd w:fill="F7F9FC"/>
          </w:tcPr>
          <w:p>
            <w:pPr>
              <w:spacing w:after="20" w:line="240" w:lineRule="auto"/>
            </w:pPr>
            <w:r>
              <w:rPr>
                <w:sz w:val="14"/>
              </w:rPr>
              <w:t>NET and DIRECT native reports</w:t>
            </w:r>
          </w:p>
        </w:tc>
        <w:tc>
          <w:tcPr>
            <w:tcW w:type="dxa" w:w="3024"/>
            <w:tcMar>
              <w:top w:w="80" w:type="dxa"/>
              <w:start w:w="90" w:type="dxa"/>
              <w:bottom w:w="80" w:type="dxa"/>
              <w:end w:w="90" w:type="dxa"/>
            </w:tcMar>
            <w:vAlign w:val="center"/>
            <w:shd w:fill="F7F9FC"/>
          </w:tcPr>
          <w:p>
            <w:pPr>
              <w:spacing w:after="20" w:line="240" w:lineRule="auto"/>
            </w:pPr>
            <w:r>
              <w:rPr>
                <w:sz w:val="14"/>
              </w:rPr>
              <w:t>Simplest starting point; insufficient for ten project teams.</w:t>
            </w:r>
          </w:p>
        </w:tc>
      </w:tr>
    </w:tbl>
    <w:p>
      <w:pPr>
        <w:spacing w:after="20"/>
      </w:pPr>
    </w:p>
    <w:p>
      <w:pPr>
        <w:pStyle w:val="Heading1"/>
      </w:pPr>
      <w:r>
        <w:t>5. Custom project-team dashboard design</w:t>
      </w:r>
    </w:p>
    <w:p>
      <w:r>
        <w:t>The dashboard should not attempt to infer project ownership only from who triggered a workflow. Instead, it should combine stable ownership metadata with GitHub’s usage records. The detailed billing export contains date, SKU, organisation, repository, cost centre, username and workflow path; the summarized REST usage API provides aggregated billing information and can be filtered at enterprise or organisation level. Teams APIs can list teams, members and repositories. [1][2][3][7]</w:t>
      </w:r>
    </w:p>
    <w:tbl>
      <w:tblPr>
        <w:tblW w:type="auto" w:w="0"/>
        <w:jc w:val="center"/>
        <w:tblLook w:firstColumn="1" w:firstRow="1" w:lastColumn="0" w:lastRow="0" w:noHBand="0" w:noVBand="1" w:val="04A0"/>
      </w:tblPr>
      <w:tblGrid>
        <w:gridCol w:w="10224"/>
      </w:tblGrid>
      <w:tr>
        <w:tc>
          <w:tcPr>
            <w:tcW w:type="dxa" w:w="10224"/>
            <w:shd w:fill="D9EAF7"/>
            <w:tcMar>
              <w:top w:w="110" w:type="dxa"/>
              <w:start w:w="130" w:type="dxa"/>
              <w:bottom w:w="110" w:type="dxa"/>
              <w:end w:w="130" w:type="dxa"/>
            </w:tcMar>
          </w:tcPr>
          <w:p>
            <w:pPr>
              <w:spacing w:after="0"/>
            </w:pPr>
            <w:r>
              <w:rPr>
                <w:b/>
                <w:color w:val="17365D"/>
              </w:rPr>
              <w:t xml:space="preserve">Recommended data flow  </w:t>
            </w:r>
            <w:r>
              <w:t>GitHub billing export/API -&gt; raw usage table -&gt; repository and user ownership joins -&gt; allocation rules -&gt; project-team ledger -&gt; Power BI/Grafana/FinOps dashboard.</w:t>
            </w:r>
          </w:p>
        </w:tc>
      </w:tr>
    </w:tbl>
    <w:p>
      <w:pPr>
        <w:spacing w:after="20"/>
      </w:pP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944"/>
            <w:shd w:fill="17365D"/>
            <w:tcMar>
              <w:top w:w="80" w:type="dxa"/>
              <w:start w:w="90" w:type="dxa"/>
              <w:bottom w:w="80" w:type="dxa"/>
              <w:end w:w="90" w:type="dxa"/>
            </w:tcMar>
            <w:vAlign w:val="center"/>
          </w:tcPr>
          <w:p>
            <w:pPr>
              <w:jc w:val="center"/>
            </w:pPr>
            <w:r>
              <w:rPr>
                <w:b/>
                <w:color w:val="FFFFFF"/>
                <w:sz w:val="14"/>
              </w:rPr>
              <w:t>Dataset</w:t>
            </w:r>
          </w:p>
        </w:tc>
        <w:tc>
          <w:tcPr>
            <w:tcW w:type="dxa" w:w="2736"/>
            <w:shd w:fill="17365D"/>
            <w:tcMar>
              <w:top w:w="80" w:type="dxa"/>
              <w:start w:w="90" w:type="dxa"/>
              <w:bottom w:w="80" w:type="dxa"/>
              <w:end w:w="90" w:type="dxa"/>
            </w:tcMar>
            <w:vAlign w:val="center"/>
          </w:tcPr>
          <w:p>
            <w:pPr>
              <w:jc w:val="center"/>
            </w:pPr>
            <w:r>
              <w:rPr>
                <w:b/>
                <w:color w:val="FFFFFF"/>
                <w:sz w:val="14"/>
              </w:rPr>
              <w:t>Source</w:t>
            </w:r>
          </w:p>
        </w:tc>
        <w:tc>
          <w:tcPr>
            <w:tcW w:type="dxa" w:w="5472"/>
            <w:shd w:fill="17365D"/>
            <w:tcMar>
              <w:top w:w="80" w:type="dxa"/>
              <w:start w:w="90" w:type="dxa"/>
              <w:bottom w:w="80" w:type="dxa"/>
              <w:end w:w="90" w:type="dxa"/>
            </w:tcMar>
            <w:vAlign w:val="center"/>
          </w:tcPr>
          <w:p>
            <w:pPr>
              <w:jc w:val="center"/>
            </w:pPr>
            <w:r>
              <w:rPr>
                <w:b/>
                <w:color w:val="FFFFFF"/>
                <w:sz w:val="14"/>
              </w:rPr>
              <w:t>Essential fields</w:t>
            </w:r>
          </w:p>
        </w:tc>
        <w:tc>
          <w:tcPr>
            <w:tcW w:type="dxa" w:w="1872"/>
            <w:shd w:fill="17365D"/>
            <w:tcMar>
              <w:top w:w="80" w:type="dxa"/>
              <w:start w:w="90" w:type="dxa"/>
              <w:bottom w:w="80" w:type="dxa"/>
              <w:end w:w="90" w:type="dxa"/>
            </w:tcMar>
            <w:vAlign w:val="center"/>
          </w:tcPr>
          <w:p>
            <w:pPr>
              <w:jc w:val="center"/>
            </w:pPr>
            <w:r>
              <w:rPr>
                <w:b/>
                <w:color w:val="FFFFFF"/>
                <w:sz w:val="14"/>
              </w:rPr>
              <w:t>Refresh</w:t>
            </w:r>
          </w:p>
        </w:tc>
      </w:tr>
      <w:tr>
        <w:tc>
          <w:tcPr>
            <w:tcW w:type="dxa" w:w="1944"/>
            <w:tcMar>
              <w:top w:w="80" w:type="dxa"/>
              <w:start w:w="90" w:type="dxa"/>
              <w:bottom w:w="80" w:type="dxa"/>
              <w:end w:w="90" w:type="dxa"/>
            </w:tcMar>
            <w:vAlign w:val="center"/>
          </w:tcPr>
          <w:p>
            <w:pPr>
              <w:spacing w:after="20" w:line="240" w:lineRule="auto"/>
            </w:pPr>
            <w:r>
              <w:rPr>
                <w:b/>
                <w:sz w:val="14"/>
              </w:rPr>
              <w:t>billing_usage</w:t>
            </w:r>
          </w:p>
        </w:tc>
        <w:tc>
          <w:tcPr>
            <w:tcW w:type="dxa" w:w="2736"/>
            <w:tcMar>
              <w:top w:w="80" w:type="dxa"/>
              <w:start w:w="90" w:type="dxa"/>
              <w:bottom w:w="80" w:type="dxa"/>
              <w:end w:w="90" w:type="dxa"/>
            </w:tcMar>
            <w:vAlign w:val="center"/>
          </w:tcPr>
          <w:p>
            <w:pPr>
              <w:spacing w:after="20" w:line="240" w:lineRule="auto"/>
            </w:pPr>
            <w:r>
              <w:rPr>
                <w:b/>
                <w:sz w:val="14"/>
              </w:rPr>
              <w:t>GitHub detailed export or summarized API</w:t>
            </w:r>
          </w:p>
        </w:tc>
        <w:tc>
          <w:tcPr>
            <w:tcW w:type="dxa" w:w="5472"/>
            <w:tcMar>
              <w:top w:w="80" w:type="dxa"/>
              <w:start w:w="90" w:type="dxa"/>
              <w:bottom w:w="80" w:type="dxa"/>
              <w:end w:w="90" w:type="dxa"/>
            </w:tcMar>
            <w:vAlign w:val="center"/>
          </w:tcPr>
          <w:p>
            <w:pPr>
              <w:spacing w:after="20" w:line="240" w:lineRule="auto"/>
            </w:pPr>
            <w:r>
              <w:rPr>
                <w:sz w:val="14"/>
              </w:rPr>
              <w:t>date, product, SKU, quantity, organisation, repository, username, workflow_path, cost centre, net amount</w:t>
            </w:r>
          </w:p>
        </w:tc>
        <w:tc>
          <w:tcPr>
            <w:tcW w:type="dxa" w:w="1872"/>
            <w:tcMar>
              <w:top w:w="80" w:type="dxa"/>
              <w:start w:w="90" w:type="dxa"/>
              <w:bottom w:w="80" w:type="dxa"/>
              <w:end w:w="90" w:type="dxa"/>
            </w:tcMar>
            <w:vAlign w:val="center"/>
          </w:tcPr>
          <w:p>
            <w:pPr>
              <w:spacing w:after="20" w:line="240" w:lineRule="auto"/>
            </w:pPr>
            <w:r>
              <w:rPr>
                <w:sz w:val="14"/>
              </w:rPr>
              <w:t>Daily API plus monthly detailed export</w:t>
            </w:r>
          </w:p>
        </w:tc>
      </w:tr>
      <w:tr>
        <w:tc>
          <w:tcPr>
            <w:tcW w:type="dxa" w:w="1944"/>
            <w:tcMar>
              <w:top w:w="80" w:type="dxa"/>
              <w:start w:w="90" w:type="dxa"/>
              <w:bottom w:w="80" w:type="dxa"/>
              <w:end w:w="90" w:type="dxa"/>
            </w:tcMar>
            <w:vAlign w:val="center"/>
            <w:shd w:fill="F7F9FC"/>
          </w:tcPr>
          <w:p>
            <w:pPr>
              <w:spacing w:after="20" w:line="240" w:lineRule="auto"/>
            </w:pPr>
            <w:r>
              <w:rPr>
                <w:b/>
                <w:sz w:val="14"/>
              </w:rPr>
              <w:t>team_membership</w:t>
            </w:r>
          </w:p>
        </w:tc>
        <w:tc>
          <w:tcPr>
            <w:tcW w:type="dxa" w:w="2736"/>
            <w:tcMar>
              <w:top w:w="80" w:type="dxa"/>
              <w:start w:w="90" w:type="dxa"/>
              <w:bottom w:w="80" w:type="dxa"/>
              <w:end w:w="90" w:type="dxa"/>
            </w:tcMar>
            <w:vAlign w:val="center"/>
            <w:shd w:fill="F7F9FC"/>
          </w:tcPr>
          <w:p>
            <w:pPr>
              <w:spacing w:after="20" w:line="240" w:lineRule="auto"/>
            </w:pPr>
            <w:r>
              <w:rPr>
                <w:b/>
                <w:sz w:val="14"/>
              </w:rPr>
              <w:t>GitHub Teams API / enterprise teams API</w:t>
            </w:r>
          </w:p>
        </w:tc>
        <w:tc>
          <w:tcPr>
            <w:tcW w:type="dxa" w:w="5472"/>
            <w:tcMar>
              <w:top w:w="80" w:type="dxa"/>
              <w:start w:w="90" w:type="dxa"/>
              <w:bottom w:w="80" w:type="dxa"/>
              <w:end w:w="90" w:type="dxa"/>
            </w:tcMar>
            <w:vAlign w:val="center"/>
            <w:shd w:fill="F7F9FC"/>
          </w:tcPr>
          <w:p>
            <w:pPr>
              <w:spacing w:after="20" w:line="240" w:lineRule="auto"/>
            </w:pPr>
            <w:r>
              <w:rPr>
                <w:sz w:val="14"/>
              </w:rPr>
              <w:t>organisation, team slug, username, effective dates</w:t>
            </w:r>
          </w:p>
        </w:tc>
        <w:tc>
          <w:tcPr>
            <w:tcW w:type="dxa" w:w="1872"/>
            <w:tcMar>
              <w:top w:w="80" w:type="dxa"/>
              <w:start w:w="90" w:type="dxa"/>
              <w:bottom w:w="80" w:type="dxa"/>
              <w:end w:w="90" w:type="dxa"/>
            </w:tcMar>
            <w:vAlign w:val="center"/>
            <w:shd w:fill="F7F9FC"/>
          </w:tcPr>
          <w:p>
            <w:pPr>
              <w:spacing w:after="20" w:line="240" w:lineRule="auto"/>
            </w:pPr>
            <w:r>
              <w:rPr>
                <w:sz w:val="14"/>
              </w:rPr>
              <w:t>Daily</w:t>
            </w:r>
          </w:p>
        </w:tc>
      </w:tr>
      <w:tr>
        <w:tc>
          <w:tcPr>
            <w:tcW w:type="dxa" w:w="1944"/>
            <w:tcMar>
              <w:top w:w="80" w:type="dxa"/>
              <w:start w:w="90" w:type="dxa"/>
              <w:bottom w:w="80" w:type="dxa"/>
              <w:end w:w="90" w:type="dxa"/>
            </w:tcMar>
            <w:vAlign w:val="center"/>
          </w:tcPr>
          <w:p>
            <w:pPr>
              <w:spacing w:after="20" w:line="240" w:lineRule="auto"/>
            </w:pPr>
            <w:r>
              <w:rPr>
                <w:b/>
                <w:sz w:val="14"/>
              </w:rPr>
              <w:t>team_repositories</w:t>
            </w:r>
          </w:p>
        </w:tc>
        <w:tc>
          <w:tcPr>
            <w:tcW w:type="dxa" w:w="2736"/>
            <w:tcMar>
              <w:top w:w="80" w:type="dxa"/>
              <w:start w:w="90" w:type="dxa"/>
              <w:bottom w:w="80" w:type="dxa"/>
              <w:end w:w="90" w:type="dxa"/>
            </w:tcMar>
            <w:vAlign w:val="center"/>
          </w:tcPr>
          <w:p>
            <w:pPr>
              <w:spacing w:after="20" w:line="240" w:lineRule="auto"/>
            </w:pPr>
            <w:r>
              <w:rPr>
                <w:b/>
                <w:sz w:val="14"/>
              </w:rPr>
              <w:t>GitHub Teams API</w:t>
            </w:r>
          </w:p>
        </w:tc>
        <w:tc>
          <w:tcPr>
            <w:tcW w:type="dxa" w:w="5472"/>
            <w:tcMar>
              <w:top w:w="80" w:type="dxa"/>
              <w:start w:w="90" w:type="dxa"/>
              <w:bottom w:w="80" w:type="dxa"/>
              <w:end w:w="90" w:type="dxa"/>
            </w:tcMar>
            <w:vAlign w:val="center"/>
          </w:tcPr>
          <w:p>
            <w:pPr>
              <w:spacing w:after="20" w:line="240" w:lineRule="auto"/>
            </w:pPr>
            <w:r>
              <w:rPr>
                <w:sz w:val="14"/>
              </w:rPr>
              <w:t>organisation, team slug, repository, permission, effective dates</w:t>
            </w:r>
          </w:p>
        </w:tc>
        <w:tc>
          <w:tcPr>
            <w:tcW w:type="dxa" w:w="1872"/>
            <w:tcMar>
              <w:top w:w="80" w:type="dxa"/>
              <w:start w:w="90" w:type="dxa"/>
              <w:bottom w:w="80" w:type="dxa"/>
              <w:end w:w="90" w:type="dxa"/>
            </w:tcMar>
            <w:vAlign w:val="center"/>
          </w:tcPr>
          <w:p>
            <w:pPr>
              <w:spacing w:after="20" w:line="240" w:lineRule="auto"/>
            </w:pPr>
            <w:r>
              <w:rPr>
                <w:sz w:val="14"/>
              </w:rPr>
              <w:t>Daily</w:t>
            </w:r>
          </w:p>
        </w:tc>
      </w:tr>
      <w:tr>
        <w:tc>
          <w:tcPr>
            <w:tcW w:type="dxa" w:w="1944"/>
            <w:tcMar>
              <w:top w:w="80" w:type="dxa"/>
              <w:start w:w="90" w:type="dxa"/>
              <w:bottom w:w="80" w:type="dxa"/>
              <w:end w:w="90" w:type="dxa"/>
            </w:tcMar>
            <w:vAlign w:val="center"/>
            <w:shd w:fill="F7F9FC"/>
          </w:tcPr>
          <w:p>
            <w:pPr>
              <w:spacing w:after="20" w:line="240" w:lineRule="auto"/>
            </w:pPr>
            <w:r>
              <w:rPr>
                <w:b/>
                <w:sz w:val="14"/>
              </w:rPr>
              <w:t>project_registry</w:t>
            </w:r>
          </w:p>
        </w:tc>
        <w:tc>
          <w:tcPr>
            <w:tcW w:type="dxa" w:w="2736"/>
            <w:tcMar>
              <w:top w:w="80" w:type="dxa"/>
              <w:start w:w="90" w:type="dxa"/>
              <w:bottom w:w="80" w:type="dxa"/>
              <w:end w:w="90" w:type="dxa"/>
            </w:tcMar>
            <w:vAlign w:val="center"/>
            <w:shd w:fill="F7F9FC"/>
          </w:tcPr>
          <w:p>
            <w:pPr>
              <w:spacing w:after="20" w:line="240" w:lineRule="auto"/>
            </w:pPr>
            <w:r>
              <w:rPr>
                <w:b/>
                <w:sz w:val="14"/>
              </w:rPr>
              <w:t>Internal CMDB/Jira/SharePoint</w:t>
            </w:r>
          </w:p>
        </w:tc>
        <w:tc>
          <w:tcPr>
            <w:tcW w:type="dxa" w:w="5472"/>
            <w:tcMar>
              <w:top w:w="80" w:type="dxa"/>
              <w:start w:w="90" w:type="dxa"/>
              <w:bottom w:w="80" w:type="dxa"/>
              <w:end w:w="90" w:type="dxa"/>
            </w:tcMar>
            <w:vAlign w:val="center"/>
            <w:shd w:fill="F7F9FC"/>
          </w:tcPr>
          <w:p>
            <w:pPr>
              <w:spacing w:after="20" w:line="240" w:lineRule="auto"/>
            </w:pPr>
            <w:r>
              <w:rPr>
                <w:sz w:val="14"/>
              </w:rPr>
              <w:t>project ID, project name, cost owner, organisation, financial code</w:t>
            </w:r>
          </w:p>
        </w:tc>
        <w:tc>
          <w:tcPr>
            <w:tcW w:type="dxa" w:w="1872"/>
            <w:tcMar>
              <w:top w:w="80" w:type="dxa"/>
              <w:start w:w="90" w:type="dxa"/>
              <w:bottom w:w="80" w:type="dxa"/>
              <w:end w:w="90" w:type="dxa"/>
            </w:tcMar>
            <w:vAlign w:val="center"/>
            <w:shd w:fill="F7F9FC"/>
          </w:tcPr>
          <w:p>
            <w:pPr>
              <w:spacing w:after="20" w:line="240" w:lineRule="auto"/>
            </w:pPr>
            <w:r>
              <w:rPr>
                <w:sz w:val="14"/>
              </w:rPr>
              <w:t>Controlled master data</w:t>
            </w:r>
          </w:p>
        </w:tc>
      </w:tr>
      <w:tr>
        <w:tc>
          <w:tcPr>
            <w:tcW w:type="dxa" w:w="1944"/>
            <w:tcMar>
              <w:top w:w="80" w:type="dxa"/>
              <w:start w:w="90" w:type="dxa"/>
              <w:bottom w:w="80" w:type="dxa"/>
              <w:end w:w="90" w:type="dxa"/>
            </w:tcMar>
            <w:vAlign w:val="center"/>
          </w:tcPr>
          <w:p>
            <w:pPr>
              <w:spacing w:after="20" w:line="240" w:lineRule="auto"/>
            </w:pPr>
            <w:r>
              <w:rPr>
                <w:b/>
                <w:sz w:val="14"/>
              </w:rPr>
              <w:t>repository_allocation</w:t>
            </w:r>
          </w:p>
        </w:tc>
        <w:tc>
          <w:tcPr>
            <w:tcW w:type="dxa" w:w="2736"/>
            <w:tcMar>
              <w:top w:w="80" w:type="dxa"/>
              <w:start w:w="90" w:type="dxa"/>
              <w:bottom w:w="80" w:type="dxa"/>
              <w:end w:w="90" w:type="dxa"/>
            </w:tcMar>
            <w:vAlign w:val="center"/>
          </w:tcPr>
          <w:p>
            <w:pPr>
              <w:spacing w:after="20" w:line="240" w:lineRule="auto"/>
            </w:pPr>
            <w:r>
              <w:rPr>
                <w:b/>
                <w:sz w:val="14"/>
              </w:rPr>
              <w:t>Internal mapping</w:t>
            </w:r>
          </w:p>
        </w:tc>
        <w:tc>
          <w:tcPr>
            <w:tcW w:type="dxa" w:w="5472"/>
            <w:tcMar>
              <w:top w:w="80" w:type="dxa"/>
              <w:start w:w="90" w:type="dxa"/>
              <w:bottom w:w="80" w:type="dxa"/>
              <w:end w:w="90" w:type="dxa"/>
            </w:tcMar>
            <w:vAlign w:val="center"/>
          </w:tcPr>
          <w:p>
            <w:pPr>
              <w:spacing w:after="20" w:line="240" w:lineRule="auto"/>
            </w:pPr>
            <w:r>
              <w:rPr>
                <w:sz w:val="14"/>
              </w:rPr>
              <w:t>repository, primary project, allocation %, effective dates</w:t>
            </w:r>
          </w:p>
        </w:tc>
        <w:tc>
          <w:tcPr>
            <w:tcW w:type="dxa" w:w="1872"/>
            <w:tcMar>
              <w:top w:w="80" w:type="dxa"/>
              <w:start w:w="90" w:type="dxa"/>
              <w:bottom w:w="80" w:type="dxa"/>
              <w:end w:w="90" w:type="dxa"/>
            </w:tcMar>
            <w:vAlign w:val="center"/>
          </w:tcPr>
          <w:p>
            <w:pPr>
              <w:spacing w:after="20" w:line="240" w:lineRule="auto"/>
            </w:pPr>
            <w:r>
              <w:rPr>
                <w:sz w:val="14"/>
              </w:rPr>
              <w:t>On repository creation/change</w:t>
            </w:r>
          </w:p>
        </w:tc>
      </w:tr>
      <w:tr>
        <w:tc>
          <w:tcPr>
            <w:tcW w:type="dxa" w:w="1944"/>
            <w:tcMar>
              <w:top w:w="80" w:type="dxa"/>
              <w:start w:w="90" w:type="dxa"/>
              <w:bottom w:w="80" w:type="dxa"/>
              <w:end w:w="90" w:type="dxa"/>
            </w:tcMar>
            <w:vAlign w:val="center"/>
            <w:shd w:fill="F7F9FC"/>
          </w:tcPr>
          <w:p>
            <w:pPr>
              <w:spacing w:after="20" w:line="240" w:lineRule="auto"/>
            </w:pPr>
            <w:r>
              <w:rPr>
                <w:b/>
                <w:sz w:val="14"/>
              </w:rPr>
              <w:t>user_allocation</w:t>
            </w:r>
          </w:p>
        </w:tc>
        <w:tc>
          <w:tcPr>
            <w:tcW w:type="dxa" w:w="2736"/>
            <w:tcMar>
              <w:top w:w="80" w:type="dxa"/>
              <w:start w:w="90" w:type="dxa"/>
              <w:bottom w:w="80" w:type="dxa"/>
              <w:end w:w="90" w:type="dxa"/>
            </w:tcMar>
            <w:vAlign w:val="center"/>
            <w:shd w:fill="F7F9FC"/>
          </w:tcPr>
          <w:p>
            <w:pPr>
              <w:spacing w:after="20" w:line="240" w:lineRule="auto"/>
            </w:pPr>
            <w:r>
              <w:rPr>
                <w:b/>
                <w:sz w:val="14"/>
              </w:rPr>
              <w:t>Resource planning / approved override</w:t>
            </w:r>
          </w:p>
        </w:tc>
        <w:tc>
          <w:tcPr>
            <w:tcW w:type="dxa" w:w="5472"/>
            <w:tcMar>
              <w:top w:w="80" w:type="dxa"/>
              <w:start w:w="90" w:type="dxa"/>
              <w:bottom w:w="80" w:type="dxa"/>
              <w:end w:w="90" w:type="dxa"/>
            </w:tcMar>
            <w:vAlign w:val="center"/>
            <w:shd w:fill="F7F9FC"/>
          </w:tcPr>
          <w:p>
            <w:pPr>
              <w:spacing w:after="20" w:line="240" w:lineRule="auto"/>
            </w:pPr>
            <w:r>
              <w:rPr>
                <w:sz w:val="14"/>
              </w:rPr>
              <w:t>username, project, allocation %, effective dates</w:t>
            </w:r>
          </w:p>
        </w:tc>
        <w:tc>
          <w:tcPr>
            <w:tcW w:type="dxa" w:w="1872"/>
            <w:tcMar>
              <w:top w:w="80" w:type="dxa"/>
              <w:start w:w="90" w:type="dxa"/>
              <w:bottom w:w="80" w:type="dxa"/>
              <w:end w:w="90" w:type="dxa"/>
            </w:tcMar>
            <w:vAlign w:val="center"/>
            <w:shd w:fill="F7F9FC"/>
          </w:tcPr>
          <w:p>
            <w:pPr>
              <w:spacing w:after="20" w:line="240" w:lineRule="auto"/>
            </w:pPr>
            <w:r>
              <w:rPr>
                <w:sz w:val="14"/>
              </w:rPr>
              <w:t>Monthly or sprint-based</w:t>
            </w:r>
          </w:p>
        </w:tc>
      </w:tr>
      <w:tr>
        <w:tc>
          <w:tcPr>
            <w:tcW w:type="dxa" w:w="1944"/>
            <w:tcMar>
              <w:top w:w="80" w:type="dxa"/>
              <w:start w:w="90" w:type="dxa"/>
              <w:bottom w:w="80" w:type="dxa"/>
              <w:end w:w="90" w:type="dxa"/>
            </w:tcMar>
            <w:vAlign w:val="center"/>
          </w:tcPr>
          <w:p>
            <w:pPr>
              <w:spacing w:after="20" w:line="240" w:lineRule="auto"/>
            </w:pPr>
            <w:r>
              <w:rPr>
                <w:b/>
                <w:sz w:val="14"/>
              </w:rPr>
              <w:t>cost_center_map</w:t>
            </w:r>
          </w:p>
        </w:tc>
        <w:tc>
          <w:tcPr>
            <w:tcW w:type="dxa" w:w="2736"/>
            <w:tcMar>
              <w:top w:w="80" w:type="dxa"/>
              <w:start w:w="90" w:type="dxa"/>
              <w:bottom w:w="80" w:type="dxa"/>
              <w:end w:w="90" w:type="dxa"/>
            </w:tcMar>
            <w:vAlign w:val="center"/>
          </w:tcPr>
          <w:p>
            <w:pPr>
              <w:spacing w:after="20" w:line="240" w:lineRule="auto"/>
            </w:pPr>
            <w:r>
              <w:rPr>
                <w:b/>
                <w:sz w:val="14"/>
              </w:rPr>
              <w:t>GitHub + Finance</w:t>
            </w:r>
          </w:p>
        </w:tc>
        <w:tc>
          <w:tcPr>
            <w:tcW w:type="dxa" w:w="5472"/>
            <w:tcMar>
              <w:top w:w="80" w:type="dxa"/>
              <w:start w:w="90" w:type="dxa"/>
              <w:bottom w:w="80" w:type="dxa"/>
              <w:end w:w="90" w:type="dxa"/>
            </w:tcMar>
            <w:vAlign w:val="center"/>
          </w:tcPr>
          <w:p>
            <w:pPr>
              <w:spacing w:after="20" w:line="240" w:lineRule="auto"/>
            </w:pPr>
            <w:r>
              <w:rPr>
                <w:sz w:val="14"/>
              </w:rPr>
              <w:t>cost centre, project, financial owner</w:t>
            </w:r>
          </w:p>
        </w:tc>
        <w:tc>
          <w:tcPr>
            <w:tcW w:type="dxa" w:w="1872"/>
            <w:tcMar>
              <w:top w:w="80" w:type="dxa"/>
              <w:start w:w="90" w:type="dxa"/>
              <w:bottom w:w="80" w:type="dxa"/>
              <w:end w:w="90" w:type="dxa"/>
            </w:tcMar>
            <w:vAlign w:val="center"/>
          </w:tcPr>
          <w:p>
            <w:pPr>
              <w:spacing w:after="20" w:line="240" w:lineRule="auto"/>
            </w:pPr>
            <w:r>
              <w:rPr>
                <w:sz w:val="14"/>
              </w:rPr>
              <w:t>On governance change</w:t>
            </w:r>
          </w:p>
        </w:tc>
      </w:tr>
    </w:tbl>
    <w:p>
      <w:pPr>
        <w:spacing w:after="20"/>
      </w:pPr>
    </w:p>
    <w:p>
      <w:pPr>
        <w:pStyle w:val="Heading1"/>
      </w:pPr>
      <w:r>
        <w:t>6. Five-member project-team example</w:t>
      </w:r>
    </w:p>
    <w:p>
      <w:r>
        <w:t>Assume project team NET-Payments has five developers. The team owns repositories net-payments-api, net-payments-ui and net-payments-infra. A reporting job retrieves those five team members and team repositories through the GitHub Teams API. Billing records are then joined as follows:</w:t>
      </w:r>
    </w:p>
    <w:p>
      <w:pPr>
        <w:pStyle w:val="ListBullet"/>
      </w:pPr>
      <w:r>
        <w:t>Actions, Codespaces, Packages and LFS: select billing rows for the three owned repositories and sum net_amount by product/SKU.</w:t>
      </w:r>
    </w:p>
    <w:p>
      <w:pPr>
        <w:pStyle w:val="ListBullet"/>
      </w:pPr>
      <w:r>
        <w:t>Enterprise and Copilot licences: select the five users and allocate each licence once to the agreed home project or cost centre.</w:t>
      </w:r>
    </w:p>
    <w:p>
      <w:pPr>
        <w:pStyle w:val="ListBullet"/>
      </w:pPr>
      <w:r>
        <w:t>AI credits: select per-user AI usage for the five users, then apply any approved cross-project allocation percentages.</w:t>
      </w:r>
    </w:p>
    <w:p>
      <w:pPr>
        <w:pStyle w:val="ListBullet"/>
      </w:pPr>
      <w:r>
        <w:t>Shared repository cost: allocate by an explicit rule, such as fixed percentage, workflow ownership, or cost-owner approval. Never silently divide it by team headcount.</w:t>
      </w:r>
    </w:p>
    <w:p>
      <w:pPr>
        <w:pStyle w:val="ListBullet"/>
      </w:pPr>
      <w:r>
        <w:t>Publish both “native attributable cost” and “allocated cost” as separate measures so Finance can distinguish invoice facts from internal chargeback assumptions.</w:t>
      </w:r>
    </w:p>
    <w:p>
      <w:pPr>
        <w:pStyle w:val="Heading1"/>
      </w:pPr>
      <w:r>
        <w:t>7. Developer contributing to two organisations or projects</w:t>
      </w:r>
    </w:p>
    <w:tbl>
      <w:tblPr>
        <w:tblW w:type="auto" w:w="0"/>
        <w:jc w:val="center"/>
        <w:tblLook w:firstColumn="1" w:firstRow="1" w:lastColumn="0" w:lastRow="0" w:noHBand="0" w:noVBand="1" w:val="04A0"/>
      </w:tblPr>
      <w:tblGrid>
        <w:gridCol w:w="10224"/>
      </w:tblGrid>
      <w:tr>
        <w:tc>
          <w:tcPr>
            <w:tcW w:type="dxa" w:w="10224"/>
            <w:shd w:fill="FCE4D6"/>
            <w:tcMar>
              <w:top w:w="110" w:type="dxa"/>
              <w:start w:w="130" w:type="dxa"/>
              <w:bottom w:w="110" w:type="dxa"/>
              <w:end w:w="130" w:type="dxa"/>
            </w:tcMar>
          </w:tcPr>
          <w:p>
            <w:pPr>
              <w:spacing w:after="0"/>
            </w:pPr>
            <w:r>
              <w:rPr>
                <w:b/>
                <w:color w:val="17365D"/>
              </w:rPr>
              <w:t xml:space="preserve">Principle  </w:t>
            </w:r>
            <w:r>
              <w:t>Separate seat cost from usage cost. A person’s enterprise licence should be allocated once; repository-based metered costs should follow the repository where the usage occurred.</w:t>
            </w:r>
          </w:p>
        </w:tc>
      </w:tr>
    </w:tbl>
    <w:p>
      <w:pPr>
        <w:spacing w:after="20"/>
      </w:pP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232"/>
            <w:shd w:fill="17365D"/>
            <w:tcMar>
              <w:top w:w="80" w:type="dxa"/>
              <w:start w:w="90" w:type="dxa"/>
              <w:bottom w:w="80" w:type="dxa"/>
              <w:end w:w="90" w:type="dxa"/>
            </w:tcMar>
            <w:vAlign w:val="center"/>
          </w:tcPr>
          <w:p>
            <w:pPr>
              <w:jc w:val="center"/>
            </w:pPr>
            <w:r>
              <w:rPr>
                <w:b/>
                <w:color w:val="FFFFFF"/>
                <w:sz w:val="14"/>
              </w:rPr>
              <w:t>Cost type</w:t>
            </w:r>
          </w:p>
        </w:tc>
        <w:tc>
          <w:tcPr>
            <w:tcW w:type="dxa" w:w="3456"/>
            <w:shd w:fill="17365D"/>
            <w:tcMar>
              <w:top w:w="80" w:type="dxa"/>
              <w:start w:w="90" w:type="dxa"/>
              <w:bottom w:w="80" w:type="dxa"/>
              <w:end w:w="90" w:type="dxa"/>
            </w:tcMar>
            <w:vAlign w:val="center"/>
          </w:tcPr>
          <w:p>
            <w:pPr>
              <w:jc w:val="center"/>
            </w:pPr>
            <w:r>
              <w:rPr>
                <w:b/>
                <w:color w:val="FFFFFF"/>
                <w:sz w:val="14"/>
              </w:rPr>
              <w:t>Native behaviour</w:t>
            </w:r>
          </w:p>
        </w:tc>
        <w:tc>
          <w:tcPr>
            <w:tcW w:type="dxa" w:w="6048"/>
            <w:shd w:fill="17365D"/>
            <w:tcMar>
              <w:top w:w="80" w:type="dxa"/>
              <w:start w:w="90" w:type="dxa"/>
              <w:bottom w:w="80" w:type="dxa"/>
              <w:end w:w="90" w:type="dxa"/>
            </w:tcMar>
            <w:vAlign w:val="center"/>
          </w:tcPr>
          <w:p>
            <w:pPr>
              <w:jc w:val="center"/>
            </w:pPr>
            <w:r>
              <w:rPr>
                <w:b/>
                <w:color w:val="FFFFFF"/>
                <w:sz w:val="14"/>
              </w:rPr>
              <w:t>Recommended handling</w:t>
            </w:r>
          </w:p>
        </w:tc>
      </w:tr>
      <w:tr>
        <w:tc>
          <w:tcPr>
            <w:tcW w:type="dxa" w:w="2232"/>
            <w:tcMar>
              <w:top w:w="80" w:type="dxa"/>
              <w:start w:w="90" w:type="dxa"/>
              <w:bottom w:w="80" w:type="dxa"/>
              <w:end w:w="90" w:type="dxa"/>
            </w:tcMar>
            <w:vAlign w:val="center"/>
          </w:tcPr>
          <w:p>
            <w:pPr>
              <w:spacing w:after="20" w:line="240" w:lineRule="auto"/>
            </w:pPr>
            <w:r>
              <w:rPr>
                <w:b/>
                <w:sz w:val="14"/>
              </w:rPr>
              <w:t>Enterprise licence</w:t>
            </w:r>
          </w:p>
        </w:tc>
        <w:tc>
          <w:tcPr>
            <w:tcW w:type="dxa" w:w="3456"/>
            <w:tcMar>
              <w:top w:w="80" w:type="dxa"/>
              <w:start w:w="90" w:type="dxa"/>
              <w:bottom w:w="80" w:type="dxa"/>
              <w:end w:w="90" w:type="dxa"/>
            </w:tcMar>
            <w:vAlign w:val="center"/>
          </w:tcPr>
          <w:p>
            <w:pPr>
              <w:spacing w:after="20" w:line="240" w:lineRule="auto"/>
            </w:pPr>
            <w:r>
              <w:rPr>
                <w:b/>
                <w:sz w:val="14"/>
              </w:rPr>
              <w:t>One enterprise seat for the corporate identity</w:t>
            </w:r>
          </w:p>
        </w:tc>
        <w:tc>
          <w:tcPr>
            <w:tcW w:type="dxa" w:w="6048"/>
            <w:tcMar>
              <w:top w:w="80" w:type="dxa"/>
              <w:start w:w="90" w:type="dxa"/>
              <w:bottom w:w="80" w:type="dxa"/>
              <w:end w:w="90" w:type="dxa"/>
            </w:tcMar>
            <w:vAlign w:val="center"/>
          </w:tcPr>
          <w:p>
            <w:pPr>
              <w:spacing w:after="20" w:line="240" w:lineRule="auto"/>
            </w:pPr>
            <w:r>
              <w:rPr>
                <w:sz w:val="14"/>
              </w:rPr>
              <w:t>Allocate 100% to a designated home cost centre, or split internally using an approved percentage. Never count the seat twice.</w:t>
            </w:r>
          </w:p>
        </w:tc>
      </w:tr>
      <w:tr>
        <w:tc>
          <w:tcPr>
            <w:tcW w:type="dxa" w:w="2232"/>
            <w:tcMar>
              <w:top w:w="80" w:type="dxa"/>
              <w:start w:w="90" w:type="dxa"/>
              <w:bottom w:w="80" w:type="dxa"/>
              <w:end w:w="90" w:type="dxa"/>
            </w:tcMar>
            <w:vAlign w:val="center"/>
            <w:shd w:fill="F7F9FC"/>
          </w:tcPr>
          <w:p>
            <w:pPr>
              <w:spacing w:after="20" w:line="240" w:lineRule="auto"/>
            </w:pPr>
            <w:r>
              <w:rPr>
                <w:b/>
                <w:sz w:val="14"/>
              </w:rPr>
              <w:t>Copilot licence</w:t>
            </w:r>
          </w:p>
        </w:tc>
        <w:tc>
          <w:tcPr>
            <w:tcW w:type="dxa" w:w="3456"/>
            <w:tcMar>
              <w:top w:w="80" w:type="dxa"/>
              <w:start w:w="90" w:type="dxa"/>
              <w:bottom w:w="80" w:type="dxa"/>
              <w:end w:w="90" w:type="dxa"/>
            </w:tcMar>
            <w:vAlign w:val="center"/>
            <w:shd w:fill="F7F9FC"/>
          </w:tcPr>
          <w:p>
            <w:pPr>
              <w:spacing w:after="20" w:line="240" w:lineRule="auto"/>
            </w:pPr>
            <w:r>
              <w:rPr>
                <w:b/>
                <w:sz w:val="14"/>
              </w:rPr>
              <w:t>One assigned corporate licence</w:t>
            </w:r>
          </w:p>
        </w:tc>
        <w:tc>
          <w:tcPr>
            <w:tcW w:type="dxa" w:w="6048"/>
            <w:tcMar>
              <w:top w:w="80" w:type="dxa"/>
              <w:start w:w="90" w:type="dxa"/>
              <w:bottom w:w="80" w:type="dxa"/>
              <w:end w:w="90" w:type="dxa"/>
            </w:tcMar>
            <w:vAlign w:val="center"/>
            <w:shd w:fill="F7F9FC"/>
          </w:tcPr>
          <w:p>
            <w:pPr>
              <w:spacing w:after="20" w:line="240" w:lineRule="auto"/>
            </w:pPr>
            <w:r>
              <w:rPr>
                <w:sz w:val="14"/>
              </w:rPr>
              <w:t>Allocate once to home cost centre. If Finance uses split chargeback, create allocation journal entries rather than duplicate the GitHub charge.</w:t>
            </w:r>
          </w:p>
        </w:tc>
      </w:tr>
      <w:tr>
        <w:tc>
          <w:tcPr>
            <w:tcW w:type="dxa" w:w="2232"/>
            <w:tcMar>
              <w:top w:w="80" w:type="dxa"/>
              <w:start w:w="90" w:type="dxa"/>
              <w:bottom w:w="80" w:type="dxa"/>
              <w:end w:w="90" w:type="dxa"/>
            </w:tcMar>
            <w:vAlign w:val="center"/>
          </w:tcPr>
          <w:p>
            <w:pPr>
              <w:spacing w:after="20" w:line="240" w:lineRule="auto"/>
            </w:pPr>
            <w:r>
              <w:rPr>
                <w:b/>
                <w:sz w:val="14"/>
              </w:rPr>
              <w:t>AI credits</w:t>
            </w:r>
          </w:p>
        </w:tc>
        <w:tc>
          <w:tcPr>
            <w:tcW w:type="dxa" w:w="3456"/>
            <w:tcMar>
              <w:top w:w="80" w:type="dxa"/>
              <w:start w:w="90" w:type="dxa"/>
              <w:bottom w:w="80" w:type="dxa"/>
              <w:end w:w="90" w:type="dxa"/>
            </w:tcMar>
            <w:vAlign w:val="center"/>
          </w:tcPr>
          <w:p>
            <w:pPr>
              <w:spacing w:after="20" w:line="240" w:lineRule="auto"/>
            </w:pPr>
            <w:r>
              <w:rPr>
                <w:b/>
                <w:sz w:val="14"/>
              </w:rPr>
              <w:t>Per-user consumption may span work contexts</w:t>
            </w:r>
          </w:p>
        </w:tc>
        <w:tc>
          <w:tcPr>
            <w:tcW w:type="dxa" w:w="6048"/>
            <w:tcMar>
              <w:top w:w="80" w:type="dxa"/>
              <w:start w:w="90" w:type="dxa"/>
              <w:bottom w:w="80" w:type="dxa"/>
              <w:end w:w="90" w:type="dxa"/>
            </w:tcMar>
            <w:vAlign w:val="center"/>
          </w:tcPr>
          <w:p>
            <w:pPr>
              <w:spacing w:after="20" w:line="240" w:lineRule="auto"/>
            </w:pPr>
            <w:r>
              <w:rPr>
                <w:sz w:val="14"/>
              </w:rPr>
              <w:t>Where the report lacks project context, allocate using approved user percentages or, where available, organisation/licence-grant context.</w:t>
            </w:r>
          </w:p>
        </w:tc>
      </w:tr>
      <w:tr>
        <w:tc>
          <w:tcPr>
            <w:tcW w:type="dxa" w:w="2232"/>
            <w:tcMar>
              <w:top w:w="80" w:type="dxa"/>
              <w:start w:w="90" w:type="dxa"/>
              <w:bottom w:w="80" w:type="dxa"/>
              <w:end w:w="90" w:type="dxa"/>
            </w:tcMar>
            <w:vAlign w:val="center"/>
            <w:shd w:fill="F7F9FC"/>
          </w:tcPr>
          <w:p>
            <w:pPr>
              <w:spacing w:after="20" w:line="240" w:lineRule="auto"/>
            </w:pPr>
            <w:r>
              <w:rPr>
                <w:b/>
                <w:sz w:val="14"/>
              </w:rPr>
              <w:t>Actions</w:t>
            </w:r>
          </w:p>
        </w:tc>
        <w:tc>
          <w:tcPr>
            <w:tcW w:type="dxa" w:w="3456"/>
            <w:tcMar>
              <w:top w:w="80" w:type="dxa"/>
              <w:start w:w="90" w:type="dxa"/>
              <w:bottom w:w="80" w:type="dxa"/>
              <w:end w:w="90" w:type="dxa"/>
            </w:tcMar>
            <w:vAlign w:val="center"/>
            <w:shd w:fill="F7F9FC"/>
          </w:tcPr>
          <w:p>
            <w:pPr>
              <w:spacing w:after="20" w:line="240" w:lineRule="auto"/>
            </w:pPr>
            <w:r>
              <w:rPr>
                <w:b/>
                <w:sz w:val="14"/>
              </w:rPr>
              <w:t>Repository where workflow runs</w:t>
            </w:r>
          </w:p>
        </w:tc>
        <w:tc>
          <w:tcPr>
            <w:tcW w:type="dxa" w:w="6048"/>
            <w:tcMar>
              <w:top w:w="80" w:type="dxa"/>
              <w:start w:w="90" w:type="dxa"/>
              <w:bottom w:w="80" w:type="dxa"/>
              <w:end w:w="90" w:type="dxa"/>
            </w:tcMar>
            <w:vAlign w:val="center"/>
            <w:shd w:fill="F7F9FC"/>
          </w:tcPr>
          <w:p>
            <w:pPr>
              <w:spacing w:after="20" w:line="240" w:lineRule="auto"/>
            </w:pPr>
            <w:r>
              <w:rPr>
                <w:sz w:val="14"/>
              </w:rPr>
              <w:t>Charge NET repository workflows to NET project and DIRECT repository workflows to DIRECT project, regardless of the developer who triggered them.</w:t>
            </w:r>
          </w:p>
        </w:tc>
      </w:tr>
      <w:tr>
        <w:tc>
          <w:tcPr>
            <w:tcW w:type="dxa" w:w="2232"/>
            <w:tcMar>
              <w:top w:w="80" w:type="dxa"/>
              <w:start w:w="90" w:type="dxa"/>
              <w:bottom w:w="80" w:type="dxa"/>
              <w:end w:w="90" w:type="dxa"/>
            </w:tcMar>
            <w:vAlign w:val="center"/>
          </w:tcPr>
          <w:p>
            <w:pPr>
              <w:spacing w:after="20" w:line="240" w:lineRule="auto"/>
            </w:pPr>
            <w:r>
              <w:rPr>
                <w:b/>
                <w:sz w:val="14"/>
              </w:rPr>
              <w:t>Codespaces / Packages / LFS</w:t>
            </w:r>
          </w:p>
        </w:tc>
        <w:tc>
          <w:tcPr>
            <w:tcW w:type="dxa" w:w="3456"/>
            <w:tcMar>
              <w:top w:w="80" w:type="dxa"/>
              <w:start w:w="90" w:type="dxa"/>
              <w:bottom w:w="80" w:type="dxa"/>
              <w:end w:w="90" w:type="dxa"/>
            </w:tcMar>
            <w:vAlign w:val="center"/>
          </w:tcPr>
          <w:p>
            <w:pPr>
              <w:spacing w:after="20" w:line="240" w:lineRule="auto"/>
            </w:pPr>
            <w:r>
              <w:rPr>
                <w:b/>
                <w:sz w:val="14"/>
              </w:rPr>
              <w:t>Repository/organisation ownership</w:t>
            </w:r>
          </w:p>
        </w:tc>
        <w:tc>
          <w:tcPr>
            <w:tcW w:type="dxa" w:w="6048"/>
            <w:tcMar>
              <w:top w:w="80" w:type="dxa"/>
              <w:start w:w="90" w:type="dxa"/>
              <w:bottom w:w="80" w:type="dxa"/>
              <w:end w:w="90" w:type="dxa"/>
            </w:tcMar>
            <w:vAlign w:val="center"/>
          </w:tcPr>
          <w:p>
            <w:pPr>
              <w:spacing w:after="20" w:line="240" w:lineRule="auto"/>
            </w:pPr>
            <w:r>
              <w:rPr>
                <w:sz w:val="14"/>
              </w:rPr>
              <w:t>Charge to the owning repository/project.</w:t>
            </w:r>
          </w:p>
        </w:tc>
      </w:tr>
      <w:tr>
        <w:tc>
          <w:tcPr>
            <w:tcW w:type="dxa" w:w="2232"/>
            <w:tcMar>
              <w:top w:w="80" w:type="dxa"/>
              <w:start w:w="90" w:type="dxa"/>
              <w:bottom w:w="80" w:type="dxa"/>
              <w:end w:w="90" w:type="dxa"/>
            </w:tcMar>
            <w:vAlign w:val="center"/>
            <w:shd w:fill="F7F9FC"/>
          </w:tcPr>
          <w:p>
            <w:pPr>
              <w:spacing w:after="20" w:line="240" w:lineRule="auto"/>
            </w:pPr>
            <w:r>
              <w:rPr>
                <w:b/>
                <w:sz w:val="14"/>
              </w:rPr>
              <w:t>Shared repository</w:t>
            </w:r>
          </w:p>
        </w:tc>
        <w:tc>
          <w:tcPr>
            <w:tcW w:type="dxa" w:w="3456"/>
            <w:tcMar>
              <w:top w:w="80" w:type="dxa"/>
              <w:start w:w="90" w:type="dxa"/>
              <w:bottom w:w="80" w:type="dxa"/>
              <w:end w:w="90" w:type="dxa"/>
            </w:tcMar>
            <w:vAlign w:val="center"/>
            <w:shd w:fill="F7F9FC"/>
          </w:tcPr>
          <w:p>
            <w:pPr>
              <w:spacing w:after="20" w:line="240" w:lineRule="auto"/>
            </w:pPr>
            <w:r>
              <w:rPr>
                <w:b/>
                <w:sz w:val="14"/>
              </w:rPr>
              <w:t>No unique project owner</w:t>
            </w:r>
          </w:p>
        </w:tc>
        <w:tc>
          <w:tcPr>
            <w:tcW w:type="dxa" w:w="6048"/>
            <w:tcMar>
              <w:top w:w="80" w:type="dxa"/>
              <w:start w:w="90" w:type="dxa"/>
              <w:bottom w:w="80" w:type="dxa"/>
              <w:end w:w="90" w:type="dxa"/>
            </w:tcMar>
            <w:vAlign w:val="center"/>
            <w:shd w:fill="F7F9FC"/>
          </w:tcPr>
          <w:p>
            <w:pPr>
              <w:spacing w:after="20" w:line="240" w:lineRule="auto"/>
            </w:pPr>
            <w:r>
              <w:rPr>
                <w:sz w:val="14"/>
              </w:rPr>
              <w:t>Assign a primary cost owner or maintain an effective-dated split such as 60% NET / 40% DIRECT.</w:t>
            </w:r>
          </w:p>
        </w:tc>
      </w:tr>
    </w:tbl>
    <w:p>
      <w:pPr>
        <w:spacing w:after="20"/>
      </w:pPr>
    </w:p>
    <w:p>
      <w:r>
        <w:t>GitHub’s allocation precedence matters when cost centres are used: direct assignment of a user to a cost centre takes priority; assignment through enterprise team membership is considered next; organisation membership can be used when the organisation belongs to a cost centre. If a user is in multiple enterprise teams mapped to different cost centres, GitHub documents that the team created first applies unless a direct user assignment overrides it. [4]</w:t>
      </w:r>
    </w:p>
    <w:p>
      <w:pPr>
        <w:pStyle w:val="Heading1"/>
      </w:pPr>
      <w:r>
        <w:t>8. Allocation policies for cross-team developers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944"/>
            <w:shd w:fill="17365D"/>
            <w:tcMar>
              <w:top w:w="80" w:type="dxa"/>
              <w:start w:w="90" w:type="dxa"/>
              <w:bottom w:w="80" w:type="dxa"/>
              <w:end w:w="90" w:type="dxa"/>
            </w:tcMar>
            <w:vAlign w:val="center"/>
          </w:tcPr>
          <w:p>
            <w:pPr>
              <w:jc w:val="center"/>
            </w:pPr>
            <w:r>
              <w:rPr>
                <w:b/>
                <w:color w:val="FFFFFF"/>
                <w:sz w:val="14"/>
              </w:rPr>
              <w:t>Policy</w:t>
            </w:r>
          </w:p>
        </w:tc>
        <w:tc>
          <w:tcPr>
            <w:tcW w:type="dxa" w:w="3671"/>
            <w:shd w:fill="17365D"/>
            <w:tcMar>
              <w:top w:w="80" w:type="dxa"/>
              <w:start w:w="90" w:type="dxa"/>
              <w:bottom w:w="80" w:type="dxa"/>
              <w:end w:w="90" w:type="dxa"/>
            </w:tcMar>
            <w:vAlign w:val="center"/>
          </w:tcPr>
          <w:p>
            <w:pPr>
              <w:jc w:val="center"/>
            </w:pPr>
            <w:r>
              <w:rPr>
                <w:b/>
                <w:color w:val="FFFFFF"/>
                <w:sz w:val="14"/>
              </w:rPr>
              <w:t>Description</w:t>
            </w:r>
          </w:p>
        </w:tc>
        <w:tc>
          <w:tcPr>
            <w:tcW w:type="dxa" w:w="2304"/>
            <w:shd w:fill="17365D"/>
            <w:tcMar>
              <w:top w:w="80" w:type="dxa"/>
              <w:start w:w="90" w:type="dxa"/>
              <w:bottom w:w="80" w:type="dxa"/>
              <w:end w:w="90" w:type="dxa"/>
            </w:tcMar>
            <w:vAlign w:val="center"/>
          </w:tcPr>
          <w:p>
            <w:pPr>
              <w:jc w:val="center"/>
            </w:pPr>
            <w:r>
              <w:rPr>
                <w:b/>
                <w:color w:val="FFFFFF"/>
                <w:sz w:val="14"/>
              </w:rPr>
              <w:t>Strength</w:t>
            </w:r>
          </w:p>
        </w:tc>
        <w:tc>
          <w:tcPr>
            <w:tcW w:type="dxa" w:w="2376"/>
            <w:shd w:fill="17365D"/>
            <w:tcMar>
              <w:top w:w="80" w:type="dxa"/>
              <w:start w:w="90" w:type="dxa"/>
              <w:bottom w:w="80" w:type="dxa"/>
              <w:end w:w="90" w:type="dxa"/>
            </w:tcMar>
            <w:vAlign w:val="center"/>
          </w:tcPr>
          <w:p>
            <w:pPr>
              <w:jc w:val="center"/>
            </w:pPr>
            <w:r>
              <w:rPr>
                <w:b/>
                <w:color w:val="FFFFFF"/>
                <w:sz w:val="14"/>
              </w:rPr>
              <w:t>Risk</w:t>
            </w:r>
          </w:p>
        </w:tc>
        <w:tc>
          <w:tcPr>
            <w:tcW w:type="dxa" w:w="2232"/>
            <w:shd w:fill="17365D"/>
            <w:tcMar>
              <w:top w:w="80" w:type="dxa"/>
              <w:start w:w="90" w:type="dxa"/>
              <w:bottom w:w="80" w:type="dxa"/>
              <w:end w:w="90" w:type="dxa"/>
            </w:tcMar>
            <w:vAlign w:val="center"/>
          </w:tcPr>
          <w:p>
            <w:pPr>
              <w:jc w:val="center"/>
            </w:pPr>
            <w:r>
              <w:rPr>
                <w:b/>
                <w:color w:val="FFFFFF"/>
                <w:sz w:val="14"/>
              </w:rPr>
              <w:t>Position</w:t>
            </w:r>
          </w:p>
        </w:tc>
      </w:tr>
      <w:tr>
        <w:tc>
          <w:tcPr>
            <w:tcW w:type="dxa" w:w="1944"/>
            <w:tcMar>
              <w:top w:w="80" w:type="dxa"/>
              <w:start w:w="90" w:type="dxa"/>
              <w:bottom w:w="80" w:type="dxa"/>
              <w:end w:w="90" w:type="dxa"/>
            </w:tcMar>
            <w:vAlign w:val="center"/>
          </w:tcPr>
          <w:p>
            <w:pPr>
              <w:spacing w:after="20" w:line="240" w:lineRule="auto"/>
            </w:pPr>
            <w:r>
              <w:rPr>
                <w:b/>
                <w:sz w:val="14"/>
              </w:rPr>
              <w:t>Home-cost-centre method</w:t>
            </w:r>
          </w:p>
        </w:tc>
        <w:tc>
          <w:tcPr>
            <w:tcW w:type="dxa" w:w="3671"/>
            <w:tcMar>
              <w:top w:w="80" w:type="dxa"/>
              <w:start w:w="90" w:type="dxa"/>
              <w:bottom w:w="80" w:type="dxa"/>
              <w:end w:w="90" w:type="dxa"/>
            </w:tcMar>
            <w:vAlign w:val="center"/>
          </w:tcPr>
          <w:p>
            <w:pPr>
              <w:spacing w:after="20" w:line="240" w:lineRule="auto"/>
            </w:pPr>
            <w:r>
              <w:rPr>
                <w:b/>
                <w:sz w:val="14"/>
              </w:rPr>
              <w:t>100% of seat cost goes to one home project; usage costs follow actual repositories.</w:t>
            </w:r>
          </w:p>
        </w:tc>
        <w:tc>
          <w:tcPr>
            <w:tcW w:type="dxa" w:w="2304"/>
            <w:tcMar>
              <w:top w:w="80" w:type="dxa"/>
              <w:start w:w="90" w:type="dxa"/>
              <w:bottom w:w="80" w:type="dxa"/>
              <w:end w:w="90" w:type="dxa"/>
            </w:tcMar>
            <w:vAlign w:val="center"/>
          </w:tcPr>
          <w:p>
            <w:pPr>
              <w:spacing w:after="20" w:line="240" w:lineRule="auto"/>
            </w:pPr>
            <w:r>
              <w:rPr>
                <w:sz w:val="14"/>
              </w:rPr>
              <w:t>Simple, auditable, no double-counting.</w:t>
            </w:r>
          </w:p>
        </w:tc>
        <w:tc>
          <w:tcPr>
            <w:tcW w:type="dxa" w:w="2376"/>
            <w:tcMar>
              <w:top w:w="80" w:type="dxa"/>
              <w:start w:w="90" w:type="dxa"/>
              <w:bottom w:w="80" w:type="dxa"/>
              <w:end w:w="90" w:type="dxa"/>
            </w:tcMar>
            <w:vAlign w:val="center"/>
          </w:tcPr>
          <w:p>
            <w:pPr>
              <w:spacing w:after="20" w:line="240" w:lineRule="auto"/>
            </w:pPr>
            <w:r>
              <w:rPr>
                <w:sz w:val="14"/>
              </w:rPr>
              <w:t>May not reflect time spent across projects.</w:t>
            </w:r>
          </w:p>
        </w:tc>
        <w:tc>
          <w:tcPr>
            <w:tcW w:type="dxa" w:w="2232"/>
            <w:tcMar>
              <w:top w:w="80" w:type="dxa"/>
              <w:start w:w="90" w:type="dxa"/>
              <w:bottom w:w="80" w:type="dxa"/>
              <w:end w:w="90" w:type="dxa"/>
            </w:tcMar>
            <w:vAlign w:val="center"/>
          </w:tcPr>
          <w:p>
            <w:pPr>
              <w:spacing w:after="20" w:line="240" w:lineRule="auto"/>
            </w:pPr>
            <w:r>
              <w:rPr>
                <w:sz w:val="14"/>
              </w:rPr>
              <w:t>Recommended for the POC.</w:t>
            </w:r>
          </w:p>
        </w:tc>
      </w:tr>
      <w:tr>
        <w:tc>
          <w:tcPr>
            <w:tcW w:type="dxa" w:w="1944"/>
            <w:tcMar>
              <w:top w:w="80" w:type="dxa"/>
              <w:start w:w="90" w:type="dxa"/>
              <w:bottom w:w="80" w:type="dxa"/>
              <w:end w:w="90" w:type="dxa"/>
            </w:tcMar>
            <w:vAlign w:val="center"/>
            <w:shd w:fill="F7F9FC"/>
          </w:tcPr>
          <w:p>
            <w:pPr>
              <w:spacing w:after="20" w:line="240" w:lineRule="auto"/>
            </w:pPr>
            <w:r>
              <w:rPr>
                <w:b/>
                <w:sz w:val="14"/>
              </w:rPr>
              <w:t>Percentage split</w:t>
            </w:r>
          </w:p>
        </w:tc>
        <w:tc>
          <w:tcPr>
            <w:tcW w:type="dxa" w:w="3671"/>
            <w:tcMar>
              <w:top w:w="80" w:type="dxa"/>
              <w:start w:w="90" w:type="dxa"/>
              <w:bottom w:w="80" w:type="dxa"/>
              <w:end w:w="90" w:type="dxa"/>
            </w:tcMar>
            <w:vAlign w:val="center"/>
            <w:shd w:fill="F7F9FC"/>
          </w:tcPr>
          <w:p>
            <w:pPr>
              <w:spacing w:after="20" w:line="240" w:lineRule="auto"/>
            </w:pPr>
            <w:r>
              <w:rPr>
                <w:b/>
                <w:sz w:val="14"/>
              </w:rPr>
              <w:t>Seat/user costs split using approved monthly percentages totalling 100%.</w:t>
            </w:r>
          </w:p>
        </w:tc>
        <w:tc>
          <w:tcPr>
            <w:tcW w:type="dxa" w:w="2304"/>
            <w:tcMar>
              <w:top w:w="80" w:type="dxa"/>
              <w:start w:w="90" w:type="dxa"/>
              <w:bottom w:w="80" w:type="dxa"/>
              <w:end w:w="90" w:type="dxa"/>
            </w:tcMar>
            <w:vAlign w:val="center"/>
            <w:shd w:fill="F7F9FC"/>
          </w:tcPr>
          <w:p>
            <w:pPr>
              <w:spacing w:after="20" w:line="240" w:lineRule="auto"/>
            </w:pPr>
            <w:r>
              <w:rPr>
                <w:sz w:val="14"/>
              </w:rPr>
              <w:t>Closer to resource allocation.</w:t>
            </w:r>
          </w:p>
        </w:tc>
        <w:tc>
          <w:tcPr>
            <w:tcW w:type="dxa" w:w="2376"/>
            <w:tcMar>
              <w:top w:w="80" w:type="dxa"/>
              <w:start w:w="90" w:type="dxa"/>
              <w:bottom w:w="80" w:type="dxa"/>
              <w:end w:w="90" w:type="dxa"/>
            </w:tcMar>
            <w:vAlign w:val="center"/>
            <w:shd w:fill="F7F9FC"/>
          </w:tcPr>
          <w:p>
            <w:pPr>
              <w:spacing w:after="20" w:line="240" w:lineRule="auto"/>
            </w:pPr>
            <w:r>
              <w:rPr>
                <w:sz w:val="14"/>
              </w:rPr>
              <w:t>Requires governance and effective dates.</w:t>
            </w:r>
          </w:p>
        </w:tc>
        <w:tc>
          <w:tcPr>
            <w:tcW w:type="dxa" w:w="2232"/>
            <w:tcMar>
              <w:top w:w="80" w:type="dxa"/>
              <w:start w:w="90" w:type="dxa"/>
              <w:bottom w:w="80" w:type="dxa"/>
              <w:end w:w="90" w:type="dxa"/>
            </w:tcMar>
            <w:vAlign w:val="center"/>
            <w:shd w:fill="F7F9FC"/>
          </w:tcPr>
          <w:p>
            <w:pPr>
              <w:spacing w:after="20" w:line="240" w:lineRule="auto"/>
            </w:pPr>
            <w:r>
              <w:rPr>
                <w:sz w:val="14"/>
              </w:rPr>
              <w:t>Use when Finance requires project chargeback.</w:t>
            </w:r>
          </w:p>
        </w:tc>
      </w:tr>
      <w:tr>
        <w:tc>
          <w:tcPr>
            <w:tcW w:type="dxa" w:w="1944"/>
            <w:tcMar>
              <w:top w:w="80" w:type="dxa"/>
              <w:start w:w="90" w:type="dxa"/>
              <w:bottom w:w="80" w:type="dxa"/>
              <w:end w:w="90" w:type="dxa"/>
            </w:tcMar>
            <w:vAlign w:val="center"/>
          </w:tcPr>
          <w:p>
            <w:pPr>
              <w:spacing w:after="20" w:line="240" w:lineRule="auto"/>
            </w:pPr>
            <w:r>
              <w:rPr>
                <w:b/>
                <w:sz w:val="14"/>
              </w:rPr>
              <w:t>Activity-based split</w:t>
            </w:r>
          </w:p>
        </w:tc>
        <w:tc>
          <w:tcPr>
            <w:tcW w:type="dxa" w:w="3671"/>
            <w:tcMar>
              <w:top w:w="80" w:type="dxa"/>
              <w:start w:w="90" w:type="dxa"/>
              <w:bottom w:w="80" w:type="dxa"/>
              <w:end w:w="90" w:type="dxa"/>
            </w:tcMar>
            <w:vAlign w:val="center"/>
          </w:tcPr>
          <w:p>
            <w:pPr>
              <w:spacing w:after="20" w:line="240" w:lineRule="auto"/>
            </w:pPr>
            <w:r>
              <w:rPr>
                <w:b/>
                <w:sz w:val="14"/>
              </w:rPr>
              <w:t>Split based on measurable repository/workflow/AI activity.</w:t>
            </w:r>
          </w:p>
        </w:tc>
        <w:tc>
          <w:tcPr>
            <w:tcW w:type="dxa" w:w="2304"/>
            <w:tcMar>
              <w:top w:w="80" w:type="dxa"/>
              <w:start w:w="90" w:type="dxa"/>
              <w:bottom w:w="80" w:type="dxa"/>
              <w:end w:w="90" w:type="dxa"/>
            </w:tcMar>
            <w:vAlign w:val="center"/>
          </w:tcPr>
          <w:p>
            <w:pPr>
              <w:spacing w:after="20" w:line="240" w:lineRule="auto"/>
            </w:pPr>
            <w:r>
              <w:rPr>
                <w:sz w:val="14"/>
              </w:rPr>
              <w:t>Usage-sensitive.</w:t>
            </w:r>
          </w:p>
        </w:tc>
        <w:tc>
          <w:tcPr>
            <w:tcW w:type="dxa" w:w="2376"/>
            <w:tcMar>
              <w:top w:w="80" w:type="dxa"/>
              <w:start w:w="90" w:type="dxa"/>
              <w:bottom w:w="80" w:type="dxa"/>
              <w:end w:w="90" w:type="dxa"/>
            </w:tcMar>
            <w:vAlign w:val="center"/>
          </w:tcPr>
          <w:p>
            <w:pPr>
              <w:spacing w:after="20" w:line="240" w:lineRule="auto"/>
            </w:pPr>
            <w:r>
              <w:rPr>
                <w:sz w:val="14"/>
              </w:rPr>
              <w:t>Commits are not a reliable proxy for effort; can be challenged.</w:t>
            </w:r>
          </w:p>
        </w:tc>
        <w:tc>
          <w:tcPr>
            <w:tcW w:type="dxa" w:w="2232"/>
            <w:tcMar>
              <w:top w:w="80" w:type="dxa"/>
              <w:start w:w="90" w:type="dxa"/>
              <w:bottom w:w="80" w:type="dxa"/>
              <w:end w:w="90" w:type="dxa"/>
            </w:tcMar>
            <w:vAlign w:val="center"/>
          </w:tcPr>
          <w:p>
            <w:pPr>
              <w:spacing w:after="20" w:line="240" w:lineRule="auto"/>
            </w:pPr>
            <w:r>
              <w:rPr>
                <w:sz w:val="14"/>
              </w:rPr>
              <w:t>Use only for metered usage, not base seat cost.</w:t>
            </w:r>
          </w:p>
        </w:tc>
      </w:tr>
      <w:tr>
        <w:tc>
          <w:tcPr>
            <w:tcW w:type="dxa" w:w="1944"/>
            <w:tcMar>
              <w:top w:w="80" w:type="dxa"/>
              <w:start w:w="90" w:type="dxa"/>
              <w:bottom w:w="80" w:type="dxa"/>
              <w:end w:w="90" w:type="dxa"/>
            </w:tcMar>
            <w:vAlign w:val="center"/>
            <w:shd w:fill="F7F9FC"/>
          </w:tcPr>
          <w:p>
            <w:pPr>
              <w:spacing w:after="20" w:line="240" w:lineRule="auto"/>
            </w:pPr>
            <w:r>
              <w:rPr>
                <w:b/>
                <w:sz w:val="14"/>
              </w:rPr>
              <w:t>Primary plus exception</w:t>
            </w:r>
          </w:p>
        </w:tc>
        <w:tc>
          <w:tcPr>
            <w:tcW w:type="dxa" w:w="3671"/>
            <w:tcMar>
              <w:top w:w="80" w:type="dxa"/>
              <w:start w:w="90" w:type="dxa"/>
              <w:bottom w:w="80" w:type="dxa"/>
              <w:end w:w="90" w:type="dxa"/>
            </w:tcMar>
            <w:vAlign w:val="center"/>
            <w:shd w:fill="F7F9FC"/>
          </w:tcPr>
          <w:p>
            <w:pPr>
              <w:spacing w:after="20" w:line="240" w:lineRule="auto"/>
            </w:pPr>
            <w:r>
              <w:rPr>
                <w:b/>
                <w:sz w:val="14"/>
              </w:rPr>
              <w:t>Default to home project; temporary project overrides have start/end dates.</w:t>
            </w:r>
          </w:p>
        </w:tc>
        <w:tc>
          <w:tcPr>
            <w:tcW w:type="dxa" w:w="2304"/>
            <w:tcMar>
              <w:top w:w="80" w:type="dxa"/>
              <w:start w:w="90" w:type="dxa"/>
              <w:bottom w:w="80" w:type="dxa"/>
              <w:end w:w="90" w:type="dxa"/>
            </w:tcMar>
            <w:vAlign w:val="center"/>
            <w:shd w:fill="F7F9FC"/>
          </w:tcPr>
          <w:p>
            <w:pPr>
              <w:spacing w:after="20" w:line="240" w:lineRule="auto"/>
            </w:pPr>
            <w:r>
              <w:rPr>
                <w:sz w:val="14"/>
              </w:rPr>
              <w:t>Practical for secondments and incidents.</w:t>
            </w:r>
          </w:p>
        </w:tc>
        <w:tc>
          <w:tcPr>
            <w:tcW w:type="dxa" w:w="2376"/>
            <w:tcMar>
              <w:top w:w="80" w:type="dxa"/>
              <w:start w:w="90" w:type="dxa"/>
              <w:bottom w:w="80" w:type="dxa"/>
              <w:end w:w="90" w:type="dxa"/>
            </w:tcMar>
            <w:vAlign w:val="center"/>
            <w:shd w:fill="F7F9FC"/>
          </w:tcPr>
          <w:p>
            <w:pPr>
              <w:spacing w:after="20" w:line="240" w:lineRule="auto"/>
            </w:pPr>
            <w:r>
              <w:rPr>
                <w:sz w:val="14"/>
              </w:rPr>
              <w:t>Needs exception workflow.</w:t>
            </w:r>
          </w:p>
        </w:tc>
        <w:tc>
          <w:tcPr>
            <w:tcW w:type="dxa" w:w="2232"/>
            <w:tcMar>
              <w:top w:w="80" w:type="dxa"/>
              <w:start w:w="90" w:type="dxa"/>
              <w:bottom w:w="80" w:type="dxa"/>
              <w:end w:w="90" w:type="dxa"/>
            </w:tcMar>
            <w:vAlign w:val="center"/>
            <w:shd w:fill="F7F9FC"/>
          </w:tcPr>
          <w:p>
            <w:pPr>
              <w:spacing w:after="20" w:line="240" w:lineRule="auto"/>
            </w:pPr>
            <w:r>
              <w:rPr>
                <w:sz w:val="14"/>
              </w:rPr>
              <w:t>Good long-term operating model.</w:t>
            </w:r>
          </w:p>
        </w:tc>
      </w:tr>
    </w:tbl>
    <w:p>
      <w:pPr>
        <w:spacing w:after="20"/>
      </w:pPr>
    </w:p>
    <w:p>
      <w:pPr>
        <w:pStyle w:val="Heading1"/>
      </w:pPr>
      <w:r>
        <w:t>9. Reporting sources and API feasibility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376"/>
            <w:shd w:fill="17365D"/>
            <w:tcMar>
              <w:top w:w="80" w:type="dxa"/>
              <w:start w:w="90" w:type="dxa"/>
              <w:bottom w:w="80" w:type="dxa"/>
              <w:end w:w="90" w:type="dxa"/>
            </w:tcMar>
            <w:vAlign w:val="center"/>
          </w:tcPr>
          <w:p>
            <w:pPr>
              <w:jc w:val="center"/>
            </w:pPr>
            <w:r>
              <w:rPr>
                <w:b/>
                <w:color w:val="FFFFFF"/>
                <w:sz w:val="14"/>
              </w:rPr>
              <w:t>Source</w:t>
            </w:r>
          </w:p>
        </w:tc>
        <w:tc>
          <w:tcPr>
            <w:tcW w:type="dxa" w:w="1800"/>
            <w:shd w:fill="17365D"/>
            <w:tcMar>
              <w:top w:w="80" w:type="dxa"/>
              <w:start w:w="90" w:type="dxa"/>
              <w:bottom w:w="80" w:type="dxa"/>
              <w:end w:w="90" w:type="dxa"/>
            </w:tcMar>
            <w:vAlign w:val="center"/>
          </w:tcPr>
          <w:p>
            <w:pPr>
              <w:jc w:val="center"/>
            </w:pPr>
            <w:r>
              <w:rPr>
                <w:b/>
                <w:color w:val="FFFFFF"/>
                <w:sz w:val="14"/>
              </w:rPr>
              <w:t>Coverage</w:t>
            </w:r>
          </w:p>
        </w:tc>
        <w:tc>
          <w:tcPr>
            <w:tcW w:type="dxa" w:w="4680"/>
            <w:shd w:fill="17365D"/>
            <w:tcMar>
              <w:top w:w="80" w:type="dxa"/>
              <w:start w:w="90" w:type="dxa"/>
              <w:bottom w:w="80" w:type="dxa"/>
              <w:end w:w="90" w:type="dxa"/>
            </w:tcMar>
            <w:vAlign w:val="center"/>
          </w:tcPr>
          <w:p>
            <w:pPr>
              <w:jc w:val="center"/>
            </w:pPr>
            <w:r>
              <w:rPr>
                <w:b/>
                <w:color w:val="FFFFFF"/>
                <w:sz w:val="14"/>
              </w:rPr>
              <w:t>Provides</w:t>
            </w:r>
          </w:p>
        </w:tc>
        <w:tc>
          <w:tcPr>
            <w:tcW w:type="dxa" w:w="3240"/>
            <w:shd w:fill="17365D"/>
            <w:tcMar>
              <w:top w:w="80" w:type="dxa"/>
              <w:start w:w="90" w:type="dxa"/>
              <w:bottom w:w="80" w:type="dxa"/>
              <w:end w:w="90" w:type="dxa"/>
            </w:tcMar>
            <w:vAlign w:val="center"/>
          </w:tcPr>
          <w:p>
            <w:pPr>
              <w:jc w:val="center"/>
            </w:pPr>
            <w:r>
              <w:rPr>
                <w:b/>
                <w:color w:val="FFFFFF"/>
                <w:sz w:val="14"/>
              </w:rPr>
              <w:t>Use in solution</w:t>
            </w:r>
          </w:p>
        </w:tc>
      </w:tr>
      <w:tr>
        <w:tc>
          <w:tcPr>
            <w:tcW w:type="dxa" w:w="2376"/>
            <w:tcMar>
              <w:top w:w="80" w:type="dxa"/>
              <w:start w:w="90" w:type="dxa"/>
              <w:bottom w:w="80" w:type="dxa"/>
              <w:end w:w="90" w:type="dxa"/>
            </w:tcMar>
            <w:vAlign w:val="center"/>
          </w:tcPr>
          <w:p>
            <w:pPr>
              <w:spacing w:after="20" w:line="240" w:lineRule="auto"/>
            </w:pPr>
            <w:r>
              <w:rPr>
                <w:b/>
                <w:sz w:val="14"/>
              </w:rPr>
              <w:t>GitHub web detailed usage report</w:t>
            </w:r>
          </w:p>
        </w:tc>
        <w:tc>
          <w:tcPr>
            <w:tcW w:type="dxa" w:w="1800"/>
            <w:tcMar>
              <w:top w:w="80" w:type="dxa"/>
              <w:start w:w="90" w:type="dxa"/>
              <w:bottom w:w="80" w:type="dxa"/>
              <w:end w:w="90" w:type="dxa"/>
            </w:tcMar>
            <w:vAlign w:val="center"/>
          </w:tcPr>
          <w:p>
            <w:pPr>
              <w:spacing w:after="20" w:line="240" w:lineRule="auto"/>
            </w:pPr>
            <w:r>
              <w:rPr>
                <w:b/>
                <w:sz w:val="14"/>
              </w:rPr>
              <w:t>Up to 31 days</w:t>
            </w:r>
          </w:p>
        </w:tc>
        <w:tc>
          <w:tcPr>
            <w:tcW w:type="dxa" w:w="4680"/>
            <w:tcMar>
              <w:top w:w="80" w:type="dxa"/>
              <w:start w:w="90" w:type="dxa"/>
              <w:bottom w:w="80" w:type="dxa"/>
              <w:end w:w="90" w:type="dxa"/>
            </w:tcMar>
            <w:vAlign w:val="center"/>
          </w:tcPr>
          <w:p>
            <w:pPr>
              <w:spacing w:after="20" w:line="240" w:lineRule="auto"/>
            </w:pPr>
            <w:r>
              <w:rPr>
                <w:sz w:val="14"/>
              </w:rPr>
              <w:t>Repository, cost centre, username, workflow path and financial fields</w:t>
            </w:r>
          </w:p>
        </w:tc>
        <w:tc>
          <w:tcPr>
            <w:tcW w:type="dxa" w:w="3240"/>
            <w:tcMar>
              <w:top w:w="80" w:type="dxa"/>
              <w:start w:w="90" w:type="dxa"/>
              <w:bottom w:w="80" w:type="dxa"/>
              <w:end w:w="90" w:type="dxa"/>
            </w:tcMar>
            <w:vAlign w:val="center"/>
          </w:tcPr>
          <w:p>
            <w:pPr>
              <w:spacing w:after="20" w:line="240" w:lineRule="auto"/>
            </w:pPr>
            <w:r>
              <w:rPr>
                <w:sz w:val="14"/>
              </w:rPr>
              <w:t>Best source for detailed monthly reconciliation; not available through /usage API.</w:t>
            </w:r>
          </w:p>
        </w:tc>
      </w:tr>
      <w:tr>
        <w:tc>
          <w:tcPr>
            <w:tcW w:type="dxa" w:w="2376"/>
            <w:tcMar>
              <w:top w:w="80" w:type="dxa"/>
              <w:start w:w="90" w:type="dxa"/>
              <w:bottom w:w="80" w:type="dxa"/>
              <w:end w:w="90" w:type="dxa"/>
            </w:tcMar>
            <w:vAlign w:val="center"/>
            <w:shd w:fill="F7F9FC"/>
          </w:tcPr>
          <w:p>
            <w:pPr>
              <w:spacing w:after="20" w:line="240" w:lineRule="auto"/>
            </w:pPr>
            <w:r>
              <w:rPr>
                <w:b/>
                <w:sz w:val="14"/>
              </w:rPr>
              <w:t>GitHub summarized usage report</w:t>
            </w:r>
          </w:p>
        </w:tc>
        <w:tc>
          <w:tcPr>
            <w:tcW w:type="dxa" w:w="1800"/>
            <w:tcMar>
              <w:top w:w="80" w:type="dxa"/>
              <w:start w:w="90" w:type="dxa"/>
              <w:bottom w:w="80" w:type="dxa"/>
              <w:end w:w="90" w:type="dxa"/>
            </w:tcMar>
            <w:vAlign w:val="center"/>
            <w:shd w:fill="F7F9FC"/>
          </w:tcPr>
          <w:p>
            <w:pPr>
              <w:spacing w:after="20" w:line="240" w:lineRule="auto"/>
            </w:pPr>
            <w:r>
              <w:rPr>
                <w:b/>
                <w:sz w:val="14"/>
              </w:rPr>
              <w:t>Up to one year</w:t>
            </w:r>
          </w:p>
        </w:tc>
        <w:tc>
          <w:tcPr>
            <w:tcW w:type="dxa" w:w="4680"/>
            <w:tcMar>
              <w:top w:w="80" w:type="dxa"/>
              <w:start w:w="90" w:type="dxa"/>
              <w:bottom w:w="80" w:type="dxa"/>
              <w:end w:w="90" w:type="dxa"/>
            </w:tcMar>
            <w:vAlign w:val="center"/>
            <w:shd w:fill="F7F9FC"/>
          </w:tcPr>
          <w:p>
            <w:pPr>
              <w:spacing w:after="20" w:line="240" w:lineRule="auto"/>
            </w:pPr>
            <w:r>
              <w:rPr>
                <w:sz w:val="14"/>
              </w:rPr>
              <w:t>Date, SKU, repository, cost centre and organisation summary</w:t>
            </w:r>
          </w:p>
        </w:tc>
        <w:tc>
          <w:tcPr>
            <w:tcW w:type="dxa" w:w="3240"/>
            <w:tcMar>
              <w:top w:w="80" w:type="dxa"/>
              <w:start w:w="90" w:type="dxa"/>
              <w:bottom w:w="80" w:type="dxa"/>
              <w:end w:w="90" w:type="dxa"/>
            </w:tcMar>
            <w:vAlign w:val="center"/>
            <w:shd w:fill="F7F9FC"/>
          </w:tcPr>
          <w:p>
            <w:pPr>
              <w:spacing w:after="20" w:line="240" w:lineRule="auto"/>
            </w:pPr>
            <w:r>
              <w:rPr>
                <w:sz w:val="14"/>
              </w:rPr>
              <w:t>Good for trend reporting.</w:t>
            </w:r>
          </w:p>
        </w:tc>
      </w:tr>
      <w:tr>
        <w:tc>
          <w:tcPr>
            <w:tcW w:type="dxa" w:w="2376"/>
            <w:tcMar>
              <w:top w:w="80" w:type="dxa"/>
              <w:start w:w="90" w:type="dxa"/>
              <w:bottom w:w="80" w:type="dxa"/>
              <w:end w:w="90" w:type="dxa"/>
            </w:tcMar>
            <w:vAlign w:val="center"/>
          </w:tcPr>
          <w:p>
            <w:pPr>
              <w:spacing w:after="20" w:line="240" w:lineRule="auto"/>
            </w:pPr>
            <w:r>
              <w:rPr>
                <w:b/>
                <w:sz w:val="14"/>
              </w:rPr>
              <w:t>Billing usage REST API</w:t>
            </w:r>
          </w:p>
        </w:tc>
        <w:tc>
          <w:tcPr>
            <w:tcW w:type="dxa" w:w="1800"/>
            <w:tcMar>
              <w:top w:w="80" w:type="dxa"/>
              <w:start w:w="90" w:type="dxa"/>
              <w:bottom w:w="80" w:type="dxa"/>
              <w:end w:w="90" w:type="dxa"/>
            </w:tcMar>
            <w:vAlign w:val="center"/>
          </w:tcPr>
          <w:p>
            <w:pPr>
              <w:spacing w:after="20" w:line="240" w:lineRule="auto"/>
            </w:pPr>
            <w:r>
              <w:rPr>
                <w:b/>
                <w:sz w:val="14"/>
              </w:rPr>
              <w:t>Date filters; product/SKU and account scopes</w:t>
            </w:r>
          </w:p>
        </w:tc>
        <w:tc>
          <w:tcPr>
            <w:tcW w:type="dxa" w:w="4680"/>
            <w:tcMar>
              <w:top w:w="80" w:type="dxa"/>
              <w:start w:w="90" w:type="dxa"/>
              <w:bottom w:w="80" w:type="dxa"/>
              <w:end w:w="90" w:type="dxa"/>
            </w:tcMar>
            <w:vAlign w:val="center"/>
          </w:tcPr>
          <w:p>
            <w:pPr>
              <w:spacing w:after="20" w:line="240" w:lineRule="auto"/>
            </w:pPr>
            <w:r>
              <w:rPr>
                <w:sz w:val="14"/>
              </w:rPr>
              <w:t>Summarized billing usage; AI filters include organisation, user and model</w:t>
            </w:r>
          </w:p>
        </w:tc>
        <w:tc>
          <w:tcPr>
            <w:tcW w:type="dxa" w:w="3240"/>
            <w:tcMar>
              <w:top w:w="80" w:type="dxa"/>
              <w:start w:w="90" w:type="dxa"/>
              <w:bottom w:w="80" w:type="dxa"/>
              <w:end w:w="90" w:type="dxa"/>
            </w:tcMar>
            <w:vAlign w:val="center"/>
          </w:tcPr>
          <w:p>
            <w:pPr>
              <w:spacing w:after="20" w:line="240" w:lineRule="auto"/>
            </w:pPr>
            <w:r>
              <w:rPr>
                <w:sz w:val="14"/>
              </w:rPr>
              <w:t>Use for daily ingestion and threshold monitoring.</w:t>
            </w:r>
          </w:p>
        </w:tc>
      </w:tr>
      <w:tr>
        <w:tc>
          <w:tcPr>
            <w:tcW w:type="dxa" w:w="2376"/>
            <w:tcMar>
              <w:top w:w="80" w:type="dxa"/>
              <w:start w:w="90" w:type="dxa"/>
              <w:bottom w:w="80" w:type="dxa"/>
              <w:end w:w="90" w:type="dxa"/>
            </w:tcMar>
            <w:vAlign w:val="center"/>
            <w:shd w:fill="F7F9FC"/>
          </w:tcPr>
          <w:p>
            <w:pPr>
              <w:spacing w:after="20" w:line="240" w:lineRule="auto"/>
            </w:pPr>
            <w:r>
              <w:rPr>
                <w:b/>
                <w:sz w:val="14"/>
              </w:rPr>
              <w:t>Usage report exports API</w:t>
            </w:r>
          </w:p>
        </w:tc>
        <w:tc>
          <w:tcPr>
            <w:tcW w:type="dxa" w:w="1800"/>
            <w:tcMar>
              <w:top w:w="80" w:type="dxa"/>
              <w:start w:w="90" w:type="dxa"/>
              <w:bottom w:w="80" w:type="dxa"/>
              <w:end w:w="90" w:type="dxa"/>
            </w:tcMar>
            <w:vAlign w:val="center"/>
            <w:shd w:fill="F7F9FC"/>
          </w:tcPr>
          <w:p>
            <w:pPr>
              <w:spacing w:after="20" w:line="240" w:lineRule="auto"/>
            </w:pPr>
            <w:r>
              <w:rPr>
                <w:b/>
                <w:sz w:val="14"/>
              </w:rPr>
              <w:t>Enterprise report export jobs</w:t>
            </w:r>
          </w:p>
        </w:tc>
        <w:tc>
          <w:tcPr>
            <w:tcW w:type="dxa" w:w="4680"/>
            <w:tcMar>
              <w:top w:w="80" w:type="dxa"/>
              <w:start w:w="90" w:type="dxa"/>
              <w:bottom w:w="80" w:type="dxa"/>
              <w:end w:w="90" w:type="dxa"/>
            </w:tcMar>
            <w:vAlign w:val="center"/>
            <w:shd w:fill="F7F9FC"/>
          </w:tcPr>
          <w:p>
            <w:pPr>
              <w:spacing w:after="20" w:line="240" w:lineRule="auto"/>
            </w:pPr>
            <w:r>
              <w:rPr>
                <w:sz w:val="14"/>
              </w:rPr>
              <w:t>Creates/retrieves report exports</w:t>
            </w:r>
          </w:p>
        </w:tc>
        <w:tc>
          <w:tcPr>
            <w:tcW w:type="dxa" w:w="3240"/>
            <w:tcMar>
              <w:top w:w="80" w:type="dxa"/>
              <w:start w:w="90" w:type="dxa"/>
              <w:bottom w:w="80" w:type="dxa"/>
              <w:end w:w="90" w:type="dxa"/>
            </w:tcMar>
            <w:vAlign w:val="center"/>
            <w:shd w:fill="F7F9FC"/>
          </w:tcPr>
          <w:p>
            <w:pPr>
              <w:spacing w:after="20" w:line="240" w:lineRule="auto"/>
            </w:pPr>
            <w:r>
              <w:rPr>
                <w:sz w:val="14"/>
              </w:rPr>
              <w:t>Use for automated enterprise export orchestration where enabled.</w:t>
            </w:r>
          </w:p>
        </w:tc>
      </w:tr>
      <w:tr>
        <w:tc>
          <w:tcPr>
            <w:tcW w:type="dxa" w:w="2376"/>
            <w:tcMar>
              <w:top w:w="80" w:type="dxa"/>
              <w:start w:w="90" w:type="dxa"/>
              <w:bottom w:w="80" w:type="dxa"/>
              <w:end w:w="90" w:type="dxa"/>
            </w:tcMar>
            <w:vAlign w:val="center"/>
          </w:tcPr>
          <w:p>
            <w:pPr>
              <w:spacing w:after="20" w:line="240" w:lineRule="auto"/>
            </w:pPr>
            <w:r>
              <w:rPr>
                <w:b/>
                <w:sz w:val="14"/>
              </w:rPr>
              <w:t>Teams REST API</w:t>
            </w:r>
          </w:p>
        </w:tc>
        <w:tc>
          <w:tcPr>
            <w:tcW w:type="dxa" w:w="1800"/>
            <w:tcMar>
              <w:top w:w="80" w:type="dxa"/>
              <w:start w:w="90" w:type="dxa"/>
              <w:bottom w:w="80" w:type="dxa"/>
              <w:end w:w="90" w:type="dxa"/>
            </w:tcMar>
            <w:vAlign w:val="center"/>
          </w:tcPr>
          <w:p>
            <w:pPr>
              <w:spacing w:after="20" w:line="240" w:lineRule="auto"/>
            </w:pPr>
            <w:r>
              <w:rPr>
                <w:b/>
                <w:sz w:val="14"/>
              </w:rPr>
              <w:t>Current membership/repository relationships</w:t>
            </w:r>
          </w:p>
        </w:tc>
        <w:tc>
          <w:tcPr>
            <w:tcW w:type="dxa" w:w="4680"/>
            <w:tcMar>
              <w:top w:w="80" w:type="dxa"/>
              <w:start w:w="90" w:type="dxa"/>
              <w:bottom w:w="80" w:type="dxa"/>
              <w:end w:w="90" w:type="dxa"/>
            </w:tcMar>
            <w:vAlign w:val="center"/>
          </w:tcPr>
          <w:p>
            <w:pPr>
              <w:spacing w:after="20" w:line="240" w:lineRule="auto"/>
            </w:pPr>
            <w:r>
              <w:rPr>
                <w:sz w:val="14"/>
              </w:rPr>
              <w:t>Teams, members, repositories and permissions</w:t>
            </w:r>
          </w:p>
        </w:tc>
        <w:tc>
          <w:tcPr>
            <w:tcW w:type="dxa" w:w="3240"/>
            <w:tcMar>
              <w:top w:w="80" w:type="dxa"/>
              <w:start w:w="90" w:type="dxa"/>
              <w:bottom w:w="80" w:type="dxa"/>
              <w:end w:w="90" w:type="dxa"/>
            </w:tcMar>
            <w:vAlign w:val="center"/>
          </w:tcPr>
          <w:p>
            <w:pPr>
              <w:spacing w:after="20" w:line="240" w:lineRule="auto"/>
            </w:pPr>
            <w:r>
              <w:rPr>
                <w:sz w:val="14"/>
              </w:rPr>
              <w:t>Use to build team mapping, not as billing source.</w:t>
            </w:r>
          </w:p>
        </w:tc>
      </w:tr>
      <w:tr>
        <w:tc>
          <w:tcPr>
            <w:tcW w:type="dxa" w:w="2376"/>
            <w:tcMar>
              <w:top w:w="80" w:type="dxa"/>
              <w:start w:w="90" w:type="dxa"/>
              <w:bottom w:w="80" w:type="dxa"/>
              <w:end w:w="90" w:type="dxa"/>
            </w:tcMar>
            <w:vAlign w:val="center"/>
            <w:shd w:fill="F7F9FC"/>
          </w:tcPr>
          <w:p>
            <w:pPr>
              <w:spacing w:after="20" w:line="240" w:lineRule="auto"/>
            </w:pPr>
            <w:r>
              <w:rPr>
                <w:b/>
                <w:sz w:val="14"/>
              </w:rPr>
              <w:t>Enterprise teams API</w:t>
            </w:r>
          </w:p>
        </w:tc>
        <w:tc>
          <w:tcPr>
            <w:tcW w:type="dxa" w:w="1800"/>
            <w:tcMar>
              <w:top w:w="80" w:type="dxa"/>
              <w:start w:w="90" w:type="dxa"/>
              <w:bottom w:w="80" w:type="dxa"/>
              <w:end w:w="90" w:type="dxa"/>
            </w:tcMar>
            <w:vAlign w:val="center"/>
            <w:shd w:fill="F7F9FC"/>
          </w:tcPr>
          <w:p>
            <w:pPr>
              <w:spacing w:after="20" w:line="240" w:lineRule="auto"/>
            </w:pPr>
            <w:r>
              <w:rPr>
                <w:b/>
                <w:sz w:val="14"/>
              </w:rPr>
              <w:t>Enterprise team membership</w:t>
            </w:r>
          </w:p>
        </w:tc>
        <w:tc>
          <w:tcPr>
            <w:tcW w:type="dxa" w:w="4680"/>
            <w:tcMar>
              <w:top w:w="80" w:type="dxa"/>
              <w:start w:w="90" w:type="dxa"/>
              <w:bottom w:w="80" w:type="dxa"/>
              <w:end w:w="90" w:type="dxa"/>
            </w:tcMar>
            <w:vAlign w:val="center"/>
            <w:shd w:fill="F7F9FC"/>
          </w:tcPr>
          <w:p>
            <w:pPr>
              <w:spacing w:after="20" w:line="240" w:lineRule="auto"/>
            </w:pPr>
            <w:r>
              <w:rPr>
                <w:sz w:val="14"/>
              </w:rPr>
              <w:t>Teams for users and enterprise team membership</w:t>
            </w:r>
          </w:p>
        </w:tc>
        <w:tc>
          <w:tcPr>
            <w:tcW w:type="dxa" w:w="3240"/>
            <w:tcMar>
              <w:top w:w="80" w:type="dxa"/>
              <w:start w:w="90" w:type="dxa"/>
              <w:bottom w:w="80" w:type="dxa"/>
              <w:end w:w="90" w:type="dxa"/>
            </w:tcMar>
            <w:vAlign w:val="center"/>
            <w:shd w:fill="F7F9FC"/>
          </w:tcPr>
          <w:p>
            <w:pPr>
              <w:spacing w:after="20" w:line="240" w:lineRule="auto"/>
            </w:pPr>
            <w:r>
              <w:rPr>
                <w:sz w:val="14"/>
              </w:rPr>
              <w:t>Use for cost-centre-aligned enterprise teams.</w:t>
            </w:r>
          </w:p>
        </w:tc>
      </w:tr>
      <w:tr>
        <w:tc>
          <w:tcPr>
            <w:tcW w:type="dxa" w:w="2376"/>
            <w:tcMar>
              <w:top w:w="80" w:type="dxa"/>
              <w:start w:w="90" w:type="dxa"/>
              <w:bottom w:w="80" w:type="dxa"/>
              <w:end w:w="90" w:type="dxa"/>
            </w:tcMar>
            <w:vAlign w:val="center"/>
          </w:tcPr>
          <w:p>
            <w:pPr>
              <w:spacing w:after="20" w:line="240" w:lineRule="auto"/>
            </w:pPr>
            <w:r>
              <w:rPr>
                <w:b/>
                <w:sz w:val="14"/>
              </w:rPr>
              <w:t>Okta/Azure AD</w:t>
            </w:r>
          </w:p>
        </w:tc>
        <w:tc>
          <w:tcPr>
            <w:tcW w:type="dxa" w:w="1800"/>
            <w:tcMar>
              <w:top w:w="80" w:type="dxa"/>
              <w:start w:w="90" w:type="dxa"/>
              <w:bottom w:w="80" w:type="dxa"/>
              <w:end w:w="90" w:type="dxa"/>
            </w:tcMar>
            <w:vAlign w:val="center"/>
          </w:tcPr>
          <w:p>
            <w:pPr>
              <w:spacing w:after="20" w:line="240" w:lineRule="auto"/>
            </w:pPr>
            <w:r>
              <w:rPr>
                <w:b/>
                <w:sz w:val="14"/>
              </w:rPr>
              <w:t>Identity and group lifecycle</w:t>
            </w:r>
          </w:p>
        </w:tc>
        <w:tc>
          <w:tcPr>
            <w:tcW w:type="dxa" w:w="4680"/>
            <w:tcMar>
              <w:top w:w="80" w:type="dxa"/>
              <w:start w:w="90" w:type="dxa"/>
              <w:bottom w:w="80" w:type="dxa"/>
              <w:end w:w="90" w:type="dxa"/>
            </w:tcMar>
            <w:vAlign w:val="center"/>
          </w:tcPr>
          <w:p>
            <w:pPr>
              <w:spacing w:after="20" w:line="240" w:lineRule="auto"/>
            </w:pPr>
            <w:r>
              <w:rPr>
                <w:sz w:val="14"/>
              </w:rPr>
              <w:t>Corporate group membership and effective status</w:t>
            </w:r>
          </w:p>
        </w:tc>
        <w:tc>
          <w:tcPr>
            <w:tcW w:type="dxa" w:w="3240"/>
            <w:tcMar>
              <w:top w:w="80" w:type="dxa"/>
              <w:start w:w="90" w:type="dxa"/>
              <w:bottom w:w="80" w:type="dxa"/>
              <w:end w:w="90" w:type="dxa"/>
            </w:tcMar>
            <w:vAlign w:val="center"/>
          </w:tcPr>
          <w:p>
            <w:pPr>
              <w:spacing w:after="20" w:line="240" w:lineRule="auto"/>
            </w:pPr>
            <w:r>
              <w:rPr>
                <w:sz w:val="14"/>
              </w:rPr>
              <w:t>Use as authoritative identity source; retain GitHub mapping.</w:t>
            </w:r>
          </w:p>
        </w:tc>
      </w:tr>
    </w:tbl>
    <w:p>
      <w:pPr>
        <w:spacing w:after="20"/>
      </w:pPr>
    </w:p>
    <w:p>
      <w:pPr>
        <w:pStyle w:val="Heading1"/>
      </w:pPr>
      <w:r>
        <w:t>10. Limitations and controls</w:t>
      </w:r>
    </w:p>
    <w:p>
      <w:pPr>
        <w:pStyle w:val="ListBullet"/>
      </w:pPr>
      <w:r>
        <w:t>The detailed 31-day report is richer than the summarized REST /usage response. The solution should retain monthly exports for audit and use the API for operational monitoring. [1][2]</w:t>
      </w:r>
    </w:p>
    <w:p>
      <w:pPr>
        <w:pStyle w:val="ListBullet"/>
      </w:pPr>
      <w:r>
        <w:t>A resource can belong to only one GitHub cost centre at a time. A shared repository or user cannot natively sit in multiple cost centres simultaneously. Internal split allocation is therefore required for shared ownership. [5]</w:t>
      </w:r>
    </w:p>
    <w:p>
      <w:pPr>
        <w:pStyle w:val="ListBullet"/>
      </w:pPr>
      <w:r>
        <w:t>Normal organisation-team membership is many-to-many. Summing the full user licence cost across every team will double-count developers who belong to multiple teams.</w:t>
      </w:r>
    </w:p>
    <w:p>
      <w:pPr>
        <w:pStyle w:val="ListBullet"/>
      </w:pPr>
      <w:r>
        <w:t>Team membership changes over time. Store effective-from and effective-to dates; otherwise historical reports will be recalculated using today’s membership.</w:t>
      </w:r>
    </w:p>
    <w:p>
      <w:pPr>
        <w:pStyle w:val="ListBullet"/>
      </w:pPr>
      <w:r>
        <w:t>Repository ownership must be mandatory at creation. Unowned or shared repositories should be routed to an “Unallocated” queue and resolved before month-end.</w:t>
      </w:r>
    </w:p>
    <w:p>
      <w:pPr>
        <w:pStyle w:val="ListBullet"/>
      </w:pPr>
      <w:r>
        <w:t>Commit count should not be treated as a financial allocation key. A small number of commits can trigger high Actions consumption, while large code contributions may trigger little metered spend.</w:t>
      </w:r>
    </w:p>
    <w:p>
      <w:pPr>
        <w:pStyle w:val="ListBullet"/>
      </w:pPr>
      <w:r>
        <w:t>API and export timestamps use UTC in billing reports. Align the reporting calendar and month-end cut-off with Finance. [1]</w:t>
      </w:r>
    </w:p>
    <w:p>
      <w:pPr>
        <w:pStyle w:val="Heading1"/>
      </w:pPr>
      <w:r>
        <w:t>11. Recommended operating model for NET and DIRECT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800"/>
            <w:shd w:fill="17365D"/>
            <w:tcMar>
              <w:top w:w="80" w:type="dxa"/>
              <w:start w:w="90" w:type="dxa"/>
              <w:bottom w:w="80" w:type="dxa"/>
              <w:end w:w="90" w:type="dxa"/>
            </w:tcMar>
            <w:vAlign w:val="center"/>
          </w:tcPr>
          <w:p>
            <w:pPr>
              <w:jc w:val="center"/>
            </w:pPr>
            <w:r>
              <w:rPr>
                <w:b/>
                <w:color w:val="FFFFFF"/>
                <w:sz w:val="14"/>
              </w:rPr>
              <w:t>Phase</w:t>
            </w:r>
          </w:p>
        </w:tc>
        <w:tc>
          <w:tcPr>
            <w:tcW w:type="dxa" w:w="2520"/>
            <w:shd w:fill="17365D"/>
            <w:tcMar>
              <w:top w:w="80" w:type="dxa"/>
              <w:start w:w="90" w:type="dxa"/>
              <w:bottom w:w="80" w:type="dxa"/>
              <w:end w:w="90" w:type="dxa"/>
            </w:tcMar>
            <w:vAlign w:val="center"/>
          </w:tcPr>
          <w:p>
            <w:pPr>
              <w:jc w:val="center"/>
            </w:pPr>
            <w:r>
              <w:rPr>
                <w:b/>
                <w:color w:val="FFFFFF"/>
                <w:sz w:val="14"/>
              </w:rPr>
              <w:t>Reporting grain</w:t>
            </w:r>
          </w:p>
        </w:tc>
        <w:tc>
          <w:tcPr>
            <w:tcW w:type="dxa" w:w="5400"/>
            <w:shd w:fill="17365D"/>
            <w:tcMar>
              <w:top w:w="80" w:type="dxa"/>
              <w:start w:w="90" w:type="dxa"/>
              <w:bottom w:w="80" w:type="dxa"/>
              <w:end w:w="90" w:type="dxa"/>
            </w:tcMar>
            <w:vAlign w:val="center"/>
          </w:tcPr>
          <w:p>
            <w:pPr>
              <w:jc w:val="center"/>
            </w:pPr>
            <w:r>
              <w:rPr>
                <w:b/>
                <w:color w:val="FFFFFF"/>
                <w:sz w:val="14"/>
              </w:rPr>
              <w:t>Action</w:t>
            </w:r>
          </w:p>
        </w:tc>
        <w:tc>
          <w:tcPr>
            <w:tcW w:type="dxa" w:w="3024"/>
            <w:shd w:fill="17365D"/>
            <w:tcMar>
              <w:top w:w="80" w:type="dxa"/>
              <w:start w:w="90" w:type="dxa"/>
              <w:bottom w:w="80" w:type="dxa"/>
              <w:end w:w="90" w:type="dxa"/>
            </w:tcMar>
            <w:vAlign w:val="center"/>
          </w:tcPr>
          <w:p>
            <w:pPr>
              <w:jc w:val="center"/>
            </w:pPr>
            <w:r>
              <w:rPr>
                <w:b/>
                <w:color w:val="FFFFFF"/>
                <w:sz w:val="14"/>
              </w:rPr>
              <w:t>Deliverable</w:t>
            </w:r>
          </w:p>
        </w:tc>
      </w:tr>
      <w:tr>
        <w:tc>
          <w:tcPr>
            <w:tcW w:type="dxa" w:w="1800"/>
            <w:tcMar>
              <w:top w:w="80" w:type="dxa"/>
              <w:start w:w="90" w:type="dxa"/>
              <w:bottom w:w="80" w:type="dxa"/>
              <w:end w:w="90" w:type="dxa"/>
            </w:tcMar>
            <w:vAlign w:val="center"/>
          </w:tcPr>
          <w:p>
            <w:pPr>
              <w:spacing w:after="20" w:line="240" w:lineRule="auto"/>
            </w:pPr>
            <w:r>
              <w:rPr>
                <w:b/>
                <w:sz w:val="14"/>
              </w:rPr>
              <w:t>POC now</w:t>
            </w:r>
          </w:p>
        </w:tc>
        <w:tc>
          <w:tcPr>
            <w:tcW w:type="dxa" w:w="2520"/>
            <w:tcMar>
              <w:top w:w="80" w:type="dxa"/>
              <w:start w:w="90" w:type="dxa"/>
              <w:bottom w:w="80" w:type="dxa"/>
              <w:end w:w="90" w:type="dxa"/>
            </w:tcMar>
            <w:vAlign w:val="center"/>
          </w:tcPr>
          <w:p>
            <w:pPr>
              <w:spacing w:after="20" w:line="240" w:lineRule="auto"/>
            </w:pPr>
            <w:r>
              <w:rPr>
                <w:b/>
                <w:sz w:val="14"/>
              </w:rPr>
              <w:t>Enterprise + NET + DIRECT</w:t>
            </w:r>
          </w:p>
        </w:tc>
        <w:tc>
          <w:tcPr>
            <w:tcW w:type="dxa" w:w="5400"/>
            <w:tcMar>
              <w:top w:w="80" w:type="dxa"/>
              <w:start w:w="90" w:type="dxa"/>
              <w:bottom w:w="80" w:type="dxa"/>
              <w:end w:w="90" w:type="dxa"/>
            </w:tcMar>
            <w:vAlign w:val="center"/>
          </w:tcPr>
          <w:p>
            <w:pPr>
              <w:spacing w:after="20" w:line="240" w:lineRule="auto"/>
            </w:pPr>
            <w:r>
              <w:rPr>
                <w:sz w:val="14"/>
              </w:rPr>
              <w:t>Track base licences at enterprise/user level. Keep project-team mapping in a registry. Do not create ten cost centres yet.</w:t>
            </w:r>
          </w:p>
        </w:tc>
        <w:tc>
          <w:tcPr>
            <w:tcW w:type="dxa" w:w="3024"/>
            <w:tcMar>
              <w:top w:w="80" w:type="dxa"/>
              <w:start w:w="90" w:type="dxa"/>
              <w:bottom w:w="80" w:type="dxa"/>
              <w:end w:w="90" w:type="dxa"/>
            </w:tcMar>
            <w:vAlign w:val="center"/>
          </w:tcPr>
          <w:p>
            <w:pPr>
              <w:spacing w:after="20" w:line="240" w:lineRule="auto"/>
            </w:pPr>
            <w:r>
              <w:rPr>
                <w:sz w:val="14"/>
              </w:rPr>
              <w:t>Monthly management report plus weekly seat reconciliation.</w:t>
            </w:r>
          </w:p>
        </w:tc>
      </w:tr>
      <w:tr>
        <w:tc>
          <w:tcPr>
            <w:tcW w:type="dxa" w:w="1800"/>
            <w:tcMar>
              <w:top w:w="80" w:type="dxa"/>
              <w:start w:w="90" w:type="dxa"/>
              <w:bottom w:w="80" w:type="dxa"/>
              <w:end w:w="90" w:type="dxa"/>
            </w:tcMar>
            <w:vAlign w:val="center"/>
            <w:shd w:fill="F7F9FC"/>
          </w:tcPr>
          <w:p>
            <w:pPr>
              <w:spacing w:after="20" w:line="240" w:lineRule="auto"/>
            </w:pPr>
            <w:r>
              <w:rPr>
                <w:b/>
                <w:sz w:val="14"/>
              </w:rPr>
              <w:t>Before Actions</w:t>
            </w:r>
          </w:p>
        </w:tc>
        <w:tc>
          <w:tcPr>
            <w:tcW w:type="dxa" w:w="2520"/>
            <w:tcMar>
              <w:top w:w="80" w:type="dxa"/>
              <w:start w:w="90" w:type="dxa"/>
              <w:bottom w:w="80" w:type="dxa"/>
              <w:end w:w="90" w:type="dxa"/>
            </w:tcMar>
            <w:vAlign w:val="center"/>
            <w:shd w:fill="F7F9FC"/>
          </w:tcPr>
          <w:p>
            <w:pPr>
              <w:spacing w:after="20" w:line="240" w:lineRule="auto"/>
            </w:pPr>
            <w:r>
              <w:rPr>
                <w:b/>
                <w:sz w:val="14"/>
              </w:rPr>
              <w:t>Repository + project team</w:t>
            </w:r>
          </w:p>
        </w:tc>
        <w:tc>
          <w:tcPr>
            <w:tcW w:type="dxa" w:w="5400"/>
            <w:tcMar>
              <w:top w:w="80" w:type="dxa"/>
              <w:start w:w="90" w:type="dxa"/>
              <w:bottom w:w="80" w:type="dxa"/>
              <w:end w:w="90" w:type="dxa"/>
            </w:tcMar>
            <w:vAlign w:val="center"/>
            <w:shd w:fill="F7F9FC"/>
          </w:tcPr>
          <w:p>
            <w:pPr>
              <w:spacing w:after="20" w:line="240" w:lineRule="auto"/>
            </w:pPr>
            <w:r>
              <w:rPr>
                <w:sz w:val="14"/>
              </w:rPr>
              <w:t>Assign every repository to one primary team/cost owner. Define shared-repository split rules.</w:t>
            </w:r>
          </w:p>
        </w:tc>
        <w:tc>
          <w:tcPr>
            <w:tcW w:type="dxa" w:w="3024"/>
            <w:tcMar>
              <w:top w:w="80" w:type="dxa"/>
              <w:start w:w="90" w:type="dxa"/>
              <w:bottom w:w="80" w:type="dxa"/>
              <w:end w:w="90" w:type="dxa"/>
            </w:tcMar>
            <w:vAlign w:val="center"/>
            <w:shd w:fill="F7F9FC"/>
          </w:tcPr>
          <w:p>
            <w:pPr>
              <w:spacing w:after="20" w:line="240" w:lineRule="auto"/>
            </w:pPr>
            <w:r>
              <w:rPr>
                <w:sz w:val="14"/>
              </w:rPr>
              <w:t>Actions forecast by NET, DIRECT and project team.</w:t>
            </w:r>
          </w:p>
        </w:tc>
      </w:tr>
      <w:tr>
        <w:tc>
          <w:tcPr>
            <w:tcW w:type="dxa" w:w="1800"/>
            <w:tcMar>
              <w:top w:w="80" w:type="dxa"/>
              <w:start w:w="90" w:type="dxa"/>
              <w:bottom w:w="80" w:type="dxa"/>
              <w:end w:w="90" w:type="dxa"/>
            </w:tcMar>
            <w:vAlign w:val="center"/>
          </w:tcPr>
          <w:p>
            <w:pPr>
              <w:spacing w:after="20" w:line="240" w:lineRule="auto"/>
            </w:pPr>
            <w:r>
              <w:rPr>
                <w:b/>
                <w:sz w:val="14"/>
              </w:rPr>
              <w:t>Actions rollout</w:t>
            </w:r>
          </w:p>
        </w:tc>
        <w:tc>
          <w:tcPr>
            <w:tcW w:type="dxa" w:w="2520"/>
            <w:tcMar>
              <w:top w:w="80" w:type="dxa"/>
              <w:start w:w="90" w:type="dxa"/>
              <w:bottom w:w="80" w:type="dxa"/>
              <w:end w:w="90" w:type="dxa"/>
            </w:tcMar>
            <w:vAlign w:val="center"/>
          </w:tcPr>
          <w:p>
            <w:pPr>
              <w:spacing w:after="20" w:line="240" w:lineRule="auto"/>
            </w:pPr>
            <w:r>
              <w:rPr>
                <w:b/>
                <w:sz w:val="14"/>
              </w:rPr>
              <w:t>Repository usage + optional team cost centres</w:t>
            </w:r>
          </w:p>
        </w:tc>
        <w:tc>
          <w:tcPr>
            <w:tcW w:type="dxa" w:w="5400"/>
            <w:tcMar>
              <w:top w:w="80" w:type="dxa"/>
              <w:start w:w="90" w:type="dxa"/>
              <w:bottom w:w="80" w:type="dxa"/>
              <w:end w:w="90" w:type="dxa"/>
            </w:tcMar>
            <w:vAlign w:val="center"/>
          </w:tcPr>
          <w:p>
            <w:pPr>
              <w:spacing w:after="20" w:line="240" w:lineRule="auto"/>
            </w:pPr>
            <w:r>
              <w:rPr>
                <w:sz w:val="14"/>
              </w:rPr>
              <w:t>Ingest billing daily; reconcile detailed export monthly. Create project cost centres only for stable, exclusive ownership.</w:t>
            </w:r>
          </w:p>
        </w:tc>
        <w:tc>
          <w:tcPr>
            <w:tcW w:type="dxa" w:w="3024"/>
            <w:tcMar>
              <w:top w:w="80" w:type="dxa"/>
              <w:start w:w="90" w:type="dxa"/>
              <w:bottom w:w="80" w:type="dxa"/>
              <w:end w:w="90" w:type="dxa"/>
            </w:tcMar>
            <w:vAlign w:val="center"/>
          </w:tcPr>
          <w:p>
            <w:pPr>
              <w:spacing w:after="20" w:line="240" w:lineRule="auto"/>
            </w:pPr>
            <w:r>
              <w:rPr>
                <w:sz w:val="14"/>
              </w:rPr>
              <w:t>Project dashboard with native and allocated cost.</w:t>
            </w:r>
          </w:p>
        </w:tc>
      </w:tr>
      <w:tr>
        <w:tc>
          <w:tcPr>
            <w:tcW w:type="dxa" w:w="1800"/>
            <w:tcMar>
              <w:top w:w="80" w:type="dxa"/>
              <w:start w:w="90" w:type="dxa"/>
              <w:bottom w:w="80" w:type="dxa"/>
              <w:end w:w="90" w:type="dxa"/>
            </w:tcMar>
            <w:vAlign w:val="center"/>
            <w:shd w:fill="F7F9FC"/>
          </w:tcPr>
          <w:p>
            <w:pPr>
              <w:spacing w:after="20" w:line="240" w:lineRule="auto"/>
            </w:pPr>
            <w:r>
              <w:rPr>
                <w:b/>
                <w:sz w:val="14"/>
              </w:rPr>
              <w:t>Copilot/AI rollout</w:t>
            </w:r>
          </w:p>
        </w:tc>
        <w:tc>
          <w:tcPr>
            <w:tcW w:type="dxa" w:w="2520"/>
            <w:tcMar>
              <w:top w:w="80" w:type="dxa"/>
              <w:start w:w="90" w:type="dxa"/>
              <w:bottom w:w="80" w:type="dxa"/>
              <w:end w:w="90" w:type="dxa"/>
            </w:tcMar>
            <w:vAlign w:val="center"/>
            <w:shd w:fill="F7F9FC"/>
          </w:tcPr>
          <w:p>
            <w:pPr>
              <w:spacing w:after="20" w:line="240" w:lineRule="auto"/>
            </w:pPr>
            <w:r>
              <w:rPr>
                <w:b/>
                <w:sz w:val="14"/>
              </w:rPr>
              <w:t>User + cost centre</w:t>
            </w:r>
          </w:p>
        </w:tc>
        <w:tc>
          <w:tcPr>
            <w:tcW w:type="dxa" w:w="5400"/>
            <w:tcMar>
              <w:top w:w="80" w:type="dxa"/>
              <w:start w:w="90" w:type="dxa"/>
              <w:bottom w:w="80" w:type="dxa"/>
              <w:end w:w="90" w:type="dxa"/>
            </w:tcMar>
            <w:vAlign w:val="center"/>
            <w:shd w:fill="F7F9FC"/>
          </w:tcPr>
          <w:p>
            <w:pPr>
              <w:spacing w:after="20" w:line="240" w:lineRule="auto"/>
            </w:pPr>
            <w:r>
              <w:rPr>
                <w:sz w:val="14"/>
              </w:rPr>
              <w:t>Assign each user a home cost centre; apply temporary effective-dated overrides.</w:t>
            </w:r>
          </w:p>
        </w:tc>
        <w:tc>
          <w:tcPr>
            <w:tcW w:type="dxa" w:w="3024"/>
            <w:tcMar>
              <w:top w:w="80" w:type="dxa"/>
              <w:start w:w="90" w:type="dxa"/>
              <w:bottom w:w="80" w:type="dxa"/>
              <w:end w:w="90" w:type="dxa"/>
            </w:tcMar>
            <w:vAlign w:val="center"/>
            <w:shd w:fill="F7F9FC"/>
          </w:tcPr>
          <w:p>
            <w:pPr>
              <w:spacing w:after="20" w:line="240" w:lineRule="auto"/>
            </w:pPr>
            <w:r>
              <w:rPr>
                <w:sz w:val="14"/>
              </w:rPr>
              <w:t>Per-user and project AI spend controls.</w:t>
            </w:r>
          </w:p>
        </w:tc>
      </w:tr>
      <w:tr>
        <w:tc>
          <w:tcPr>
            <w:tcW w:type="dxa" w:w="1800"/>
            <w:tcMar>
              <w:top w:w="80" w:type="dxa"/>
              <w:start w:w="90" w:type="dxa"/>
              <w:bottom w:w="80" w:type="dxa"/>
              <w:end w:w="90" w:type="dxa"/>
            </w:tcMar>
            <w:vAlign w:val="center"/>
          </w:tcPr>
          <w:p>
            <w:pPr>
              <w:spacing w:after="20" w:line="240" w:lineRule="auto"/>
            </w:pPr>
            <w:r>
              <w:rPr>
                <w:b/>
                <w:sz w:val="14"/>
              </w:rPr>
              <w:t>Scale phase</w:t>
            </w:r>
          </w:p>
        </w:tc>
        <w:tc>
          <w:tcPr>
            <w:tcW w:type="dxa" w:w="2520"/>
            <w:tcMar>
              <w:top w:w="80" w:type="dxa"/>
              <w:start w:w="90" w:type="dxa"/>
              <w:bottom w:w="80" w:type="dxa"/>
              <w:end w:w="90" w:type="dxa"/>
            </w:tcMar>
            <w:vAlign w:val="center"/>
          </w:tcPr>
          <w:p>
            <w:pPr>
              <w:spacing w:after="20" w:line="240" w:lineRule="auto"/>
            </w:pPr>
            <w:r>
              <w:rPr>
                <w:b/>
                <w:sz w:val="14"/>
              </w:rPr>
              <w:t>Automated FinOps reporting</w:t>
            </w:r>
          </w:p>
        </w:tc>
        <w:tc>
          <w:tcPr>
            <w:tcW w:type="dxa" w:w="5400"/>
            <w:tcMar>
              <w:top w:w="80" w:type="dxa"/>
              <w:start w:w="90" w:type="dxa"/>
              <w:bottom w:w="80" w:type="dxa"/>
              <w:end w:w="90" w:type="dxa"/>
            </w:tcMar>
            <w:vAlign w:val="center"/>
          </w:tcPr>
          <w:p>
            <w:pPr>
              <w:spacing w:after="20" w:line="240" w:lineRule="auto"/>
            </w:pPr>
            <w:r>
              <w:rPr>
                <w:sz w:val="14"/>
              </w:rPr>
              <w:t>API/export pipeline, audit history, budget status, anomaly alerts and Finance sign-off.</w:t>
            </w:r>
          </w:p>
        </w:tc>
        <w:tc>
          <w:tcPr>
            <w:tcW w:type="dxa" w:w="3024"/>
            <w:tcMar>
              <w:top w:w="80" w:type="dxa"/>
              <w:start w:w="90" w:type="dxa"/>
              <w:bottom w:w="80" w:type="dxa"/>
              <w:end w:w="90" w:type="dxa"/>
            </w:tcMar>
            <w:vAlign w:val="center"/>
          </w:tcPr>
          <w:p>
            <w:pPr>
              <w:spacing w:after="20" w:line="240" w:lineRule="auto"/>
            </w:pPr>
            <w:r>
              <w:rPr>
                <w:sz w:val="14"/>
              </w:rPr>
              <w:t>Chargeback/showback with documented allocation policy.</w:t>
            </w:r>
          </w:p>
        </w:tc>
      </w:tr>
    </w:tbl>
    <w:p>
      <w:pPr>
        <w:spacing w:after="20"/>
      </w:pPr>
    </w:p>
    <w:p>
      <w:pPr>
        <w:pStyle w:val="Heading1"/>
      </w:pPr>
      <w:r>
        <w:t>12. Final recommendation</w:t>
      </w:r>
    </w:p>
    <w:p>
      <w:r>
        <w:t>For the current POC, use native reporting for the enterprise, NET, DIRECT, repositories, products/SKUs and users where supported. Maintain the ten project teams as a management dimension in a separate project registry. Before GitHub Actions is enabled, make repository ownership mandatory and build the custom dashboard join. Introduce GitHub cost centres only where a project has a clear, non-overlapping set of users or repositories and a genuine budget owner.</w:t>
      </w:r>
    </w:p>
    <w:p>
      <w:r>
        <w:t>For developers working across NET and DIRECT, allocate the enterprise/Copilot seat once to a home cost centre and let repository-based usage follow the repository. If Finance requires a split of the seat cost, perform it in the internal allocation layer with percentages that total 100%, effective dates and approval evidence. This prevents double-counting while preserving a defensible audit trail.</w:t>
      </w:r>
    </w:p>
    <w:tbl>
      <w:tblPr>
        <w:tblW w:type="auto" w:w="0"/>
        <w:jc w:val="center"/>
        <w:tblLook w:firstColumn="1" w:firstRow="1" w:lastColumn="0" w:lastRow="0" w:noHBand="0" w:noVBand="1" w:val="04A0"/>
      </w:tblPr>
      <w:tblGrid>
        <w:gridCol w:w="10224"/>
      </w:tblGrid>
      <w:tr>
        <w:tc>
          <w:tcPr>
            <w:tcW w:type="dxa" w:w="10224"/>
            <w:shd w:fill="E2F0D9"/>
            <w:tcMar>
              <w:top w:w="110" w:type="dxa"/>
              <w:start w:w="130" w:type="dxa"/>
              <w:bottom w:w="110" w:type="dxa"/>
              <w:end w:w="130" w:type="dxa"/>
            </w:tcMar>
          </w:tcPr>
          <w:p>
            <w:pPr>
              <w:spacing w:after="0"/>
            </w:pPr>
            <w:r>
              <w:rPr>
                <w:b/>
                <w:color w:val="17365D"/>
              </w:rPr>
              <w:t xml:space="preserve">Management wording  </w:t>
            </w:r>
            <w:r>
              <w:t>GitHub gives us reliable enterprise, organisation, repository, product/SKU, cost-centre and selected user reporting. Project-team reporting will be a governed internal allocation built from GitHub billing data plus repository and membership mapping. Native invoice values and internally allocated values will remain visibly separate.</w:t>
            </w:r>
          </w:p>
        </w:tc>
      </w:tr>
    </w:tbl>
    <w:p>
      <w:pPr>
        <w:spacing w:after="20"/>
      </w:pPr>
    </w:p>
    <w:p>
      <w:pPr>
        <w:pStyle w:val="Heading1"/>
      </w:pPr>
      <w:r>
        <w:t>13. Official sources</w:t>
      </w:r>
    </w:p>
    <w:p>
      <w:pPr>
        <w:ind w:left="259" w:hanging="259"/>
      </w:pPr>
      <w:r>
        <w:rPr>
          <w:b/>
        </w:rPr>
        <w:t xml:space="preserve">[1] GitHub billing reports reference. </w:t>
      </w:r>
      <w:r>
        <w:t>https://docs.github.com/en/enterprise-cloud@latest/billing/reference/billing-reports</w:t>
      </w:r>
    </w:p>
    <w:p>
      <w:pPr>
        <w:ind w:left="259" w:hanging="259"/>
      </w:pPr>
      <w:r>
        <w:rPr>
          <w:b/>
        </w:rPr>
        <w:t xml:space="preserve">[2] Automating usage reporting with the REST API. </w:t>
      </w:r>
      <w:r>
        <w:t>https://docs.github.com/en/billing/tutorials/automate-usage-reporting</w:t>
      </w:r>
    </w:p>
    <w:p>
      <w:pPr>
        <w:ind w:left="259" w:hanging="259"/>
      </w:pPr>
      <w:r>
        <w:rPr>
          <w:b/>
        </w:rPr>
        <w:t xml:space="preserve">[3] REST API: Billing usage. </w:t>
      </w:r>
      <w:r>
        <w:t>https://docs.github.com/en/enterprise-cloud@latest/rest/billing/usage</w:t>
      </w:r>
    </w:p>
    <w:p>
      <w:pPr>
        <w:ind w:left="259" w:hanging="259"/>
      </w:pPr>
      <w:r>
        <w:rPr>
          <w:b/>
        </w:rPr>
        <w:t xml:space="preserve">[4] Cost center allocation for different products. </w:t>
      </w:r>
      <w:r>
        <w:t>https://docs.github.com/en/enterprise-cloud@latest/billing/reference/cost-center-allocation</w:t>
      </w:r>
    </w:p>
    <w:p>
      <w:pPr>
        <w:ind w:left="259" w:hanging="259"/>
      </w:pPr>
      <w:r>
        <w:rPr>
          <w:b/>
        </w:rPr>
        <w:t xml:space="preserve">[5] Using cost centers to allocate costs to business units. </w:t>
      </w:r>
      <w:r>
        <w:t>https://docs.github.com/en/enterprise-cloud@latest/billing/how-tos/products/use-cost-centers</w:t>
      </w:r>
    </w:p>
    <w:p>
      <w:pPr>
        <w:ind w:left="259" w:hanging="259"/>
      </w:pPr>
      <w:r>
        <w:rPr>
          <w:b/>
        </w:rPr>
        <w:t xml:space="preserve">[6] Cost centers concepts. </w:t>
      </w:r>
      <w:r>
        <w:t>https://docs.github.com/en/enterprise-cloud@latest/billing/concepts/cost-centers</w:t>
      </w:r>
    </w:p>
    <w:p>
      <w:pPr>
        <w:ind w:left="259" w:hanging="259"/>
      </w:pPr>
      <w:r>
        <w:rPr>
          <w:b/>
        </w:rPr>
        <w:t xml:space="preserve">[7] REST API endpoints for teams. </w:t>
      </w:r>
      <w:r>
        <w:t>https://docs.github.com/en/enterprise-cloud@latest/rest/teams</w:t>
      </w:r>
    </w:p>
    <w:p>
      <w:pPr>
        <w:ind w:left="259" w:hanging="259"/>
      </w:pPr>
      <w:r>
        <w:rPr>
          <w:b/>
        </w:rPr>
        <w:t xml:space="preserve">[8] REST API endpoints for enterprise team memberships. </w:t>
      </w:r>
      <w:r>
        <w:t>https://docs.github.com/en/rest/enterprise-teams/enterprise-team-members</w:t>
      </w:r>
    </w:p>
    <w:p>
      <w:pPr>
        <w:ind w:left="259" w:hanging="259"/>
      </w:pPr>
      <w:r>
        <w:rPr>
          <w:b/>
        </w:rPr>
        <w:t xml:space="preserve">[9] REST API: Usage report exports. </w:t>
      </w:r>
      <w:r>
        <w:t>https://docs.github.com/en/enterprise-cloud@latest/rest/billing/usage-reports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Internal planning report | 9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6"/>
      </w:rPr>
      <w:t>GitHub Enterprise Billing Reporting | NET and DIRECT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8C9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7030A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359f705-2ba0-454b-9cfc-6ce5bcaac040}" enabled="1" method="Standard" siteId="{68283f3b-8487-4c86-adb3-a5228f18b893}"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GitHub Enterprise Billing Reporting and Project-Team Chargeback</dc:title>
  <dc:subject>NET and DIRECT billing scope, alternatives, API dashboard and cross-organisation developer allocation</dc:subject>
  <dc:creator>Vamsi Dangeti, Vodafone</dc:creator>
  <keywords>GitHub Enterprise, billing, project teams, cost centers, Actions, API, chargeback</keywords>
  <dc:description>generated by python-docx</dc:description>
  <lastModifiedBy>Vamsi Dangeti, Vodafone</lastModifiedBy>
  <revision>1</revision>
  <dcterms:created xsi:type="dcterms:W3CDTF">2026-09-09T19:59:20.4122048Z</dcterms:created>
  <dcterms:modified xsi:type="dcterms:W3CDTF">2026-09-09T19:59:20.4122048Z</dcterms:modified>
  <category/>
</coreProperties>
</file>