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2A3AB" w14:textId="2B12E2FE" w:rsidR="00470352" w:rsidRDefault="00000000">
      <w:pPr>
        <w:spacing w:after="200"/>
      </w:pPr>
      <w:r>
        <w:rPr>
          <w:b/>
          <w:bCs/>
          <w:color w:val="1F3864"/>
          <w:sz w:val="40"/>
          <w:szCs w:val="40"/>
        </w:rPr>
        <w:t>Senior Data Platform Engineer</w:t>
      </w:r>
      <w:r w:rsidR="004A3333"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Assessment</w:t>
      </w:r>
    </w:p>
    <w:p w14:paraId="41CF049A" w14:textId="77777777" w:rsidR="00470352" w:rsidRDefault="00470352">
      <w:pPr>
        <w:pBdr>
          <w:bottom w:val="single" w:sz="6" w:space="1" w:color="C8C8C8"/>
        </w:pBdr>
        <w:spacing w:before="60" w:after="160"/>
      </w:pPr>
    </w:p>
    <w:p w14:paraId="3DF052B9" w14:textId="77777777" w:rsidR="00470352" w:rsidRDefault="00000000">
      <w:pPr>
        <w:pStyle w:val="Heading1"/>
        <w:pBdr>
          <w:bottom w:val="single" w:sz="6" w:space="4" w:color="C8C8C8"/>
        </w:pBdr>
        <w:spacing w:before="340" w:after="150"/>
      </w:pPr>
      <w:r>
        <w:rPr>
          <w:b/>
          <w:bCs/>
          <w:color w:val="1F3864"/>
          <w:sz w:val="27"/>
          <w:szCs w:val="27"/>
        </w:rPr>
        <w:t>About AI tools</w:t>
      </w:r>
    </w:p>
    <w:p w14:paraId="47A267B0" w14:textId="77777777" w:rsidR="00470352" w:rsidRDefault="00000000">
      <w:pPr>
        <w:spacing w:after="130" w:line="268" w:lineRule="auto"/>
      </w:pPr>
      <w:r>
        <w:rPr>
          <w:b/>
          <w:bCs/>
        </w:rPr>
        <w:t>You may use AI tools.</w:t>
      </w:r>
      <w:r>
        <w:t xml:space="preserve"> We use them too. Three conditions:</w:t>
      </w:r>
    </w:p>
    <w:p w14:paraId="3C7094AB" w14:textId="77777777" w:rsidR="00470352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Declare where you used them, in </w:t>
      </w:r>
      <w:r>
        <w:rPr>
          <w:rFonts w:ascii="Consolas" w:eastAsia="Consolas" w:hAnsi="Consolas" w:cs="Consolas"/>
          <w:color w:val="9C2B2B"/>
          <w:sz w:val="19"/>
          <w:szCs w:val="19"/>
        </w:rPr>
        <w:t>DECISIONS.md</w:t>
      </w:r>
      <w:r>
        <w:t>.</w:t>
      </w:r>
    </w:p>
    <w:p w14:paraId="460433C5" w14:textId="77777777" w:rsidR="00470352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t>You must be able to defend every design decision you submit.</w:t>
      </w:r>
    </w:p>
    <w:p w14:paraId="2A42E9A1" w14:textId="77777777" w:rsidR="00470352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b/>
          <w:bCs/>
        </w:rPr>
        <w:t>In the face-to-face round we will hand you a fourth data source and ask you to write its connector, live, on a shared screen, without AI assistance.</w:t>
      </w:r>
      <w:r>
        <w:t xml:space="preserve"> If your abstraction is real this takes a few minutes. That is the whole point of it.</w:t>
      </w:r>
    </w:p>
    <w:p w14:paraId="64098FE4" w14:textId="77777777" w:rsidR="00470352" w:rsidRDefault="00470352">
      <w:pPr>
        <w:pBdr>
          <w:bottom w:val="single" w:sz="6" w:space="1" w:color="C8C8C8"/>
        </w:pBdr>
        <w:spacing w:before="60" w:after="160"/>
      </w:pPr>
    </w:p>
    <w:p w14:paraId="5DE205D4" w14:textId="77777777" w:rsidR="00470352" w:rsidRDefault="00000000">
      <w:pPr>
        <w:pStyle w:val="Heading1"/>
        <w:pBdr>
          <w:bottom w:val="single" w:sz="6" w:space="4" w:color="C8C8C8"/>
        </w:pBdr>
        <w:spacing w:before="340" w:after="150"/>
      </w:pPr>
      <w:r>
        <w:rPr>
          <w:b/>
          <w:bCs/>
          <w:color w:val="1F3864"/>
          <w:sz w:val="27"/>
          <w:szCs w:val="27"/>
        </w:rPr>
        <w:t>The situation</w:t>
      </w:r>
    </w:p>
    <w:p w14:paraId="4306745A" w14:textId="77777777" w:rsidR="00470352" w:rsidRDefault="00000000">
      <w:pPr>
        <w:spacing w:after="130" w:line="268" w:lineRule="auto"/>
      </w:pPr>
      <w:r>
        <w:t xml:space="preserve">We have acquired three companies. Each holds the same logical thing — </w:t>
      </w:r>
      <w:r>
        <w:rPr>
          <w:b/>
          <w:bCs/>
        </w:rPr>
        <w:t>customer accounts</w:t>
      </w:r>
      <w:r>
        <w:t xml:space="preserve"> — in a completely different shape. Your job is to build the ingestion platform that turns all three into one trustworthy dataset, and that a colleague can extend to a fourth source without touching your core.</w:t>
      </w:r>
    </w:p>
    <w:p w14:paraId="69AA6E78" w14:textId="77777777" w:rsidR="00470352" w:rsidRDefault="00000000">
      <w:pPr>
        <w:spacing w:after="130" w:line="268" w:lineRule="auto"/>
      </w:pPr>
      <w:r>
        <w:t xml:space="preserve">You get one folder, </w:t>
      </w:r>
      <w:proofErr w:type="spellStart"/>
      <w:r>
        <w:rPr>
          <w:rFonts w:ascii="Consolas" w:eastAsia="Consolas" w:hAnsi="Consolas" w:cs="Consolas"/>
          <w:color w:val="9C2B2B"/>
          <w:sz w:val="19"/>
          <w:szCs w:val="19"/>
        </w:rPr>
        <w:t>dataplatform_assessment</w:t>
      </w:r>
      <w:proofErr w:type="spellEnd"/>
      <w:r>
        <w:rPr>
          <w:rFonts w:ascii="Consolas" w:eastAsia="Consolas" w:hAnsi="Consolas" w:cs="Consolas"/>
          <w:color w:val="9C2B2B"/>
          <w:sz w:val="19"/>
          <w:szCs w:val="19"/>
        </w:rPr>
        <w:t>/</w:t>
      </w:r>
      <w:r>
        <w:t>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2"/>
        <w:gridCol w:w="2977"/>
        <w:gridCol w:w="4921"/>
      </w:tblGrid>
      <w:tr w:rsidR="00470352" w14:paraId="3E4805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7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5CE043" w14:textId="77777777" w:rsidR="00470352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Source</w:t>
            </w:r>
          </w:p>
        </w:tc>
        <w:tc>
          <w:tcPr>
            <w:tcW w:w="1776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144F0B" w14:textId="77777777" w:rsidR="00470352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Format</w:t>
            </w:r>
          </w:p>
        </w:tc>
        <w:tc>
          <w:tcPr>
            <w:tcW w:w="6037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2937A1" w14:textId="77777777" w:rsidR="00470352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Shape</w:t>
            </w:r>
          </w:p>
        </w:tc>
      </w:tr>
      <w:tr w:rsidR="00470352" w14:paraId="17D9E736" w14:textId="77777777">
        <w:tblPrEx>
          <w:tblCellMar>
            <w:top w:w="0" w:type="dxa"/>
            <w:bottom w:w="0" w:type="dxa"/>
          </w:tblCellMar>
        </w:tblPrEx>
        <w:tc>
          <w:tcPr>
            <w:tcW w:w="1207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F9EDE6" w14:textId="77777777" w:rsidR="00470352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 xml:space="preserve"> — legacy CRM</w:t>
            </w:r>
          </w:p>
        </w:tc>
        <w:tc>
          <w:tcPr>
            <w:tcW w:w="1776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2876C1" w14:textId="77777777" w:rsidR="00470352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9C2B2B"/>
                <w:sz w:val="19"/>
                <w:szCs w:val="19"/>
              </w:rPr>
              <w:t>source_a_accounts.csv</w:t>
            </w:r>
          </w:p>
        </w:tc>
        <w:tc>
          <w:tcPr>
            <w:tcW w:w="6037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60C107" w14:textId="77777777" w:rsidR="00470352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flat CSV, </w:t>
            </w:r>
            <w:r>
              <w:rPr>
                <w:rFonts w:ascii="Consolas" w:eastAsia="Consolas" w:hAnsi="Consolas" w:cs="Consolas"/>
                <w:color w:val="9C2B2B"/>
                <w:sz w:val="19"/>
                <w:szCs w:val="19"/>
              </w:rPr>
              <w:t>DD/MM/YYYY</w:t>
            </w:r>
            <w:r>
              <w:rPr>
                <w:sz w:val="19"/>
                <w:szCs w:val="19"/>
              </w:rPr>
              <w:t xml:space="preserve"> dates, revenue in </w:t>
            </w:r>
            <w:r>
              <w:rPr>
                <w:b/>
                <w:bCs/>
                <w:sz w:val="19"/>
                <w:szCs w:val="19"/>
              </w:rPr>
              <w:t>USD dollars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2B2B"/>
                <w:sz w:val="19"/>
                <w:szCs w:val="19"/>
              </w:rPr>
              <w:t>deleted_flag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9C2B2B"/>
                <w:sz w:val="19"/>
                <w:szCs w:val="19"/>
              </w:rPr>
              <w:t>Y</w:t>
            </w:r>
            <w:r>
              <w:rPr>
                <w:sz w:val="19"/>
                <w:szCs w:val="19"/>
              </w:rPr>
              <w:t>/</w:t>
            </w:r>
            <w:r>
              <w:rPr>
                <w:rFonts w:ascii="Consolas" w:eastAsia="Consolas" w:hAnsi="Consolas" w:cs="Consolas"/>
                <w:color w:val="9C2B2B"/>
                <w:sz w:val="19"/>
                <w:szCs w:val="19"/>
              </w:rPr>
              <w:t>N</w:t>
            </w:r>
          </w:p>
        </w:tc>
      </w:tr>
      <w:tr w:rsidR="00470352" w14:paraId="61B12CF6" w14:textId="77777777">
        <w:tblPrEx>
          <w:tblCellMar>
            <w:top w:w="0" w:type="dxa"/>
            <w:bottom w:w="0" w:type="dxa"/>
          </w:tblCellMar>
        </w:tblPrEx>
        <w:tc>
          <w:tcPr>
            <w:tcW w:w="1207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87C8E7" w14:textId="77777777" w:rsidR="00470352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 xml:space="preserve"> — SaaS API dump</w:t>
            </w:r>
          </w:p>
        </w:tc>
        <w:tc>
          <w:tcPr>
            <w:tcW w:w="1776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3307ED" w14:textId="77777777" w:rsidR="00470352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9C2B2B"/>
                <w:sz w:val="19"/>
                <w:szCs w:val="19"/>
              </w:rPr>
              <w:t>source_b_pages</w:t>
            </w:r>
            <w:proofErr w:type="spellEnd"/>
            <w:r>
              <w:rPr>
                <w:rFonts w:ascii="Consolas" w:eastAsia="Consolas" w:hAnsi="Consolas" w:cs="Consolas"/>
                <w:color w:val="9C2B2B"/>
                <w:sz w:val="19"/>
                <w:szCs w:val="19"/>
              </w:rPr>
              <w:t>/page_*.</w:t>
            </w:r>
            <w:proofErr w:type="spellStart"/>
            <w:r>
              <w:rPr>
                <w:rFonts w:ascii="Consolas" w:eastAsia="Consolas" w:hAnsi="Consolas" w:cs="Consolas"/>
                <w:color w:val="9C2B2B"/>
                <w:sz w:val="19"/>
                <w:szCs w:val="19"/>
              </w:rPr>
              <w:t>json</w:t>
            </w:r>
            <w:proofErr w:type="spellEnd"/>
          </w:p>
        </w:tc>
        <w:tc>
          <w:tcPr>
            <w:tcW w:w="6037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C41047" w14:textId="77777777" w:rsidR="00470352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paginated</w:t>
            </w:r>
            <w:r>
              <w:rPr>
                <w:sz w:val="19"/>
                <w:szCs w:val="19"/>
              </w:rPr>
              <w:t xml:space="preserve">, nested attributes, ISO-8601 timestamps, revenue in </w:t>
            </w:r>
            <w:r>
              <w:rPr>
                <w:b/>
                <w:bCs/>
                <w:sz w:val="19"/>
                <w:szCs w:val="19"/>
              </w:rPr>
              <w:t>cents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C2B2B"/>
                <w:sz w:val="19"/>
                <w:szCs w:val="19"/>
              </w:rPr>
              <w:t>archived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</w:tr>
      <w:tr w:rsidR="00470352" w14:paraId="23A21113" w14:textId="77777777">
        <w:tblPrEx>
          <w:tblCellMar>
            <w:top w:w="0" w:type="dxa"/>
            <w:bottom w:w="0" w:type="dxa"/>
          </w:tblCellMar>
        </w:tblPrEx>
        <w:tc>
          <w:tcPr>
            <w:tcW w:w="1207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16C9E8" w14:textId="77777777" w:rsidR="00470352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 xml:space="preserve"> — internal tool</w:t>
            </w:r>
          </w:p>
        </w:tc>
        <w:tc>
          <w:tcPr>
            <w:tcW w:w="1776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4CC2BE" w14:textId="77777777" w:rsidR="00470352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9C2B2B"/>
                <w:sz w:val="19"/>
                <w:szCs w:val="19"/>
              </w:rPr>
              <w:t>source_c.db</w:t>
            </w:r>
            <w:proofErr w:type="spellEnd"/>
            <w:r>
              <w:rPr>
                <w:sz w:val="19"/>
                <w:szCs w:val="19"/>
              </w:rPr>
              <w:t xml:space="preserve"> (SQLite)</w:t>
            </w:r>
          </w:p>
        </w:tc>
        <w:tc>
          <w:tcPr>
            <w:tcW w:w="6037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D7B75C" w14:textId="77777777" w:rsidR="00470352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epoch-second timestamps, revenue in </w:t>
            </w:r>
            <w:r>
              <w:rPr>
                <w:b/>
                <w:bCs/>
                <w:sz w:val="19"/>
                <w:szCs w:val="19"/>
              </w:rPr>
              <w:t>cents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C2B2B"/>
                <w:sz w:val="19"/>
                <w:szCs w:val="19"/>
              </w:rPr>
              <w:t>status</w:t>
            </w:r>
            <w:r>
              <w:rPr>
                <w:sz w:val="19"/>
                <w:szCs w:val="19"/>
              </w:rPr>
              <w:t xml:space="preserve"> text, </w:t>
            </w:r>
            <w:proofErr w:type="spellStart"/>
            <w:r>
              <w:rPr>
                <w:sz w:val="19"/>
                <w:szCs w:val="19"/>
              </w:rPr>
              <w:t>uuid</w:t>
            </w:r>
            <w:proofErr w:type="spellEnd"/>
            <w:r>
              <w:rPr>
                <w:sz w:val="19"/>
                <w:szCs w:val="19"/>
              </w:rPr>
              <w:t xml:space="preserve"> keys</w:t>
            </w:r>
          </w:p>
        </w:tc>
      </w:tr>
    </w:tbl>
    <w:p w14:paraId="1B75D8C7" w14:textId="77777777" w:rsidR="00470352" w:rsidRDefault="00470352">
      <w:pPr>
        <w:spacing w:after="140"/>
      </w:pPr>
    </w:p>
    <w:p w14:paraId="1309F9BA" w14:textId="77777777" w:rsidR="00470352" w:rsidRDefault="00000000">
      <w:pPr>
        <w:spacing w:after="130" w:line="268" w:lineRule="auto"/>
      </w:pPr>
      <w:r>
        <w:t>Roughly 2,000 records in total. No network access is needed — everything is on disk.</w:t>
      </w:r>
    </w:p>
    <w:p w14:paraId="00BE073A" w14:textId="77777777" w:rsidR="00470352" w:rsidRDefault="00000000">
      <w:pPr>
        <w:pStyle w:val="Heading2"/>
        <w:spacing w:before="240" w:after="110"/>
      </w:pPr>
      <w:r>
        <w:rPr>
          <w:b/>
          <w:bCs/>
          <w:color w:val="1A1A1A"/>
          <w:sz w:val="23"/>
          <w:szCs w:val="23"/>
        </w:rPr>
        <w:t>What we will tell you, because a colleague would</w:t>
      </w:r>
    </w:p>
    <w:p w14:paraId="1527E775" w14:textId="77777777" w:rsidR="00470352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Every source carries a </w:t>
      </w:r>
      <w:r>
        <w:rPr>
          <w:b/>
          <w:bCs/>
        </w:rPr>
        <w:t>tenant</w:t>
      </w:r>
      <w:r>
        <w:t xml:space="preserve"> identifier. It is called something different in each one.</w:t>
      </w:r>
    </w:p>
    <w:p w14:paraId="36E72D80" w14:textId="77777777" w:rsidR="00470352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The same account can exist in </w:t>
      </w:r>
      <w:r>
        <w:rPr>
          <w:b/>
          <w:bCs/>
        </w:rPr>
        <w:t>two or three</w:t>
      </w:r>
      <w:r>
        <w:t xml:space="preserve"> sources under different ids.</w:t>
      </w:r>
    </w:p>
    <w:p w14:paraId="5DC95D1B" w14:textId="77777777" w:rsidR="00470352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>The three systems disagree about dates, currency units, region vocabulary, and how a deleted record is marked.</w:t>
      </w:r>
    </w:p>
    <w:p w14:paraId="1105AFA0" w14:textId="77777777" w:rsidR="00470352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>Source B is a dump of a real paginated API, warts and all.</w:t>
      </w:r>
    </w:p>
    <w:p w14:paraId="222F464C" w14:textId="77777777" w:rsidR="00470352" w:rsidRDefault="00000000">
      <w:pPr>
        <w:spacing w:after="130" w:line="268" w:lineRule="auto"/>
      </w:pPr>
      <w:r>
        <w:t>Everything else, you find.</w:t>
      </w:r>
    </w:p>
    <w:p w14:paraId="0AA89BCB" w14:textId="77777777" w:rsidR="00470352" w:rsidRDefault="00470352">
      <w:pPr>
        <w:pBdr>
          <w:bottom w:val="single" w:sz="6" w:space="1" w:color="C8C8C8"/>
        </w:pBdr>
        <w:spacing w:before="60" w:after="160"/>
      </w:pPr>
    </w:p>
    <w:p w14:paraId="016D677C" w14:textId="77777777" w:rsidR="00470352" w:rsidRDefault="00000000">
      <w:pPr>
        <w:pStyle w:val="Heading1"/>
        <w:pBdr>
          <w:bottom w:val="single" w:sz="6" w:space="4" w:color="C8C8C8"/>
        </w:pBdr>
        <w:spacing w:before="340" w:after="150"/>
      </w:pPr>
      <w:r>
        <w:rPr>
          <w:b/>
          <w:bCs/>
          <w:color w:val="1F3864"/>
          <w:sz w:val="27"/>
          <w:szCs w:val="27"/>
        </w:rPr>
        <w:t>What to build</w:t>
      </w:r>
    </w:p>
    <w:p w14:paraId="5D279E04" w14:textId="77777777" w:rsidR="00470352" w:rsidRDefault="00000000">
      <w:pPr>
        <w:spacing w:after="130" w:line="268" w:lineRule="auto"/>
      </w:pPr>
      <w:r>
        <w:t>A Python ingestion platform. Not a script.</w:t>
      </w:r>
    </w:p>
    <w:p w14:paraId="53E5F278" w14:textId="77777777" w:rsidR="00470352" w:rsidRDefault="00000000">
      <w:pPr>
        <w:spacing w:after="130" w:line="268" w:lineRule="auto"/>
      </w:pPr>
      <w:r>
        <w:rPr>
          <w:b/>
          <w:bCs/>
        </w:rPr>
        <w:lastRenderedPageBreak/>
        <w:t>B1 — A connector abstraction.</w:t>
      </w:r>
      <w:r>
        <w:t xml:space="preserve"> One interface that every source implements. Adding a fourth source should mean writing one new connector and registering it — no edits to the core, the </w:t>
      </w:r>
      <w:proofErr w:type="spellStart"/>
      <w:r>
        <w:t>normaliser</w:t>
      </w:r>
      <w:proofErr w:type="spellEnd"/>
      <w:r>
        <w:t>, the writer, or the CLI. Design this first; it is the majority of the marks.</w:t>
      </w:r>
    </w:p>
    <w:p w14:paraId="3793C3EE" w14:textId="77777777" w:rsidR="00470352" w:rsidRDefault="00000000">
      <w:pPr>
        <w:spacing w:after="130" w:line="268" w:lineRule="auto"/>
      </w:pPr>
      <w:r>
        <w:rPr>
          <w:b/>
          <w:bCs/>
        </w:rPr>
        <w:t>B2 — Three connectors</w:t>
      </w:r>
      <w:r>
        <w:t>, one per source, each responsible only for reading its own format and yielding raw records.</w:t>
      </w:r>
    </w:p>
    <w:p w14:paraId="3AD04F3D" w14:textId="77777777" w:rsidR="00470352" w:rsidRDefault="00000000">
      <w:pPr>
        <w:spacing w:after="130" w:line="268" w:lineRule="auto"/>
      </w:pPr>
      <w:r>
        <w:rPr>
          <w:b/>
          <w:bCs/>
        </w:rPr>
        <w:t xml:space="preserve">B3 — </w:t>
      </w:r>
      <w:proofErr w:type="spellStart"/>
      <w:r>
        <w:rPr>
          <w:b/>
          <w:bCs/>
        </w:rPr>
        <w:t>Normalisation</w:t>
      </w:r>
      <w:proofErr w:type="spellEnd"/>
      <w:r>
        <w:rPr>
          <w:b/>
          <w:bCs/>
        </w:rPr>
        <w:t xml:space="preserve"> into one canonical schema.</w:t>
      </w:r>
      <w:r>
        <w:t xml:space="preserve"> You choose the schema; state it in </w:t>
      </w:r>
      <w:r>
        <w:rPr>
          <w:rFonts w:ascii="Consolas" w:eastAsia="Consolas" w:hAnsi="Consolas" w:cs="Consolas"/>
          <w:color w:val="9C2B2B"/>
          <w:sz w:val="19"/>
          <w:szCs w:val="19"/>
        </w:rPr>
        <w:t>SCHEMA.md</w:t>
      </w:r>
      <w:r>
        <w:t>. It must at minimum carry: a stable account key, tenant, name, contact email, created-at as UTC, monthly revenue in a single unit with its currency, and a deleted flag.</w:t>
      </w:r>
    </w:p>
    <w:p w14:paraId="647C9F77" w14:textId="77777777" w:rsidR="00470352" w:rsidRDefault="00000000">
      <w:pPr>
        <w:spacing w:after="130" w:line="268" w:lineRule="auto"/>
      </w:pPr>
      <w:r>
        <w:rPr>
          <w:b/>
          <w:bCs/>
        </w:rPr>
        <w:t>B4 — Identity resolution.</w:t>
      </w:r>
      <w:r>
        <w:t xml:space="preserve"> The same real account arriving from several sources must end up as </w:t>
      </w:r>
      <w:r>
        <w:rPr>
          <w:b/>
          <w:bCs/>
        </w:rPr>
        <w:t>one</w:t>
      </w:r>
      <w:r>
        <w:t xml:space="preserve"> record, with a documented rule for which source wins on each field. </w:t>
      </w:r>
      <w:r>
        <w:rPr>
          <w:b/>
          <w:bCs/>
        </w:rPr>
        <w:t>Get this wrong and you will merge things that must never be merged</w:t>
      </w:r>
      <w:r>
        <w:t xml:space="preserve"> — read your data before choosing a key.</w:t>
      </w:r>
    </w:p>
    <w:p w14:paraId="1BFE7CF0" w14:textId="77777777" w:rsidR="00470352" w:rsidRDefault="00000000">
      <w:pPr>
        <w:spacing w:after="130" w:line="268" w:lineRule="auto"/>
      </w:pPr>
      <w:r>
        <w:rPr>
          <w:b/>
          <w:bCs/>
        </w:rPr>
        <w:t>B5 — Loading.</w:t>
      </w:r>
      <w:r>
        <w:t xml:space="preserve"> Write the result to SQLite or Postgres, your choice. </w:t>
      </w:r>
      <w:r>
        <w:rPr>
          <w:b/>
          <w:bCs/>
        </w:rPr>
        <w:t>Running the pipeline twice must not change the output</w:t>
      </w:r>
      <w:r>
        <w:t xml:space="preserve"> — no duplicates, no double counting.</w:t>
      </w:r>
    </w:p>
    <w:p w14:paraId="0D0BBB76" w14:textId="77777777" w:rsidR="00470352" w:rsidRDefault="00000000">
      <w:pPr>
        <w:spacing w:after="130" w:line="268" w:lineRule="auto"/>
      </w:pPr>
      <w:r>
        <w:rPr>
          <w:b/>
          <w:bCs/>
        </w:rPr>
        <w:t>B6 — Reliability.</w:t>
      </w:r>
      <w:r>
        <w:t xml:space="preserve"> One of the sources fails partway through in a way real APIs do. The run must not crash, must not silently lose data, and must tell a human exactly what was lost and why. Retries where they make sense.</w:t>
      </w:r>
    </w:p>
    <w:p w14:paraId="16236128" w14:textId="77777777" w:rsidR="00470352" w:rsidRDefault="00000000">
      <w:pPr>
        <w:spacing w:after="130" w:line="268" w:lineRule="auto"/>
      </w:pPr>
      <w:r>
        <w:rPr>
          <w:b/>
          <w:bCs/>
        </w:rPr>
        <w:t>B7 — A reconciliation report</w:t>
      </w:r>
      <w:r>
        <w:t xml:space="preserve"> printed at the end of a run: records read per source, records rejected with reasons, duplicates collapsed, final row count, and anything a </w:t>
      </w:r>
      <w:proofErr w:type="gramStart"/>
      <w:r>
        <w:t>human needs</w:t>
      </w:r>
      <w:proofErr w:type="gramEnd"/>
      <w:r>
        <w:t xml:space="preserve"> to look at.</w:t>
      </w:r>
    </w:p>
    <w:p w14:paraId="6652F35A" w14:textId="77777777" w:rsidR="00470352" w:rsidRDefault="00000000">
      <w:pPr>
        <w:pStyle w:val="Heading2"/>
        <w:spacing w:before="240" w:after="110"/>
      </w:pPr>
      <w:r>
        <w:rPr>
          <w:b/>
          <w:bCs/>
          <w:color w:val="1A1A1A"/>
          <w:sz w:val="23"/>
          <w:szCs w:val="23"/>
        </w:rPr>
        <w:t>Also required</w:t>
      </w:r>
    </w:p>
    <w:p w14:paraId="174EA9E6" w14:textId="77777777" w:rsidR="00470352" w:rsidRDefault="00000000">
      <w:pPr>
        <w:spacing w:after="130" w:line="268" w:lineRule="auto"/>
      </w:pPr>
      <w:r>
        <w:rPr>
          <w:rFonts w:ascii="Consolas" w:eastAsia="Consolas" w:hAnsi="Consolas" w:cs="Consolas"/>
          <w:b/>
          <w:bCs/>
          <w:color w:val="9C2B2B"/>
          <w:sz w:val="19"/>
          <w:szCs w:val="19"/>
        </w:rPr>
        <w:t>SCHEMA.md</w:t>
      </w:r>
      <w:r>
        <w:t xml:space="preserve"> — your canonical schema and the field-level precedence rules. </w:t>
      </w:r>
      <w:r>
        <w:rPr>
          <w:rFonts w:ascii="Consolas" w:eastAsia="Consolas" w:hAnsi="Consolas" w:cs="Consolas"/>
          <w:b/>
          <w:bCs/>
          <w:color w:val="9C2B2B"/>
          <w:sz w:val="19"/>
          <w:szCs w:val="19"/>
        </w:rPr>
        <w:t>DECISIONS.md</w:t>
      </w:r>
      <w:r>
        <w:t xml:space="preserve"> — what you chose, what you rejected, why. Include your identity-resolution rule and your AI declaration. </w:t>
      </w:r>
      <w:r>
        <w:rPr>
          <w:rFonts w:ascii="Consolas" w:eastAsia="Consolas" w:hAnsi="Consolas" w:cs="Consolas"/>
          <w:b/>
          <w:bCs/>
          <w:color w:val="9C2B2B"/>
          <w:sz w:val="19"/>
          <w:szCs w:val="19"/>
        </w:rPr>
        <w:t>FINDINGS.md</w:t>
      </w:r>
      <w:r>
        <w:t xml:space="preserve"> — </w:t>
      </w:r>
      <w:r>
        <w:rPr>
          <w:b/>
          <w:bCs/>
        </w:rPr>
        <w:t>the data problems you found.</w:t>
      </w:r>
      <w:r>
        <w:t xml:space="preserve"> List each one, how many records it affects, and what you did about it. This file is worth more than your code.</w:t>
      </w:r>
    </w:p>
    <w:p w14:paraId="3FD8AD1A" w14:textId="77777777" w:rsidR="00470352" w:rsidRDefault="00000000">
      <w:pPr>
        <w:pStyle w:val="Heading2"/>
        <w:spacing w:before="240" w:after="110"/>
      </w:pPr>
      <w:r>
        <w:rPr>
          <w:b/>
          <w:bCs/>
          <w:color w:val="1A1A1A"/>
          <w:sz w:val="23"/>
          <w:szCs w:val="23"/>
        </w:rPr>
        <w:t>Not required</w:t>
      </w:r>
    </w:p>
    <w:p w14:paraId="7675A266" w14:textId="77777777" w:rsidR="00470352" w:rsidRDefault="00000000">
      <w:pPr>
        <w:spacing w:after="130" w:line="268" w:lineRule="auto"/>
      </w:pPr>
      <w:r>
        <w:t xml:space="preserve">A UI. A scheduler. Airflow, </w:t>
      </w:r>
      <w:proofErr w:type="spellStart"/>
      <w:r>
        <w:t>dbt</w:t>
      </w:r>
      <w:proofErr w:type="spellEnd"/>
      <w:r>
        <w:t>, Spark or a cloud account. Tests beyond enough to show what you think is worth testing.</w:t>
      </w:r>
    </w:p>
    <w:p w14:paraId="19E408BC" w14:textId="77777777" w:rsidR="00470352" w:rsidRDefault="00470352">
      <w:pPr>
        <w:pBdr>
          <w:bottom w:val="single" w:sz="6" w:space="1" w:color="C8C8C8"/>
        </w:pBdr>
        <w:spacing w:before="60" w:after="160"/>
      </w:pPr>
    </w:p>
    <w:p w14:paraId="5C2FDA81" w14:textId="77777777" w:rsidR="00470352" w:rsidRDefault="00000000">
      <w:pPr>
        <w:pStyle w:val="Heading1"/>
        <w:pBdr>
          <w:bottom w:val="single" w:sz="6" w:space="4" w:color="C8C8C8"/>
        </w:pBdr>
        <w:spacing w:before="340" w:after="150"/>
      </w:pPr>
      <w:r>
        <w:rPr>
          <w:b/>
          <w:bCs/>
          <w:color w:val="1F3864"/>
          <w:sz w:val="27"/>
          <w:szCs w:val="27"/>
        </w:rPr>
        <w:t>What to submit</w:t>
      </w:r>
    </w:p>
    <w:p w14:paraId="32DE6845" w14:textId="77777777" w:rsidR="00470352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b/>
          <w:bCs/>
        </w:rPr>
        <w:t>Repository</w:t>
      </w:r>
      <w:r>
        <w:t xml:space="preserve"> — public GitHub/GitLab. Commit history is part of the assessment.</w:t>
      </w:r>
    </w:p>
    <w:p w14:paraId="1952FE01" w14:textId="77777777" w:rsidR="00470352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b/>
          <w:bCs/>
        </w:rPr>
        <w:t>A runnable pipeline</w:t>
      </w:r>
      <w:r>
        <w:t xml:space="preserve"> — one command in the README, from an empty database to a finished load and a printed reconciliation report.</w:t>
      </w:r>
    </w:p>
    <w:p w14:paraId="1FE72529" w14:textId="77777777" w:rsidR="00470352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b/>
          <w:bCs/>
        </w:rPr>
        <w:t>Video walkthrough</w:t>
      </w:r>
      <w:r>
        <w:t xml:space="preserve"> — 6–8 minutes, unedited, your voice, screen shared:</w:t>
      </w:r>
    </w:p>
    <w:p w14:paraId="01896399" w14:textId="77777777" w:rsidR="00470352" w:rsidRDefault="00000000">
      <w:pPr>
        <w:pStyle w:val="ListParagraph"/>
        <w:numPr>
          <w:ilvl w:val="1"/>
          <w:numId w:val="1"/>
        </w:numPr>
        <w:spacing w:after="90" w:line="264" w:lineRule="auto"/>
      </w:pPr>
      <w:r>
        <w:t>your connector interface, and what a fourth connector would have to write;</w:t>
      </w:r>
    </w:p>
    <w:p w14:paraId="0EBEA5EC" w14:textId="77777777" w:rsidR="00470352" w:rsidRDefault="00000000">
      <w:pPr>
        <w:pStyle w:val="ListParagraph"/>
        <w:numPr>
          <w:ilvl w:val="1"/>
          <w:numId w:val="1"/>
        </w:numPr>
        <w:spacing w:after="90" w:line="264" w:lineRule="auto"/>
      </w:pPr>
      <w:r>
        <w:t xml:space="preserve">the identity-resolution rule and </w:t>
      </w:r>
      <w:r>
        <w:rPr>
          <w:b/>
          <w:bCs/>
        </w:rPr>
        <w:t>the mistake it exists to prevent</w:t>
      </w:r>
      <w:r>
        <w:t>;</w:t>
      </w:r>
    </w:p>
    <w:p w14:paraId="42F01132" w14:textId="77777777" w:rsidR="00470352" w:rsidRDefault="00000000">
      <w:pPr>
        <w:pStyle w:val="ListParagraph"/>
        <w:numPr>
          <w:ilvl w:val="1"/>
          <w:numId w:val="1"/>
        </w:numPr>
        <w:spacing w:after="90" w:line="264" w:lineRule="auto"/>
      </w:pPr>
      <w:r>
        <w:t>what your pipeline does when source B misbehaves — show it running;</w:t>
      </w:r>
    </w:p>
    <w:p w14:paraId="0ED094EE" w14:textId="77777777" w:rsidR="00470352" w:rsidRDefault="00000000">
      <w:pPr>
        <w:pStyle w:val="ListParagraph"/>
        <w:numPr>
          <w:ilvl w:val="1"/>
          <w:numId w:val="1"/>
        </w:numPr>
        <w:spacing w:after="90" w:line="264" w:lineRule="auto"/>
      </w:pPr>
      <w:r>
        <w:t>your reconciliation report, explained;</w:t>
      </w:r>
    </w:p>
    <w:p w14:paraId="72EE1D97" w14:textId="77777777" w:rsidR="00470352" w:rsidRDefault="00000000">
      <w:pPr>
        <w:pStyle w:val="ListParagraph"/>
        <w:numPr>
          <w:ilvl w:val="1"/>
          <w:numId w:val="1"/>
        </w:numPr>
        <w:spacing w:after="90" w:line="264" w:lineRule="auto"/>
      </w:pPr>
      <w:r>
        <w:t>one thing you would do differently with a week.</w:t>
      </w:r>
    </w:p>
    <w:sectPr w:rsidR="00470352" w:rsidSect="004A3333">
      <w:pgSz w:w="11906" w:h="16838"/>
      <w:pgMar w:top="774" w:right="1440" w:bottom="129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613EB"/>
    <w:multiLevelType w:val="hybridMultilevel"/>
    <w:tmpl w:val="3EB62168"/>
    <w:lvl w:ilvl="0" w:tplc="13867F4C">
      <w:start w:val="1"/>
      <w:numFmt w:val="bullet"/>
      <w:lvlText w:val="●"/>
      <w:lvlJc w:val="left"/>
      <w:pPr>
        <w:ind w:left="720" w:hanging="360"/>
      </w:pPr>
    </w:lvl>
    <w:lvl w:ilvl="1" w:tplc="E9921E32">
      <w:start w:val="1"/>
      <w:numFmt w:val="bullet"/>
      <w:lvlText w:val="○"/>
      <w:lvlJc w:val="left"/>
      <w:pPr>
        <w:ind w:left="1440" w:hanging="360"/>
      </w:pPr>
    </w:lvl>
    <w:lvl w:ilvl="2" w:tplc="B66A711E">
      <w:start w:val="1"/>
      <w:numFmt w:val="bullet"/>
      <w:lvlText w:val="■"/>
      <w:lvlJc w:val="left"/>
      <w:pPr>
        <w:ind w:left="2160" w:hanging="360"/>
      </w:pPr>
    </w:lvl>
    <w:lvl w:ilvl="3" w:tplc="FE42B88E">
      <w:start w:val="1"/>
      <w:numFmt w:val="bullet"/>
      <w:lvlText w:val="●"/>
      <w:lvlJc w:val="left"/>
      <w:pPr>
        <w:ind w:left="2880" w:hanging="360"/>
      </w:pPr>
    </w:lvl>
    <w:lvl w:ilvl="4" w:tplc="A3FA5D1C">
      <w:start w:val="1"/>
      <w:numFmt w:val="bullet"/>
      <w:lvlText w:val="○"/>
      <w:lvlJc w:val="left"/>
      <w:pPr>
        <w:ind w:left="3600" w:hanging="360"/>
      </w:pPr>
    </w:lvl>
    <w:lvl w:ilvl="5" w:tplc="52D88C14">
      <w:start w:val="1"/>
      <w:numFmt w:val="bullet"/>
      <w:lvlText w:val="■"/>
      <w:lvlJc w:val="left"/>
      <w:pPr>
        <w:ind w:left="4320" w:hanging="360"/>
      </w:pPr>
    </w:lvl>
    <w:lvl w:ilvl="6" w:tplc="83748F08">
      <w:start w:val="1"/>
      <w:numFmt w:val="bullet"/>
      <w:lvlText w:val="●"/>
      <w:lvlJc w:val="left"/>
      <w:pPr>
        <w:ind w:left="5040" w:hanging="360"/>
      </w:pPr>
    </w:lvl>
    <w:lvl w:ilvl="7" w:tplc="A8986BD6">
      <w:start w:val="1"/>
      <w:numFmt w:val="bullet"/>
      <w:lvlText w:val="●"/>
      <w:lvlJc w:val="left"/>
      <w:pPr>
        <w:ind w:left="5760" w:hanging="360"/>
      </w:pPr>
    </w:lvl>
    <w:lvl w:ilvl="8" w:tplc="904A04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1E22D5"/>
    <w:multiLevelType w:val="hybridMultilevel"/>
    <w:tmpl w:val="E9A86A8C"/>
    <w:lvl w:ilvl="0" w:tplc="F63037AC">
      <w:start w:val="1"/>
      <w:numFmt w:val="decimal"/>
      <w:lvlText w:val="%1."/>
      <w:lvlJc w:val="left"/>
      <w:pPr>
        <w:ind w:left="400" w:hanging="300"/>
      </w:pPr>
    </w:lvl>
    <w:lvl w:ilvl="1" w:tplc="4C688F54">
      <w:start w:val="1"/>
      <w:numFmt w:val="decimal"/>
      <w:lvlText w:val="%2."/>
      <w:lvlJc w:val="left"/>
      <w:pPr>
        <w:ind w:left="760" w:hanging="300"/>
      </w:pPr>
    </w:lvl>
    <w:lvl w:ilvl="2" w:tplc="ED34997C">
      <w:start w:val="1"/>
      <w:numFmt w:val="decimal"/>
      <w:lvlText w:val="%3."/>
      <w:lvlJc w:val="left"/>
      <w:pPr>
        <w:ind w:left="1120" w:hanging="300"/>
      </w:pPr>
    </w:lvl>
    <w:lvl w:ilvl="3" w:tplc="C4CEA572">
      <w:numFmt w:val="decimal"/>
      <w:lvlText w:val=""/>
      <w:lvlJc w:val="left"/>
    </w:lvl>
    <w:lvl w:ilvl="4" w:tplc="A0DEE524">
      <w:numFmt w:val="decimal"/>
      <w:lvlText w:val=""/>
      <w:lvlJc w:val="left"/>
    </w:lvl>
    <w:lvl w:ilvl="5" w:tplc="54B28C50">
      <w:numFmt w:val="decimal"/>
      <w:lvlText w:val=""/>
      <w:lvlJc w:val="left"/>
    </w:lvl>
    <w:lvl w:ilvl="6" w:tplc="46E2B9E2">
      <w:numFmt w:val="decimal"/>
      <w:lvlText w:val=""/>
      <w:lvlJc w:val="left"/>
    </w:lvl>
    <w:lvl w:ilvl="7" w:tplc="CA969B6C">
      <w:numFmt w:val="decimal"/>
      <w:lvlText w:val=""/>
      <w:lvlJc w:val="left"/>
    </w:lvl>
    <w:lvl w:ilvl="8" w:tplc="108057B4">
      <w:numFmt w:val="decimal"/>
      <w:lvlText w:val=""/>
      <w:lvlJc w:val="left"/>
    </w:lvl>
  </w:abstractNum>
  <w:num w:numId="1" w16cid:durableId="372773564">
    <w:abstractNumId w:val="0"/>
    <w:lvlOverride w:ilvl="0">
      <w:startOverride w:val="1"/>
    </w:lvlOverride>
  </w:num>
  <w:num w:numId="2" w16cid:durableId="21165561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352"/>
    <w:rsid w:val="00470352"/>
    <w:rsid w:val="004A3333"/>
    <w:rsid w:val="00CB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3EB49"/>
  <w15:docId w15:val="{F6564BAA-FC80-2B4E-B9EC-0D08EF362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yperlink1">
    <w:name w:val="Hyperlink1"/>
    <w:rPr>
      <w:color w:val="1155C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Data Platform Engineer — Take-Home Assessment</dc:title>
  <dc:creator>KOTS</dc:creator>
  <dc:description>Candidate assessment</dc:description>
  <cp:lastModifiedBy>Dilip Dayalu</cp:lastModifiedBy>
  <cp:revision>2</cp:revision>
  <dcterms:created xsi:type="dcterms:W3CDTF">2026-08-26T13:36:00Z</dcterms:created>
  <dcterms:modified xsi:type="dcterms:W3CDTF">2026-08-26T13:36:00Z</dcterms:modified>
</cp:coreProperties>
</file>