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4349CF" w:rsidRDefault="00A537D1">
      <w:pPr>
        <w:pStyle w:val="Title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4349CF">
        <w:rPr>
          <w:rFonts w:ascii="Arial" w:hAnsi="Arial" w:cs="Arial"/>
          <w:color w:val="000000" w:themeColor="text1"/>
          <w:sz w:val="22"/>
          <w:szCs w:val="22"/>
        </w:rPr>
        <w:t>Business Summary Report: Predictive Insights for Collections Strategy</w:t>
      </w:r>
    </w:p>
    <w:p w14:paraId="2F4337BF" w14:textId="77777777" w:rsidR="007D72C2" w:rsidRPr="004349CF" w:rsidRDefault="00A537D1">
      <w:pPr>
        <w:pStyle w:val="Heading1"/>
        <w:rPr>
          <w:rFonts w:ascii="Arial" w:hAnsi="Arial" w:cs="Arial"/>
          <w:color w:val="000000" w:themeColor="text1"/>
          <w:sz w:val="22"/>
          <w:szCs w:val="22"/>
        </w:rPr>
      </w:pPr>
      <w:r w:rsidRPr="004349CF">
        <w:rPr>
          <w:rFonts w:ascii="Arial" w:hAnsi="Arial" w:cs="Arial"/>
          <w:color w:val="000000" w:themeColor="text1"/>
          <w:sz w:val="22"/>
          <w:szCs w:val="22"/>
        </w:rPr>
        <w:t>1. Summary of Predictive Insights</w:t>
      </w:r>
    </w:p>
    <w:p w14:paraId="13BB36FF" w14:textId="29E5C6E4" w:rsidR="003B3179" w:rsidRPr="004349CF" w:rsidRDefault="003B3179" w:rsidP="003B3179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lang w:val="en-IN"/>
        </w:rPr>
      </w:pPr>
      <w:r>
        <w:t>• Customers with prior missed payments are the highest-risk group</w:t>
      </w:r>
    </w:p>
    <w:p w14:paraId="103984D2" w14:textId="1DBB7934" w:rsidR="003B3179" w:rsidRPr="004349CF" w:rsidRDefault="003B3179" w:rsidP="003B3179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lang w:val="en-IN"/>
        </w:rPr>
      </w:pPr>
      <w:r>
        <w:t>• High credit utilization (&gt;70–80%) strongly increases delinquency risk</w:t>
      </w:r>
    </w:p>
    <w:p w14:paraId="60F471FE" w14:textId="3027155E" w:rsidR="007D72C2" w:rsidRPr="004349CF" w:rsidRDefault="003B3179" w:rsidP="003B3179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>
        <w:t>• Low income + high spending leads to repayment challenges</w:t>
      </w:r>
    </w:p>
    <w:tbl>
      <w:tblPr>
        <w:tblW w:w="97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2152"/>
        <w:gridCol w:w="2124"/>
        <w:gridCol w:w="2501"/>
      </w:tblGrid>
      <w:tr w:rsidR="004D0ADD" w:rsidRPr="004349CF" w14:paraId="7B40C1BC" w14:textId="77777777" w:rsidTr="0030750A">
        <w:trPr>
          <w:trHeight w:val="17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30D74" w14:textId="77777777" w:rsidR="004D0ADD" w:rsidRPr="004349CF" w:rsidRDefault="004D0ADD" w:rsidP="004D0ADD">
            <w:pPr>
              <w:rPr>
                <w:rFonts w:ascii="Arial" w:hAnsi="Arial" w:cs="Arial"/>
                <w:b/>
                <w:bCs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b/>
                <w:bCs/>
                <w:color w:val="000000" w:themeColor="text1"/>
                <w:lang w:val="en-IN"/>
              </w:rPr>
              <w:t>Key Insight</w:t>
            </w:r>
          </w:p>
        </w:tc>
        <w:tc>
          <w:tcPr>
            <w:tcW w:w="0" w:type="auto"/>
            <w:vAlign w:val="center"/>
            <w:hideMark/>
          </w:tcPr>
          <w:p w14:paraId="4A07EB17" w14:textId="77777777" w:rsidR="004D0ADD" w:rsidRPr="004349CF" w:rsidRDefault="004D0ADD" w:rsidP="004D0ADD">
            <w:pPr>
              <w:rPr>
                <w:rFonts w:ascii="Arial" w:hAnsi="Arial" w:cs="Arial"/>
                <w:b/>
                <w:bCs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b/>
                <w:bCs/>
                <w:color w:val="000000" w:themeColor="text1"/>
                <w:lang w:val="en-IN"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2CD2A3EE" w14:textId="77777777" w:rsidR="004D0ADD" w:rsidRPr="004349CF" w:rsidRDefault="004D0ADD" w:rsidP="004D0ADD">
            <w:pPr>
              <w:rPr>
                <w:rFonts w:ascii="Arial" w:hAnsi="Arial" w:cs="Arial"/>
                <w:b/>
                <w:bCs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b/>
                <w:bCs/>
                <w:color w:val="000000" w:themeColor="text1"/>
                <w:lang w:val="en-IN"/>
              </w:rPr>
              <w:t>Influencing Variables</w:t>
            </w:r>
          </w:p>
        </w:tc>
        <w:tc>
          <w:tcPr>
            <w:tcW w:w="0" w:type="auto"/>
            <w:vAlign w:val="center"/>
            <w:hideMark/>
          </w:tcPr>
          <w:p w14:paraId="27E79B62" w14:textId="77777777" w:rsidR="004D0ADD" w:rsidRPr="004349CF" w:rsidRDefault="004D0ADD" w:rsidP="004D0ADD">
            <w:pPr>
              <w:rPr>
                <w:rFonts w:ascii="Arial" w:hAnsi="Arial" w:cs="Arial"/>
                <w:b/>
                <w:bCs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b/>
                <w:bCs/>
                <w:color w:val="000000" w:themeColor="text1"/>
                <w:lang w:val="en-IN"/>
              </w:rPr>
              <w:t>Potential Impact</w:t>
            </w:r>
          </w:p>
        </w:tc>
      </w:tr>
      <w:tr w:rsidR="004D0ADD" w:rsidRPr="004349CF" w14:paraId="25AEDB10" w14:textId="77777777" w:rsidTr="0030750A">
        <w:trPr>
          <w:trHeight w:val="2485"/>
          <w:tblCellSpacing w:w="15" w:type="dxa"/>
        </w:trPr>
        <w:tc>
          <w:tcPr>
            <w:tcW w:w="0" w:type="auto"/>
            <w:vAlign w:val="center"/>
            <w:hideMark/>
          </w:tcPr>
          <w:p w14:paraId="7E553FE8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High delinquency risk among customers with missed payments</w:t>
            </w:r>
          </w:p>
        </w:tc>
        <w:tc>
          <w:tcPr>
            <w:tcW w:w="0" w:type="auto"/>
            <w:vAlign w:val="center"/>
            <w:hideMark/>
          </w:tcPr>
          <w:p w14:paraId="278195CD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Customers with 2+ missed payments</w:t>
            </w:r>
          </w:p>
        </w:tc>
        <w:tc>
          <w:tcPr>
            <w:tcW w:w="0" w:type="auto"/>
            <w:vAlign w:val="center"/>
            <w:hideMark/>
          </w:tcPr>
          <w:p w14:paraId="315CB051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Payment history, credit utilization</w:t>
            </w:r>
          </w:p>
        </w:tc>
        <w:tc>
          <w:tcPr>
            <w:tcW w:w="0" w:type="auto"/>
            <w:vAlign w:val="center"/>
            <w:hideMark/>
          </w:tcPr>
          <w:p w14:paraId="4BE4DAE8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Enables early intervention and targeted outreach</w:t>
            </w:r>
          </w:p>
        </w:tc>
      </w:tr>
      <w:tr w:rsidR="004D0ADD" w:rsidRPr="004349CF" w14:paraId="3F6D8E0B" w14:textId="77777777" w:rsidTr="0030750A">
        <w:trPr>
          <w:trHeight w:val="2458"/>
          <w:tblCellSpacing w:w="15" w:type="dxa"/>
        </w:trPr>
        <w:tc>
          <w:tcPr>
            <w:tcW w:w="0" w:type="auto"/>
            <w:vAlign w:val="center"/>
            <w:hideMark/>
          </w:tcPr>
          <w:p w14:paraId="4016B40D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High credit utilization increases risk</w:t>
            </w:r>
          </w:p>
        </w:tc>
        <w:tc>
          <w:tcPr>
            <w:tcW w:w="0" w:type="auto"/>
            <w:vAlign w:val="center"/>
            <w:hideMark/>
          </w:tcPr>
          <w:p w14:paraId="42063C40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Customers using &gt;70–80% of credit limit</w:t>
            </w:r>
          </w:p>
        </w:tc>
        <w:tc>
          <w:tcPr>
            <w:tcW w:w="0" w:type="auto"/>
            <w:vAlign w:val="center"/>
            <w:hideMark/>
          </w:tcPr>
          <w:p w14:paraId="044241D0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 xml:space="preserve">Credit utilization, transaction </w:t>
            </w:r>
            <w:proofErr w:type="spellStart"/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384E0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Helps prioritize high-risk accounts</w:t>
            </w:r>
          </w:p>
        </w:tc>
      </w:tr>
      <w:tr w:rsidR="004D0ADD" w:rsidRPr="004349CF" w14:paraId="5794D772" w14:textId="77777777" w:rsidTr="0030750A">
        <w:trPr>
          <w:trHeight w:val="2485"/>
          <w:tblCellSpacing w:w="15" w:type="dxa"/>
        </w:trPr>
        <w:tc>
          <w:tcPr>
            <w:tcW w:w="0" w:type="auto"/>
            <w:vAlign w:val="center"/>
            <w:hideMark/>
          </w:tcPr>
          <w:p w14:paraId="68EF21D2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Low income + high spending leads to default risk</w:t>
            </w:r>
          </w:p>
        </w:tc>
        <w:tc>
          <w:tcPr>
            <w:tcW w:w="0" w:type="auto"/>
            <w:vAlign w:val="center"/>
            <w:hideMark/>
          </w:tcPr>
          <w:p w14:paraId="38F16FB9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Low-income, high-spending customers</w:t>
            </w:r>
          </w:p>
        </w:tc>
        <w:tc>
          <w:tcPr>
            <w:tcW w:w="0" w:type="auto"/>
            <w:vAlign w:val="center"/>
            <w:hideMark/>
          </w:tcPr>
          <w:p w14:paraId="2157DE68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Income, transaction patterns</w:t>
            </w:r>
          </w:p>
        </w:tc>
        <w:tc>
          <w:tcPr>
            <w:tcW w:w="0" w:type="auto"/>
            <w:vAlign w:val="center"/>
            <w:hideMark/>
          </w:tcPr>
          <w:p w14:paraId="42FBF939" w14:textId="77777777" w:rsidR="004D0ADD" w:rsidRPr="004349CF" w:rsidRDefault="004D0ADD" w:rsidP="004D0AD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4349CF">
              <w:rPr>
                <w:rFonts w:ascii="Arial" w:hAnsi="Arial" w:cs="Arial"/>
                <w:color w:val="000000" w:themeColor="text1"/>
                <w:lang w:val="en-IN"/>
              </w:rPr>
              <w:t>Supports customized repayment strategies</w:t>
            </w:r>
          </w:p>
        </w:tc>
      </w:tr>
    </w:tbl>
    <w:p w14:paraId="50978634" w14:textId="77777777" w:rsidR="00A537D1" w:rsidRPr="004349CF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Pr="004349CF" w:rsidRDefault="00A537D1">
      <w:pPr>
        <w:pStyle w:val="Heading1"/>
        <w:rPr>
          <w:rFonts w:ascii="Arial" w:hAnsi="Arial" w:cs="Arial"/>
          <w:color w:val="000000" w:themeColor="text1"/>
          <w:sz w:val="22"/>
          <w:szCs w:val="22"/>
        </w:rPr>
      </w:pPr>
      <w:r w:rsidRPr="004349CF">
        <w:rPr>
          <w:rFonts w:ascii="Arial" w:hAnsi="Arial" w:cs="Arial"/>
          <w:color w:val="000000" w:themeColor="text1"/>
          <w:sz w:val="22"/>
          <w:szCs w:val="22"/>
        </w:rPr>
        <w:lastRenderedPageBreak/>
        <w:t>2. Recommendation Framework</w:t>
      </w:r>
    </w:p>
    <w:p w14:paraId="3779C6B0" w14:textId="77777777" w:rsidR="004349CF" w:rsidRPr="004349CF" w:rsidRDefault="004349CF" w:rsidP="004349CF">
      <w:pPr>
        <w:pStyle w:val="Heading1"/>
        <w:rPr>
          <w:rFonts w:ascii="Arial" w:hAnsi="Arial" w:cs="Arial"/>
          <w:color w:val="000000" w:themeColor="text1"/>
          <w:sz w:val="22"/>
          <w:szCs w:val="22"/>
          <w:lang w:val="en-IN"/>
        </w:rPr>
      </w:pP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t>Restated Insight:</w:t>
      </w: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br/>
        <w:t>Customers with high credit utilization and previous missed payments are significantly more likely to become delinquent.</w:t>
      </w:r>
    </w:p>
    <w:p w14:paraId="55C812F2" w14:textId="77777777" w:rsidR="004349CF" w:rsidRPr="004349CF" w:rsidRDefault="004349CF" w:rsidP="004349CF">
      <w:pPr>
        <w:pStyle w:val="Heading1"/>
        <w:rPr>
          <w:rFonts w:ascii="Arial" w:hAnsi="Arial" w:cs="Arial"/>
          <w:color w:val="000000" w:themeColor="text1"/>
          <w:sz w:val="22"/>
          <w:szCs w:val="22"/>
          <w:lang w:val="en-IN"/>
        </w:rPr>
      </w:pP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t>Proposed Recommendation:</w:t>
      </w: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br/>
        <w:t>Implement a targeted SMS and call-based outreach program for high-risk customers within the next 4 weeks to reduce 30+ day delinquency rates by 10–15%.</w:t>
      </w:r>
    </w:p>
    <w:p w14:paraId="778BB2EA" w14:textId="77777777" w:rsidR="004349CF" w:rsidRPr="004349CF" w:rsidRDefault="004349CF" w:rsidP="004349CF">
      <w:pPr>
        <w:pStyle w:val="Heading1"/>
        <w:rPr>
          <w:rFonts w:ascii="Arial" w:hAnsi="Arial" w:cs="Arial"/>
          <w:color w:val="000000" w:themeColor="text1"/>
          <w:sz w:val="22"/>
          <w:szCs w:val="22"/>
          <w:lang w:val="en-IN"/>
        </w:rPr>
      </w:pP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t>Specific:</w:t>
      </w: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br/>
        <w:t>Target customers identified as high risk based on payment history and credit utilization</w:t>
      </w:r>
    </w:p>
    <w:p w14:paraId="455BB584" w14:textId="77777777" w:rsidR="004349CF" w:rsidRPr="004349CF" w:rsidRDefault="004349CF" w:rsidP="004349CF">
      <w:pPr>
        <w:pStyle w:val="Heading1"/>
        <w:rPr>
          <w:rFonts w:ascii="Arial" w:hAnsi="Arial" w:cs="Arial"/>
          <w:color w:val="000000" w:themeColor="text1"/>
          <w:sz w:val="22"/>
          <w:szCs w:val="22"/>
          <w:lang w:val="en-IN"/>
        </w:rPr>
      </w:pP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t>Measurable:</w:t>
      </w: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br/>
        <w:t>Reduce delinquency rates by 10–15%</w:t>
      </w:r>
    </w:p>
    <w:p w14:paraId="6A4F6231" w14:textId="77777777" w:rsidR="004349CF" w:rsidRPr="004349CF" w:rsidRDefault="004349CF" w:rsidP="004349CF">
      <w:pPr>
        <w:pStyle w:val="Heading1"/>
        <w:rPr>
          <w:rFonts w:ascii="Arial" w:hAnsi="Arial" w:cs="Arial"/>
          <w:color w:val="000000" w:themeColor="text1"/>
          <w:sz w:val="22"/>
          <w:szCs w:val="22"/>
          <w:lang w:val="en-IN"/>
        </w:rPr>
      </w:pP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t>Actionable:</w:t>
      </w: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br/>
        <w:t>Use existing communication channels such as SMS and calls</w:t>
      </w:r>
    </w:p>
    <w:p w14:paraId="0276D875" w14:textId="77777777" w:rsidR="004349CF" w:rsidRPr="004349CF" w:rsidRDefault="004349CF" w:rsidP="004349CF">
      <w:pPr>
        <w:pStyle w:val="Heading1"/>
        <w:rPr>
          <w:rFonts w:ascii="Arial" w:hAnsi="Arial" w:cs="Arial"/>
          <w:color w:val="000000" w:themeColor="text1"/>
          <w:sz w:val="22"/>
          <w:szCs w:val="22"/>
          <w:lang w:val="en-IN"/>
        </w:rPr>
      </w:pP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t>Relevant:</w:t>
      </w: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br/>
        <w:t>Directly addresses key drivers of delinquency identified in the model</w:t>
      </w:r>
    </w:p>
    <w:p w14:paraId="245AAE23" w14:textId="77777777" w:rsidR="004349CF" w:rsidRPr="004349CF" w:rsidRDefault="004349CF" w:rsidP="004349CF">
      <w:pPr>
        <w:pStyle w:val="Heading1"/>
        <w:rPr>
          <w:rFonts w:ascii="Arial" w:hAnsi="Arial" w:cs="Arial"/>
          <w:color w:val="000000" w:themeColor="text1"/>
          <w:sz w:val="22"/>
          <w:szCs w:val="22"/>
          <w:lang w:val="en-IN"/>
        </w:rPr>
      </w:pP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t>Time-bound:</w:t>
      </w:r>
      <w:r w:rsidRPr="004349CF">
        <w:rPr>
          <w:rFonts w:ascii="Arial" w:hAnsi="Arial" w:cs="Arial"/>
          <w:color w:val="000000" w:themeColor="text1"/>
          <w:sz w:val="22"/>
          <w:szCs w:val="22"/>
          <w:lang w:val="en-IN"/>
        </w:rPr>
        <w:br/>
        <w:t>Execute within a 4-week period</w:t>
      </w:r>
    </w:p>
    <w:p w14:paraId="45D73FF2" w14:textId="77777777" w:rsidR="004349CF" w:rsidRDefault="004349CF" w:rsidP="004349CF">
      <w:pPr>
        <w:pStyle w:val="Heading1"/>
        <w:rPr>
          <w:rFonts w:ascii="Arial" w:hAnsi="Arial" w:cs="Arial"/>
          <w:color w:val="000000" w:themeColor="text1"/>
          <w:sz w:val="22"/>
          <w:szCs w:val="22"/>
          <w:lang w:val="en-IN"/>
        </w:rPr>
      </w:pPr>
      <w:r>
        <w:t>Early intervention improves repayment and recovery rates while remaining cost-effective and scalable.</w:t>
      </w:r>
    </w:p>
    <w:p w14:paraId="0126ACE0" w14:textId="77777777" w:rsidR="0030750A" w:rsidRDefault="0030750A" w:rsidP="0030750A">
      <w:pPr>
        <w:rPr>
          <w:lang w:val="en-IN"/>
        </w:rPr>
      </w:pPr>
    </w:p>
    <w:p w14:paraId="22EB8BAC" w14:textId="77777777" w:rsidR="0030750A" w:rsidRPr="0030750A" w:rsidRDefault="0030750A" w:rsidP="0030750A">
      <w:pPr>
        <w:rPr>
          <w:lang w:val="en-IN"/>
        </w:rPr>
      </w:pPr>
    </w:p>
    <w:p w14:paraId="08E6A272" w14:textId="77777777" w:rsidR="007D72C2" w:rsidRPr="004349CF" w:rsidRDefault="00A537D1">
      <w:pPr>
        <w:pStyle w:val="Heading1"/>
        <w:rPr>
          <w:rFonts w:ascii="Arial" w:hAnsi="Arial" w:cs="Arial"/>
          <w:color w:val="000000" w:themeColor="text1"/>
          <w:sz w:val="22"/>
          <w:szCs w:val="22"/>
        </w:rPr>
      </w:pPr>
      <w:r w:rsidRPr="004349CF">
        <w:rPr>
          <w:rFonts w:ascii="Arial" w:hAnsi="Arial" w:cs="Arial"/>
          <w:color w:val="000000" w:themeColor="text1"/>
          <w:sz w:val="22"/>
          <w:szCs w:val="22"/>
        </w:rPr>
        <w:lastRenderedPageBreak/>
        <w:t>3. Ethical and Responsible AI Considerations</w:t>
      </w:r>
    </w:p>
    <w:p w14:paraId="11D628FA" w14:textId="77777777" w:rsidR="004349CF" w:rsidRPr="004349CF" w:rsidRDefault="004349CF" w:rsidP="004349CF">
      <w:pPr>
        <w:rPr>
          <w:rFonts w:ascii="Arial" w:hAnsi="Arial" w:cs="Arial"/>
          <w:color w:val="000000" w:themeColor="text1"/>
          <w:lang w:val="en-IN"/>
        </w:rPr>
      </w:pPr>
      <w:r>
        <w:t>• Bias risk: Low-income customers may be unfairly classified → Mitigation: Monitor model performance across groups</w:t>
      </w:r>
    </w:p>
    <w:p w14:paraId="5FEEBB23" w14:textId="77777777" w:rsidR="004349CF" w:rsidRPr="004349CF" w:rsidRDefault="004349CF" w:rsidP="004349CF">
      <w:pPr>
        <w:rPr>
          <w:rFonts w:ascii="Arial" w:hAnsi="Arial" w:cs="Arial"/>
          <w:color w:val="000000" w:themeColor="text1"/>
          <w:lang w:val="en-IN"/>
        </w:rPr>
      </w:pPr>
      <w:r>
        <w:t>• Proxy bias: Spending behavior may reflect sensitive attributes → Mitigation: Refine feature selection</w:t>
      </w:r>
    </w:p>
    <w:p w14:paraId="648E1005" w14:textId="77777777" w:rsidR="004349CF" w:rsidRPr="004349CF" w:rsidRDefault="004349CF" w:rsidP="004349CF">
      <w:pPr>
        <w:rPr>
          <w:rFonts w:ascii="Arial" w:hAnsi="Arial" w:cs="Arial"/>
          <w:color w:val="000000" w:themeColor="text1"/>
          <w:lang w:val="en-IN"/>
        </w:rPr>
      </w:pPr>
      <w:r>
        <w:t>• Explainability: Predictions are based on clear factors like payment history</w:t>
      </w:r>
    </w:p>
    <w:p w14:paraId="390975A5" w14:textId="77777777" w:rsidR="004349CF" w:rsidRPr="004349CF" w:rsidRDefault="004349CF" w:rsidP="004349CF">
      <w:pPr>
        <w:rPr>
          <w:rFonts w:ascii="Arial" w:hAnsi="Arial" w:cs="Arial"/>
          <w:color w:val="000000" w:themeColor="text1"/>
          <w:lang w:val="en-IN"/>
        </w:rPr>
      </w:pPr>
      <w:r>
        <w:t>• Responsible use: AI supports human decisions with fair treatment</w:t>
      </w:r>
    </w:p>
    <w:p w14:paraId="33EC1793" w14:textId="3AF30F03" w:rsidR="007D72C2" w:rsidRPr="004349CF" w:rsidRDefault="004349CF" w:rsidP="004349CF">
      <w:pPr>
        <w:rPr>
          <w:rFonts w:ascii="Arial" w:hAnsi="Arial" w:cs="Arial"/>
          <w:color w:val="000000" w:themeColor="text1"/>
        </w:rPr>
      </w:pPr>
      <w:r>
        <w:t>• Data privacy: Ensure transparency and protection of customer data</w:t>
      </w:r>
    </w:p>
    <w:sectPr w:rsidR="007D72C2" w:rsidRPr="004349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374B46"/>
    <w:multiLevelType w:val="hybridMultilevel"/>
    <w:tmpl w:val="EA320A1C"/>
    <w:lvl w:ilvl="0" w:tplc="B5D66548">
      <w:numFmt w:val="bullet"/>
      <w:lvlText w:val="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FF2A8A"/>
    <w:multiLevelType w:val="hybridMultilevel"/>
    <w:tmpl w:val="47A27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74E7E"/>
    <w:multiLevelType w:val="hybridMultilevel"/>
    <w:tmpl w:val="130AC7D0"/>
    <w:lvl w:ilvl="0" w:tplc="B5D66548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61D2E"/>
    <w:multiLevelType w:val="hybridMultilevel"/>
    <w:tmpl w:val="37EE1484"/>
    <w:lvl w:ilvl="0" w:tplc="B5D66548">
      <w:numFmt w:val="bullet"/>
      <w:lvlText w:val="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513960638">
    <w:abstractNumId w:val="10"/>
  </w:num>
  <w:num w:numId="11" w16cid:durableId="1952130699">
    <w:abstractNumId w:val="11"/>
  </w:num>
  <w:num w:numId="12" w16cid:durableId="1186094869">
    <w:abstractNumId w:val="12"/>
  </w:num>
  <w:num w:numId="13" w16cid:durableId="376008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4B0"/>
    <w:rsid w:val="0030750A"/>
    <w:rsid w:val="00326F90"/>
    <w:rsid w:val="003B3179"/>
    <w:rsid w:val="004349CF"/>
    <w:rsid w:val="004D0ADD"/>
    <w:rsid w:val="00557DF4"/>
    <w:rsid w:val="007842A8"/>
    <w:rsid w:val="007D72C2"/>
    <w:rsid w:val="008237CA"/>
    <w:rsid w:val="00A537D1"/>
    <w:rsid w:val="00AA1D8D"/>
    <w:rsid w:val="00B47730"/>
    <w:rsid w:val="00CB0664"/>
    <w:rsid w:val="00D44367"/>
    <w:rsid w:val="00EC3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vijaydundi11@gmail.com</cp:lastModifiedBy>
  <cp:revision>9</cp:revision>
  <dcterms:created xsi:type="dcterms:W3CDTF">2026-05-03T20:41:00Z</dcterms:created>
  <dcterms:modified xsi:type="dcterms:W3CDTF">2026-05-03T20:47:00Z</dcterms:modified>
  <cp:category/>
</cp:coreProperties>
</file>