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65D"/>
          <w:sz w:val="48"/>
          <w:szCs w:val="48"/>
        </w:rPr>
        <w:t xml:space="preserve">Commercial Analysis</w:t>
      </w:r>
    </w:p>
    <w:p>
      <w:pPr>
        <w:spacing w:after="240"/>
      </w:pPr>
      <w:r>
        <w:rPr>
          <w:rFonts w:ascii="Calibri" w:cs="Calibri" w:eastAsia="Calibri" w:hAnsi="Calibri"/>
          <w:color w:val="0F6C5B"/>
          <w:sz w:val="24"/>
          <w:szCs w:val="24"/>
        </w:rPr>
        <w:t xml:space="preserve">What every API checks  •  Household vs non-household  •  October 2025</w:t>
      </w:r>
    </w:p>
    <w:p>
      <w:pPr>
        <w:spacing w:after="160" w:before="0"/>
      </w:pPr>
      <w:r>
        <w:rPr>
          <w:rFonts w:ascii="Calibri" w:cs="Calibri" w:eastAsia="Calibri" w:hAnsi="Calibri"/>
          <w:color w:val="222222"/>
          <w:sz w:val="22"/>
          <w:szCs w:val="22"/>
        </w:rPr>
        <w:t xml:space="preserve">This note is for people who are not testers. It lists every Commercial Analysis API that automation covers, what the report is supposed to show, and whether the household / non-household filter actually changes the list.</w:t>
      </w:r>
    </w:p>
    <w:p>
      <w:pPr>
        <w:spacing w:after="160" w:before="0"/>
      </w:pPr>
      <w:r>
        <w:rPr>
          <w:rFonts w:ascii="Calibri" w:cs="Calibri" w:eastAsia="Calibri" w:hAnsi="Calibri"/>
          <w:i/>
          <w:iCs/>
          <w:color w:val="4A5568"/>
          <w:sz w:val="22"/>
          <w:szCs w:val="22"/>
        </w:rPr>
        <w:t xml:space="preserve">In the product, household connections are called domestic and non-household connections are called non-domestic. Both words mean the same split. The selected month for all of this work is October 2025.</w:t>
      </w:r>
    </w:p>
    <w:p>
      <w:pPr>
        <w:pStyle w:val="Heading1"/>
        <w:spacing w:after="140" w:before="280"/>
      </w:pPr>
      <w:r>
        <w:rPr>
          <w:rFonts w:ascii="Calibri" w:cs="Calibri" w:eastAsia="Calibri" w:hAnsi="Calibri"/>
          <w:b/>
          <w:bCs/>
          <w:color w:val="1B365D"/>
          <w:sz w:val="32"/>
          <w:szCs w:val="32"/>
        </w:rPr>
        <w:t xml:space="preserve">1. How to read household vs non-household</w:t>
      </w:r>
    </w:p>
    <w:p>
      <w:pPr>
        <w:spacing w:after="160" w:before="0"/>
      </w:pPr>
      <w:r>
        <w:rPr>
          <w:rFonts w:ascii="Calibri" w:cs="Calibri" w:eastAsia="Calibri" w:hAnsi="Calibri"/>
          <w:color w:val="222222"/>
          <w:sz w:val="22"/>
          <w:szCs w:val="22"/>
        </w:rPr>
        <w:t xml:space="preserve">Every detailed report can be opened with no category, with household (domestic), or with non-household (non-domestic). Live behaviour is not the same on every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Behaviour</w:t>
            </w:r>
          </w:p>
        </w:tc>
        <w:tc>
          <w:tcPr>
            <w:tcW w:type="dxa" w:w="39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it means</w:t>
            </w:r>
          </w:p>
        </w:tc>
        <w:tc>
          <w:tcPr>
            <w:tcW w:type="dxa" w:w="39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Which reports</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Real split</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Household list and non-household list are different. Adding both counts gives the full list.</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Power Factor; MD &gt; CD; Sanction load violation</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Household and non-household return the same meters and the same total. The filter is sent, but the API does not apply it.</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Load Factor; Compare Last Month; Zero / 100-unit pattern; Day and Night; Improper MD</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Billing not ready</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The report cannot be built yet because some billing months are missing. Both household and non-household get the same “not ready” answer.</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See section 3</w:t>
            </w:r>
          </w:p>
        </w:tc>
      </w:tr>
    </w:tbl>
    <w:p>
      <w:pPr>
        <w:spacing w:after="200"/>
      </w:pPr>
    </w:p>
    <w:p>
      <w:pPr>
        <w:spacing w:after="160" w:before="0"/>
      </w:pPr>
      <w:r>
        <w:rPr>
          <w:rFonts w:ascii="Calibri" w:cs="Calibri" w:eastAsia="Calibri" w:hAnsi="Calibri"/>
          <w:color w:val="222222"/>
          <w:sz w:val="22"/>
          <w:szCs w:val="22"/>
        </w:rPr>
        <w:t xml:space="preserve">Duplicate rule used everywhere: the same meter serial may appear on two different DTRs. That is allowed. A problem is the same serial on the same DTR with the same report value.</w:t>
      </w:r>
    </w:p>
    <w:p>
      <w:pPr>
        <w:pStyle w:val="Heading1"/>
        <w:spacing w:after="140" w:before="280"/>
      </w:pPr>
      <w:r>
        <w:rPr>
          <w:rFonts w:ascii="Calibri" w:cs="Calibri" w:eastAsia="Calibri" w:hAnsi="Calibri"/>
          <w:b/>
          <w:bCs/>
          <w:color w:val="1B365D"/>
          <w:sz w:val="32"/>
          <w:szCs w:val="32"/>
        </w:rPr>
        <w:t xml:space="preserve">2. The seven APIs we cover</w:t>
      </w:r>
    </w:p>
    <w:p>
      <w:pPr>
        <w:spacing w:after="160" w:before="0"/>
      </w:pPr>
      <w:r>
        <w:rPr>
          <w:rFonts w:ascii="Calibri" w:cs="Calibri" w:eastAsia="Calibri" w:hAnsi="Calibri"/>
          <w:color w:val="222222"/>
          <w:sz w:val="22"/>
          <w:szCs w:val="22"/>
        </w:rPr>
        <w:t xml:space="preserve">The dashboard cards come from one summary API. Clicking a card opens one of six list APIs. Automation covers all seven.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API</w:t>
            </w:r>
          </w:p>
        </w:tc>
        <w:tc>
          <w:tcPr>
            <w:tcW w:type="dxa" w:w="39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it is</w:t>
            </w:r>
          </w:p>
        </w:tc>
        <w:tc>
          <w:tcPr>
            <w:tcW w:type="dxa" w:w="39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Address (path)</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Dashboard cards</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Counts for every commercial report on the selected month</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/analysis/commercial/summary</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Power Factor</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Meters whose power factor is below 0.8</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/analysis/commercial/pf</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Load Factor</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Meters with very low or very high load factor</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/analysis/commercial/lf</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Maximum Demand</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Meters whose demand is above sanctioned load, plus improper MD</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/analysis/commercial/md</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Consumption Compare</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This month’s usage compared with last month (or last year)</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/analysis/commercial/consumption-compare</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Consumption Pattern</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Zero usage or very low usage over 1 / 3 / more months</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/analysis/commercial/consumption-pattern</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Day and Night</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Night usage is zero, or night is 10% or less of day usage</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/analysis/commercial/day-night</w:t>
            </w:r>
          </w:p>
        </w:tc>
      </w:tr>
    </w:tbl>
    <w:p>
      <w:pPr>
        <w:pStyle w:val="Heading1"/>
        <w:spacing w:after="140" w:before="280"/>
      </w:pPr>
      <w:r>
        <w:rPr>
          <w:rFonts w:ascii="Calibri" w:cs="Calibri" w:eastAsia="Calibri" w:hAnsi="Calibri"/>
          <w:b/>
          <w:bCs/>
          <w:color w:val="1B365D"/>
          <w:sz w:val="32"/>
          <w:szCs w:val="32"/>
        </w:rPr>
        <w:t xml:space="preserve">3. Dashboard cards — all 23 reports</w:t>
      </w:r>
    </w:p>
    <w:p>
      <w:pPr>
        <w:spacing w:after="160" w:before="0"/>
      </w:pPr>
      <w:r>
        <w:rPr>
          <w:rFonts w:ascii="Calibri" w:cs="Calibri" w:eastAsia="Calibri" w:hAnsi="Calibri"/>
          <w:color w:val="222222"/>
          <w:sz w:val="22"/>
          <w:szCs w:val="22"/>
        </w:rPr>
        <w:t xml:space="preserve">The summary API returns 23 cards. Ten of them cannot open yet for October 2025 because billing months are missing. The other 13 open and are tested.</w:t>
      </w:r>
    </w:p>
    <w:p>
      <w:pPr>
        <w:pStyle w:val="Heading2"/>
        <w:spacing w:after="140" w:before="280"/>
      </w:pPr>
      <w:r>
        <w:rPr>
          <w:rFonts w:ascii="Calibri" w:cs="Calibri" w:eastAsia="Calibri" w:hAnsi="Calibri"/>
          <w:b/>
          <w:bCs/>
          <w:color w:val="1B365D"/>
          <w:sz w:val="26"/>
          <w:szCs w:val="26"/>
        </w:rPr>
        <w:t xml:space="preserve">3.1 Cards that open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60"/>
        <w:gridCol w:w="1960"/>
        <w:gridCol w:w="1960"/>
      </w:tblGrid>
      <w:tr>
        <w:trPr>
          <w:tblHeader/>
        </w:trPr>
        <w:tc>
          <w:tcPr>
            <w:tcW w:type="dxa" w:w="24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Card on screen</w:t>
            </w:r>
          </w:p>
        </w:tc>
        <w:tc>
          <w:tcPr>
            <w:tcW w:type="dxa" w:w="1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Full list</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Filter behaviour</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PF Violation</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5,219</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4,297</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9,516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Real split (5,219 + 4,297 = 9,516)</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MD &gt; CD Last Three Month</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47,116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10,884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58,000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Real split (adds up exactly)</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Sanction Load Violation</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46,620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10,952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57,572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Real split (adds up exactly)</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Improper MD</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15,266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15,266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15,266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&gt; 100%</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183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183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183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 Last Three month</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14,993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14,993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14,993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Consumption Compare Last Month</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2,703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2,703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2,703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Consumption</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3,739</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3,739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3,739</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Consumption last 3 months</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2,806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2,806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2,806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100 units last 3 months</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7,669</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7,669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7,669</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Night Zero Consumption</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1,130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1,130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1,130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Night ≤ 10% of day</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2,332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2,332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2,332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bl>
    <w:p>
      <w:pPr>
        <w:pStyle w:val="Heading2"/>
        <w:spacing w:after="140" w:before="280"/>
      </w:pPr>
      <w:r>
        <w:rPr>
          <w:rFonts w:ascii="Calibri" w:cs="Calibri" w:eastAsia="Calibri" w:hAnsi="Calibri"/>
          <w:b/>
          <w:bCs/>
          <w:color w:val="1B365D"/>
          <w:sz w:val="26"/>
          <w:szCs w:val="26"/>
        </w:rPr>
        <w:t xml:space="preserve">3.2 Cards that cannot open yet</w:t>
      </w:r>
    </w:p>
    <w:p>
      <w:pPr>
        <w:spacing w:after="160" w:before="0"/>
      </w:pPr>
      <w:r>
        <w:rPr>
          <w:rFonts w:ascii="Calibri" w:cs="Calibri" w:eastAsia="Calibri" w:hAnsi="Calibri"/>
          <w:color w:val="222222"/>
          <w:sz w:val="22"/>
          <w:szCs w:val="22"/>
        </w:rPr>
        <w:t xml:space="preserve">For these, both household and non-household get “billing data is not ready yet”. That is expected for October 2025, not a missed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Card</w:t>
            </w:r>
          </w:p>
        </w:tc>
        <w:tc>
          <w:tcPr>
            <w:tcW w:type="dxa" w:w="50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Why it cannot open</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 Last Six Month</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billing months April and May 2025</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Consumption last 6 / 9 / 12 months and more than 12 months</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Needed billing months are not ready</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100 units last 6 months and last 9 months</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Needed billing months are not ready</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Last six month 50% average vs initial consumption</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Billing coverage is not available</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Compare same month last year</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September and October 2024</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Abnormal High</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March–June 2025</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Abnormal Low</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March–June 2025</w:t>
            </w:r>
          </w:p>
        </w:tc>
      </w:tr>
    </w:tbl>
    <w:p>
      <w:pPr>
        <w:pStyle w:val="Heading1"/>
        <w:spacing w:after="140" w:before="280"/>
      </w:pPr>
      <w:r>
        <w:rPr>
          <w:rFonts w:ascii="Calibri" w:cs="Calibri" w:eastAsia="Calibri" w:hAnsi="Calibri"/>
          <w:b/>
          <w:bCs/>
          <w:color w:val="1B365D"/>
          <w:sz w:val="32"/>
          <w:szCs w:val="32"/>
        </w:rPr>
        <w:t xml:space="preserve">4. Power Factor API — real household split</w:t>
      </w:r>
    </w:p>
    <w:p>
      <w:pPr>
        <w:spacing w:after="160" w:before="0"/>
      </w:pPr>
      <w:r>
        <w:rPr>
          <w:rFonts w:ascii="Calibri" w:cs="Calibri" w:eastAsia="Calibri" w:hAnsi="Calibri"/>
          <w:color w:val="222222"/>
          <w:sz w:val="22"/>
          <w:szCs w:val="22"/>
        </w:rPr>
        <w:t xml:space="preserve">This report lists meters whose power factor is below 0.8. Household and non-household are truly different lists. Tests open the report, check PF is below 0.8, check page totals, and check that household + non-household = the full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5040"/>
      </w:tblGrid>
      <w:tr>
        <w:trPr>
          <w:tblHeader/>
        </w:trPr>
        <w:tc>
          <w:tcPr>
            <w:tcW w:type="dxa" w:w="33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View</w:t>
            </w:r>
          </w:p>
        </w:tc>
        <w:tc>
          <w:tcPr>
            <w:tcW w:type="dxa" w:w="168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Meters</w:t>
            </w:r>
          </w:p>
        </w:tc>
        <w:tc>
          <w:tcPr>
            <w:tcW w:type="dxa" w:w="50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we check</w:t>
            </w:r>
          </w:p>
        </w:tc>
      </w:tr>
      <w:tr>
        <w:tc>
          <w:tcPr>
            <w:tcW w:type="dxa" w:w="336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Household (domestic)</w:t>
            </w:r>
          </w:p>
        </w:tc>
        <w:tc>
          <w:tcPr>
            <w:tcW w:type="dxa" w:w="168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5,219</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List opens; PF below 0.8; same meter is not listed twice on the same DTR</w:t>
            </w:r>
          </w:p>
        </w:tc>
      </w:tr>
      <w:tr>
        <w:tc>
          <w:tcPr>
            <w:tcW w:type="dxa" w:w="336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Non-household (non-domestic)</w:t>
            </w:r>
          </w:p>
        </w:tc>
        <w:tc>
          <w:tcPr>
            <w:tcW w:type="dxa" w:w="168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4,297</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checks on the non-household list</w:t>
            </w:r>
          </w:p>
        </w:tc>
      </w:tr>
      <w:tr>
        <w:tc>
          <w:tcPr>
            <w:tcW w:type="dxa" w:w="336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Both together</w:t>
            </w:r>
          </w:p>
        </w:tc>
        <w:tc>
          <w:tcPr>
            <w:tcW w:type="dxa" w:w="168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9,516</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5,219 + 4,297 must equal 9,516</w:t>
            </w:r>
          </w:p>
        </w:tc>
      </w:tr>
    </w:tbl>
    <w:p>
      <w:pPr>
        <w:spacing w:after="200" w:before="0"/>
      </w:pPr>
      <w:r>
        <w:rPr>
          <w:rFonts w:ascii="Calibri" w:cs="Calibri" w:eastAsia="Calibri" w:hAnsi="Calibri"/>
          <w:color w:val="222222"/>
          <w:sz w:val="22"/>
          <w:szCs w:val="22"/>
        </w:rPr>
        <w:t xml:space="preserve">About 180 household serials and about 359 non-household serials appear more than once. Almost all of those are the same meter on two DTRs with the same PF. Example: serial 14080783 on DTR RJ6610 and DTR RJ6612. That is allowed. Full serial lists are in the duplicate note files.</w:t>
      </w:r>
    </w:p>
    <w:p>
      <w:pPr>
        <w:pStyle w:val="Heading1"/>
        <w:spacing w:after="140" w:before="280"/>
      </w:pPr>
      <w:r>
        <w:rPr>
          <w:rFonts w:ascii="Calibri" w:cs="Calibri" w:eastAsia="Calibri" w:hAnsi="Calibri"/>
          <w:b/>
          <w:bCs/>
          <w:color w:val="1B365D"/>
          <w:sz w:val="32"/>
          <w:szCs w:val="32"/>
        </w:rPr>
        <w:t xml:space="preserve">5. Load Factor API — filter is ignored</w:t>
      </w:r>
    </w:p>
    <w:p>
      <w:pPr>
        <w:spacing w:after="160" w:before="0"/>
      </w:pPr>
      <w:r>
        <w:rPr>
          <w:rFonts w:ascii="Calibri" w:cs="Calibri" w:eastAsia="Calibri" w:hAnsi="Calibri"/>
          <w:color w:val="222222"/>
          <w:sz w:val="22"/>
          <w:szCs w:val="22"/>
        </w:rPr>
        <w:t xml:space="preserve">This report lists meters with load factor below 5% or above 100%. Sending household or non-household does not change the list. Tests still send household so the request matches the screen, then prove both filters return the same total and the same 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40"/>
        <w:gridCol w:w="2540"/>
      </w:tblGrid>
      <w:tr>
        <w:trPr>
          <w:tblHeader/>
        </w:trPr>
        <w:tc>
          <w:tcPr>
            <w:tcW w:type="dxa" w:w="2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Report type</w:t>
            </w:r>
          </w:p>
        </w:tc>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we check</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15,266</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15,266</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LF is below 5%; no duplicate meter on the same DTR</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&gt; 100%</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183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183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LF is above 100%</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 last 3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14,993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14,993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uniqueness rule</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 last 6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Both filters get “billing not ready”</w:t>
            </w:r>
          </w:p>
        </w:tc>
      </w:tr>
    </w:tbl>
    <w:p>
      <w:pPr>
        <w:spacing w:after="160" w:before="0"/>
      </w:pPr>
      <w:r>
        <w:rPr>
          <w:rFonts w:ascii="Calibri" w:cs="Calibri" w:eastAsia="Calibri" w:hAnsi="Calibri"/>
          <w:color w:val="222222"/>
          <w:sz w:val="22"/>
          <w:szCs w:val="22"/>
        </w:rPr>
        <w:t xml:space="preserve">Same-serial same-LF problems (listed twice with the same LF): 85104069, 85084417, 97790242, 92577647 on LF &lt; 5%. Last 3 months: 85104069, 97790242, 92577647. LF &gt; 100% has none.</w:t>
      </w:r>
    </w:p>
    <w:p>
      <w:pPr>
        <w:pStyle w:val="Heading1"/>
        <w:spacing w:after="140" w:before="280"/>
      </w:pPr>
      <w:r>
        <w:rPr>
          <w:rFonts w:ascii="Calibri" w:cs="Calibri" w:eastAsia="Calibri" w:hAnsi="Calibri"/>
          <w:b/>
          <w:bCs/>
          <w:color w:val="1B365D"/>
          <w:sz w:val="32"/>
          <w:szCs w:val="32"/>
        </w:rPr>
        <w:t xml:space="preserve">6. Maximum Demand API — mixed behaviour</w:t>
      </w:r>
    </w:p>
    <w:p>
      <w:pPr>
        <w:spacing w:after="160" w:before="0"/>
      </w:pPr>
      <w:r>
        <w:rPr>
          <w:rFonts w:ascii="Calibri" w:cs="Calibri" w:eastAsia="Calibri" w:hAnsi="Calibri"/>
          <w:color w:val="222222"/>
          <w:sz w:val="22"/>
          <w:szCs w:val="22"/>
        </w:rPr>
        <w:t xml:space="preserve">Demand should be higher than sanctioned load. Two report types honour household / non-household. Improper MD does not — both filters return the same 4 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60"/>
        <w:gridCol w:w="1960"/>
        <w:gridCol w:w="1960"/>
      </w:tblGrid>
      <w:tr>
        <w:trPr>
          <w:tblHeader/>
        </w:trPr>
        <w:tc>
          <w:tcPr>
            <w:tcW w:type="dxa" w:w="24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Report type</w:t>
            </w:r>
          </w:p>
        </w:tc>
        <w:tc>
          <w:tcPr>
            <w:tcW w:type="dxa" w:w="1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Full list</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Filter</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MD &gt; CD last 3 months</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47,116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10,884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58,000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Real split</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Sanction load violation</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46,620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10,952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57,572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Real split</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Improper MD</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 (same meters)</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bl>
    <w:p>
      <w:pPr>
        <w:spacing w:after="160" w:before="0"/>
      </w:pPr>
      <w:r>
        <w:rPr>
          <w:rFonts w:ascii="Calibri" w:cs="Calibri" w:eastAsia="Calibri" w:hAnsi="Calibri"/>
          <w:color w:val="222222"/>
          <w:sz w:val="22"/>
          <w:szCs w:val="22"/>
        </w:rPr>
        <w:t xml:space="preserve">Tests check the report opens, demand is above sanctioned load, household + non-household equals the full total for the two split types, and first and last pages have no duplicate meter on the same DTR. The 46,000-row grids were not fully walked for a serial-by-serial duplicate list.</w:t>
      </w:r>
    </w:p>
    <w:p>
      <w:pPr>
        <w:pStyle w:val="Heading1"/>
        <w:spacing w:after="140" w:before="280"/>
      </w:pPr>
      <w:r>
        <w:rPr>
          <w:rFonts w:ascii="Calibri" w:cs="Calibri" w:eastAsia="Calibri" w:hAnsi="Calibri"/>
          <w:b/>
          <w:bCs/>
          <w:color w:val="1B365D"/>
          <w:sz w:val="32"/>
          <w:szCs w:val="32"/>
        </w:rPr>
        <w:t xml:space="preserve">7. Consumption Compare API</w:t>
      </w:r>
    </w:p>
    <w:p>
      <w:pPr>
        <w:spacing w:after="160" w:before="0"/>
      </w:pPr>
      <w:r>
        <w:rPr>
          <w:rFonts w:ascii="Calibri" w:cs="Calibri" w:eastAsia="Calibri" w:hAnsi="Calibri"/>
          <w:color w:val="222222"/>
          <w:sz w:val="22"/>
          <w:szCs w:val="22"/>
        </w:rPr>
        <w:t xml:space="preserve">Last Month lists meters whose current usage is less than half of the previous month (zero current usage is allowed). Household and non-household are the same 2,703 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40"/>
        <w:gridCol w:w="2540"/>
      </w:tblGrid>
      <w:tr>
        <w:trPr>
          <w:tblHeader/>
        </w:trPr>
        <w:tc>
          <w:tcPr>
            <w:tcW w:type="dxa" w:w="2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Report type</w:t>
            </w:r>
          </w:p>
        </w:tc>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Result</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Last Month</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2,703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2,703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Opens; this month &lt; 50% of last month</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Same month last year</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Sep–Oct 2024</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Abnormal High</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Mar–Jun 2025</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Abnormal Low</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Mar–Jun 2025</w:t>
            </w:r>
          </w:p>
        </w:tc>
      </w:tr>
    </w:tbl>
    <w:p>
      <w:pPr>
        <w:pStyle w:val="Heading1"/>
        <w:spacing w:after="140" w:before="280"/>
      </w:pPr>
      <w:r>
        <w:rPr>
          <w:rFonts w:ascii="Calibri" w:cs="Calibri" w:eastAsia="Calibri" w:hAnsi="Calibri"/>
          <w:b/>
          <w:bCs/>
          <w:color w:val="1B365D"/>
          <w:sz w:val="32"/>
          <w:szCs w:val="32"/>
        </w:rPr>
        <w:t xml:space="preserve">8. Consumption Pattern API</w:t>
      </w:r>
    </w:p>
    <w:p>
      <w:pPr>
        <w:spacing w:after="160" w:before="0"/>
      </w:pPr>
      <w:r>
        <w:rPr>
          <w:rFonts w:ascii="Calibri" w:cs="Calibri" w:eastAsia="Calibri" w:hAnsi="Calibri"/>
          <w:color w:val="222222"/>
          <w:sz w:val="22"/>
          <w:szCs w:val="22"/>
        </w:rPr>
        <w:t xml:space="preserve">These reports must be requested with household selected. Opening them with no category often times out. Even so, household and non-household still return the same meters (the filter is ignored).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40"/>
        <w:gridCol w:w="2540"/>
      </w:tblGrid>
      <w:tr>
        <w:trPr>
          <w:tblHeader/>
        </w:trPr>
        <w:tc>
          <w:tcPr>
            <w:tcW w:type="dxa" w:w="2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Report type</w:t>
            </w:r>
          </w:p>
        </w:tc>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we check</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Consumption (1 month)</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3,739</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3,739</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Every row has 0 kWh</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last 3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2,806</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2,806</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Every row has 0 kWh</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100 units last 3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7,669</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7,669</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Usage is below 100 kWh</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last 6 / 9 / 12 months and more than 12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Both filters</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100 units last 6 / 9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Both filters</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Last six month 50% average vs initial</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Both filters</w:t>
            </w:r>
          </w:p>
        </w:tc>
      </w:tr>
    </w:tbl>
    <w:p>
      <w:pPr>
        <w:pStyle w:val="Heading1"/>
        <w:spacing w:after="140" w:before="280"/>
      </w:pPr>
      <w:r>
        <w:rPr>
          <w:rFonts w:ascii="Calibri" w:cs="Calibri" w:eastAsia="Calibri" w:hAnsi="Calibri"/>
          <w:b/>
          <w:bCs/>
          <w:color w:val="1B365D"/>
          <w:sz w:val="32"/>
          <w:szCs w:val="32"/>
        </w:rPr>
        <w:t xml:space="preserve">9. Day and Night API</w:t>
      </w:r>
    </w:p>
    <w:p>
      <w:pPr>
        <w:spacing w:after="160" w:before="0"/>
      </w:pPr>
      <w:r>
        <w:rPr>
          <w:rFonts w:ascii="Calibri" w:cs="Calibri" w:eastAsia="Calibri" w:hAnsi="Calibri"/>
          <w:color w:val="222222"/>
          <w:sz w:val="22"/>
          <w:szCs w:val="22"/>
        </w:rPr>
        <w:t xml:space="preserve">Night Zero lists meters with no night usage. Night ≤ 10% of day lists meters whose night usage is at most one tenth of day usage. Household and non-household are the same lists.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40"/>
        <w:gridCol w:w="2540"/>
      </w:tblGrid>
      <w:tr>
        <w:trPr>
          <w:tblHeader/>
        </w:trPr>
        <w:tc>
          <w:tcPr>
            <w:tcW w:type="dxa" w:w="2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Report type</w:t>
            </w:r>
          </w:p>
        </w:tc>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we check</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Night Zero Consumption</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1,130</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1,130</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Report opens; uniqueness on first and last page</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Night ≤ 10% of day</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2,332</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2,332</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Night kWh is ≤ 10% of day kWh</w:t>
            </w:r>
          </w:p>
        </w:tc>
      </w:tr>
    </w:tbl>
    <w:p>
      <w:pPr>
        <w:pStyle w:val="Heading1"/>
        <w:spacing w:after="140" w:before="280"/>
      </w:pPr>
      <w:r>
        <w:rPr>
          <w:rFonts w:ascii="Calibri" w:cs="Calibri" w:eastAsia="Calibri" w:hAnsi="Calibri"/>
          <w:b/>
          <w:bCs/>
          <w:color w:val="1B365D"/>
          <w:sz w:val="32"/>
          <w:szCs w:val="32"/>
        </w:rPr>
        <w:t xml:space="preserve">10. Extra checks on every API</w:t>
      </w:r>
    </w:p>
    <w:p>
      <w:pPr>
        <w:pStyle w:val="ListParagraph"/>
        <w:numPr>
          <w:ilvl w:val="0"/>
          <w:numId w:val="2"/>
        </w:numPr>
        <w:spacing w:after="80"/>
      </w:pPr>
      <w:r>
        <w:rPr>
          <w:rFonts w:ascii="Calibri" w:cs="Calibri" w:eastAsia="Calibri" w:hAnsi="Calibri"/>
          <w:color w:val="222222"/>
          <w:sz w:val="22"/>
          <w:szCs w:val="22"/>
        </w:rPr>
        <w:t xml:space="preserve">Login is required. Opening a report without logging in, or with a bad token, is rejected.</w:t>
      </w:r>
    </w:p>
    <w:p>
      <w:pPr>
        <w:pStyle w:val="ListParagraph"/>
        <w:numPr>
          <w:ilvl w:val="0"/>
          <w:numId w:val="2"/>
        </w:numPr>
        <w:spacing w:after="80"/>
      </w:pPr>
      <w:r>
        <w:rPr>
          <w:rFonts w:ascii="Calibri" w:cs="Calibri" w:eastAsia="Calibri" w:hAnsi="Calibri"/>
          <w:color w:val="222222"/>
          <w:sz w:val="22"/>
          <w:szCs w:val="22"/>
        </w:rPr>
        <w:t xml:space="preserve">Wrong month (13), page 0, or an unknown report type is rejected.</w:t>
      </w:r>
    </w:p>
    <w:p>
      <w:pPr>
        <w:pStyle w:val="ListParagraph"/>
        <w:numPr>
          <w:ilvl w:val="0"/>
          <w:numId w:val="2"/>
        </w:numPr>
        <w:spacing w:after="80"/>
      </w:pPr>
      <w:r>
        <w:rPr>
          <w:rFonts w:ascii="Calibri" w:cs="Calibri" w:eastAsia="Calibri" w:hAnsi="Calibri"/>
          <w:color w:val="222222"/>
          <w:sz w:val="22"/>
          <w:szCs w:val="22"/>
        </w:rPr>
        <w:t xml:space="preserve">Page 2 still shows a valid list. Showing 1 meter per page returns at most one meter.</w:t>
      </w:r>
    </w:p>
    <w:p>
      <w:pPr>
        <w:pStyle w:val="ListParagraph"/>
        <w:numPr>
          <w:ilvl w:val="0"/>
          <w:numId w:val="2"/>
        </w:numPr>
        <w:spacing w:after="80"/>
      </w:pPr>
      <w:r>
        <w:rPr>
          <w:rFonts w:ascii="Calibri" w:cs="Calibri" w:eastAsia="Calibri" w:hAnsi="Calibri"/>
          <w:color w:val="222222"/>
          <w:sz w:val="22"/>
          <w:szCs w:val="22"/>
        </w:rPr>
        <w:t xml:space="preserve">If the report type is left blank, the API still opens using its default type.</w:t>
      </w:r>
    </w:p>
    <w:p>
      <w:pPr>
        <w:pStyle w:val="ListParagraph"/>
        <w:numPr>
          <w:ilvl w:val="0"/>
          <w:numId w:val="2"/>
        </w:numPr>
        <w:spacing w:after="80"/>
      </w:pPr>
      <w:r>
        <w:rPr>
          <w:rFonts w:ascii="Calibri" w:cs="Calibri" w:eastAsia="Calibri" w:hAnsi="Calibri"/>
          <w:color w:val="222222"/>
          <w:sz w:val="22"/>
          <w:szCs w:val="22"/>
        </w:rPr>
        <w:t xml:space="preserve">First and last page: the same meter is not listed twice on the same DTR.</w:t>
      </w:r>
    </w:p>
    <w:p>
      <w:pPr>
        <w:pStyle w:val="ListParagraph"/>
        <w:numPr>
          <w:ilvl w:val="0"/>
          <w:numId w:val="2"/>
        </w:numPr>
        <w:spacing w:after="80"/>
      </w:pPr>
      <w:r>
        <w:rPr>
          <w:rFonts w:ascii="Calibri" w:cs="Calibri" w:eastAsia="Calibri" w:hAnsi="Calibri"/>
          <w:color w:val="222222"/>
          <w:sz w:val="22"/>
          <w:szCs w:val="22"/>
        </w:rPr>
        <w:t xml:space="preserve">Write tests (create / upload) are not part of this module. These APIs only read reports.</w:t>
      </w:r>
    </w:p>
    <w:p>
      <w:pPr>
        <w:pStyle w:val="Heading1"/>
        <w:spacing w:after="140" w:before="280"/>
      </w:pPr>
      <w:r>
        <w:rPr>
          <w:rFonts w:ascii="Calibri" w:cs="Calibri" w:eastAsia="Calibri" w:hAnsi="Calibri"/>
          <w:b/>
          <w:bCs/>
          <w:color w:val="1B365D"/>
          <w:sz w:val="32"/>
          <w:szCs w:val="32"/>
        </w:rPr>
        <w:t xml:space="preserve">11. What is covered vs not walked meter-by-meter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Covered in tests</w:t>
            </w:r>
          </w:p>
        </w:tc>
        <w:tc>
          <w:tcPr>
            <w:tcW w:type="dxa" w:w="50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Not fully listed serial-by-serial</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All 7 APIs; all live report types; household and non-household; cards; login; bad filters; paging</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Full 58,000-row MD lists, 3,739 zero-consumption rows, and day/night lists were not dumped to a serial file (too large). Compare and Load Factor write a live JSON file when the “every page” test runs.</w:t>
            </w:r>
          </w:p>
        </w:tc>
      </w:tr>
    </w:tbl>
    <w:p>
      <w:pPr>
        <w:spacing w:after="80" w:before="0"/>
      </w:pPr>
      <w:r>
        <w:rPr>
          <w:rFonts w:ascii="Calibri" w:cs="Calibri" w:eastAsia="Calibri" w:hAnsi="Calibri"/>
          <w:b/>
          <w:bCs/>
          <w:color w:val="222222"/>
          <w:sz w:val="22"/>
          <w:szCs w:val="22"/>
        </w:rPr>
        <w:t xml:space="preserve">Short version: every Commercial Analysis API used by the screen is covered. Household vs non-household is tested on every live type. Only Power Factor and the two large MD types actually split the two groups. On the other live reports both groups see the same meters.</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568"/>
        <w:sz w:val="16"/>
        <w:szCs w:val="16"/>
      </w:rPr>
      <w:t xml:space="preserve">October 2025 window  •  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4A5568"/>
        <w:sz w:val="18"/>
        <w:szCs w:val="18"/>
      </w:rPr>
      <w:t xml:space="preserve">Indore MDM  •  Commercial Analysis API coverage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2026-09-11T06:37:18.612Z</dcterms:created>
  <dcterms:modified xsi:type="dcterms:W3CDTF">2026-09-11T06:37:18.613Z</dcterms:modified>
</cp:coreProperties>
</file>

<file path=docProps/custom.xml><?xml version="1.0" encoding="utf-8"?>
<Properties xmlns="http://schemas.openxmlformats.org/officeDocument/2006/custom-properties" xmlns:vt="http://schemas.openxmlformats.org/officeDocument/2006/docPropsVTypes"/>
</file>