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color w:val="888888"/>
          <w:sz w:val="14"/>
          <w:szCs w:val="14"/>
        </w:rPr>
        <w:t xml:space="preserve">BREATHE ESG PROJECT</w:t>
      </w:r>
    </w:p>
    <w:p>
      <w:pPr>
        <w:spacing w:after="200" w:before="0"/>
      </w:pPr>
      <w:r>
        <w:rPr>
          <w:rFonts w:ascii="Arial" w:cs="Arial" w:eastAsia="Arial" w:hAnsi="Arial"/>
          <w:b/>
          <w:bCs/>
          <w:color w:val="1D4E35"/>
          <w:sz w:val="40"/>
          <w:szCs w:val="40"/>
        </w:rPr>
        <w:t xml:space="preserve">Simple Guide — Understand Everything Before Your Interview</w:t>
      </w:r>
    </w:p>
    <w:p>
      <w:pPr>
        <w:spacing w:after="400" w:before="0"/>
      </w:pPr>
      <w:r>
        <w:rPr>
          <w:rFonts w:ascii="Arial" w:cs="Arial" w:eastAsia="Arial" w:hAnsi="Arial"/>
          <w:i/>
          <w:iCs/>
          <w:color w:val="555555"/>
          <w:sz w:val="22"/>
          <w:szCs w:val="22"/>
        </w:rPr>
        <w:t xml:space="preserve">Written in plain language. No jargon. Read this and you will be able to explain every part of this project to anyone who asks.</w:t>
      </w:r>
    </w:p>
    <w:p>
      <w:pPr>
        <w:pStyle w:val="Heading1"/>
        <w:spacing w:after="160" w:before="400"/>
      </w:pPr>
      <w:r>
        <w:rPr>
          <w:rFonts w:ascii="Arial" w:cs="Arial" w:eastAsia="Arial" w:hAnsi="Arial"/>
          <w:b/>
          <w:bCs/>
          <w:color w:val="1D4E35"/>
          <w:sz w:val="32"/>
          <w:szCs w:val="32"/>
        </w:rPr>
        <w:t xml:space="preserve">Part 1: What is This Company and What Problem Are They Solving?</w:t>
      </w:r>
    </w:p>
    <w:p>
      <w:pPr>
        <w:spacing w:after="120" w:before="80"/>
      </w:pPr>
      <w:r>
        <w:rPr>
          <w:rFonts w:ascii="Arial" w:cs="Arial" w:eastAsia="Arial" w:hAnsi="Arial"/>
          <w:sz w:val="22"/>
          <w:szCs w:val="22"/>
        </w:rPr>
        <w:t xml:space="preserve">Breathe ESG is a tech company that helps other companies track how much carbon dioxide (CO2) they are releasing into the atmosphere. This is called "carbon accounting" or "emissions tracking."</w:t>
      </w:r>
    </w:p>
    <w:p>
      <w:pPr>
        <w:spacing w:after="120" w:before="80"/>
      </w:pPr>
      <w:r>
        <w:rPr>
          <w:rFonts w:ascii="Arial" w:cs="Arial" w:eastAsia="Arial" w:hAnsi="Arial"/>
          <w:sz w:val="22"/>
          <w:szCs w:val="22"/>
        </w:rPr>
        <w:t xml:space="preserve">Why does this matter? Because governments, investors, and regulators now require companies to report their greenhouse gas emissions. If a company cannot prove its numbers are correct, it can face fines, lose investors, and fail audits.</w:t>
      </w:r>
    </w:p>
    <w:p>
      <w:pPr>
        <w:spacing w:after="120" w:before="80"/>
      </w:pPr>
      <w:r>
        <w:rPr>
          <w:rFonts w:ascii="Arial" w:cs="Arial" w:eastAsia="Arial" w:hAnsi="Arial"/>
          <w:sz w:val="22"/>
          <w:szCs w:val="22"/>
        </w:rPr>
        <w:t xml:space="preserve">The problem: Every company stores its data in a different place, in a different format. One company might have fuel data in SAP (a German software). Another might have electricity data from a PDF bill. Travel data lives in Concur (an expense management tool). None of these systems talk to each other.</w:t>
      </w:r>
    </w:p>
    <w:p>
      <w:pPr>
        <w:spacing w:after="120" w:before="80"/>
      </w:pPr>
      <w:r>
        <w:rPr>
          <w:rFonts w:ascii="Arial" w:cs="Arial" w:eastAsia="Arial" w:hAnsi="Arial"/>
          <w:sz w:val="22"/>
          <w:szCs w:val="22"/>
        </w:rPr>
        <w:t xml:space="preserve">Breathe ESG's job: Take all of that messy, scattered data, clean it up, put it in one place, and let analysts verify it before sending it to auditors.</w:t>
      </w:r>
    </w:p>
    <w:p>
      <w:pPr>
        <w:spacing w:after="0" w:before="0"/>
      </w:pPr>
      <w:r>
        <w:t xml:space="preserve"/>
      </w:r>
    </w:p>
    <w:p>
      <w:pPr>
        <w:pStyle w:val="Heading1"/>
        <w:spacing w:after="160" w:before="400"/>
      </w:pPr>
      <w:r>
        <w:rPr>
          <w:rFonts w:ascii="Arial" w:cs="Arial" w:eastAsia="Arial" w:hAnsi="Arial"/>
          <w:b/>
          <w:bCs/>
          <w:color w:val="1D4E35"/>
          <w:sz w:val="32"/>
          <w:szCs w:val="32"/>
        </w:rPr>
        <w:t xml:space="preserve">Part 2: What Are Scope 1, Scope 2, and Scope 3?</w:t>
      </w:r>
    </w:p>
    <w:p>
      <w:pPr>
        <w:spacing w:after="120" w:before="80"/>
      </w:pPr>
      <w:r>
        <w:rPr>
          <w:rFonts w:ascii="Arial" w:cs="Arial" w:eastAsia="Arial" w:hAnsi="Arial"/>
          <w:sz w:val="22"/>
          <w:szCs w:val="22"/>
        </w:rPr>
        <w:t xml:space="preserve">This is the international standard for measuring carbon emissions. It is called the GHG Protocol (Greenhouse Gas Protocol). Think of it like three buckets: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2"/>
                <w:szCs w:val="22"/>
              </w:rPr>
              <w:t xml:space="preserve">Scope</w:t>
            </w:r>
          </w:p>
        </w:tc>
        <w:tc>
          <w:tcPr>
            <w:tcW w:type="dxa" w:w="280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2"/>
                <w:szCs w:val="22"/>
              </w:rPr>
              <w:t xml:space="preserve">What It Means</w:t>
            </w:r>
          </w:p>
        </w:tc>
        <w:tc>
          <w:tcPr>
            <w:tcW w:type="dxa" w:w="476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2"/>
                <w:szCs w:val="22"/>
              </w:rPr>
              <w:t xml:space="preserve">Real Examples from This Project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Scope 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Your company burns something directly and creates emissions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Company trucks burn diesel. Factory generators burn diesel. Furnace burns furnace oil. This data comes from SAP.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Scope 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 buy electricity that was generated somewhere else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Office air conditioning. Factory machines. This data comes from MSEDCL electricity bills.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Scope 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Everything else in your supply chain and activities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Employees flying to London on business. Hotel stays. Taking a taxi to a meeting. This data comes from Concur.</w:t>
            </w:r>
          </w:p>
        </w:tc>
      </w:tr>
    </w:tbl>
    <w:p>
      <w:pPr>
        <w:spacing w:after="0" w:before="0"/>
      </w:pPr>
      <w:r>
        <w:t xml:space="preserve"/>
      </w:r>
    </w:p>
    <w:p>
      <w:pPr>
        <w:spacing w:after="0" w:before="0"/>
      </w:pPr>
      <w:r>
        <w:t xml:space="preserve"/>
      </w:r>
    </w:p>
    <w:p>
      <w:pPr>
        <w:pStyle w:val="Heading1"/>
        <w:spacing w:after="160" w:before="400"/>
      </w:pPr>
      <w:r>
        <w:rPr>
          <w:rFonts w:ascii="Arial" w:cs="Arial" w:eastAsia="Arial" w:hAnsi="Arial"/>
          <w:b/>
          <w:bCs/>
          <w:color w:val="1D4E35"/>
          <w:sz w:val="32"/>
          <w:szCs w:val="32"/>
        </w:rPr>
        <w:t xml:space="preserve">Part 3: The Three Data Sources — What They Are and Why They Are Messy</w:t>
      </w:r>
    </w:p>
    <w:p>
      <w:pPr>
        <w:pStyle w:val="Heading2"/>
        <w:spacing w:after="120" w:before="280"/>
      </w:pPr>
      <w:r>
        <w:rPr>
          <w:rFonts w:ascii="Arial" w:cs="Arial" w:eastAsia="Arial" w:hAnsi="Arial"/>
          <w:b/>
          <w:bCs/>
          <w:color w:val="2D6E50"/>
          <w:sz w:val="26"/>
          <w:szCs w:val="26"/>
        </w:rPr>
        <w:t xml:space="preserve">Source 1: SAP (Fuel and Procurement Data)</w:t>
      </w:r>
    </w:p>
    <w:p>
      <w:pPr>
        <w:spacing w:after="120" w:before="80"/>
      </w:pPr>
      <w:r>
        <w:rPr>
          <w:rFonts w:ascii="Arial" w:cs="Arial" w:eastAsia="Arial" w:hAnsi="Arial"/>
          <w:sz w:val="22"/>
          <w:szCs w:val="22"/>
        </w:rPr>
        <w:t xml:space="preserve">SAP is the world's most popular enterprise software. Think of it as a giant database that tracks everything a company buys and uses. Most large companies in India (Tata, Reliance, Infosys) run on SAP.</w:t>
      </w:r>
    </w:p>
    <w:p>
      <w:pPr>
        <w:spacing w:after="120" w:before="80"/>
      </w:pPr>
      <w:r>
        <w:rPr>
          <w:rFonts w:ascii="Arial" w:cs="Arial" w:eastAsia="Arial" w:hAnsi="Arial"/>
          <w:sz w:val="22"/>
          <w:szCs w:val="22"/>
        </w:rPr>
        <w:t xml:space="preserve">What we extract from SAP: Fuel purchase records. Every time a factory buys 12,500 litres of diesel, SAP records it.</w:t>
      </w:r>
    </w:p>
    <w:p>
      <w:pPr>
        <w:spacing w:after="120" w:before="80"/>
      </w:pPr>
      <w:r>
        <w:rPr>
          <w:rFonts w:ascii="Arial" w:cs="Arial" w:eastAsia="Arial" w:hAnsi="Arial"/>
          <w:sz w:val="22"/>
          <w:szCs w:val="22"/>
        </w:rPr>
        <w:t xml:space="preserve">Why is SAP data messy?</w:t>
      </w:r>
    </w:p>
    <w:p>
      <w:pPr>
        <w:pStyle w:val="ListParagraph"/>
        <w:numPr>
          <w:ilvl w:val="0"/>
          <w:numId w:val="2"/>
        </w:numPr>
        <w:spacing w:after="40" w:before="40"/>
      </w:pPr>
      <w:r>
        <w:rPr>
          <w:rFonts w:ascii="Arial" w:cs="Arial" w:eastAsia="Arial" w:hAnsi="Arial"/>
          <w:sz w:val="22"/>
          <w:szCs w:val="22"/>
        </w:rPr>
        <w:t xml:space="preserve">Column headers can be in German. WERKS means "Plant" (location). MENGE means "Quantity". MEINS means "Unit of measurement". We handle both German and English.</w:t>
      </w:r>
    </w:p>
    <w:p>
      <w:pPr>
        <w:pStyle w:val="ListParagraph"/>
        <w:numPr>
          <w:ilvl w:val="0"/>
          <w:numId w:val="2"/>
        </w:numPr>
        <w:spacing w:after="40" w:before="40"/>
      </w:pPr>
      <w:r>
        <w:rPr>
          <w:rFonts w:ascii="Arial" w:cs="Arial" w:eastAsia="Arial" w:hAnsi="Arial"/>
          <w:sz w:val="22"/>
          <w:szCs w:val="22"/>
        </w:rPr>
        <w:t xml:space="preserve">Dates come in SAP internal format: 20240115 means January 15, 2024.</w:t>
      </w:r>
    </w:p>
    <w:p>
      <w:pPr>
        <w:pStyle w:val="ListParagraph"/>
        <w:numPr>
          <w:ilvl w:val="0"/>
          <w:numId w:val="2"/>
        </w:numPr>
        <w:spacing w:after="40" w:before="40"/>
      </w:pPr>
      <w:r>
        <w:rPr>
          <w:rFonts w:ascii="Arial" w:cs="Arial" w:eastAsia="Arial" w:hAnsi="Arial"/>
          <w:sz w:val="22"/>
          <w:szCs w:val="22"/>
        </w:rPr>
        <w:t xml:space="preserve">Units are inconsistent. One plant records diesel in Litres (L). Another records it in Gallons (GAL) because their SAP was configured in the US. Our normalizer converts all of them to Litres.</w:t>
      </w:r>
    </w:p>
    <w:p>
      <w:pPr>
        <w:pStyle w:val="ListParagraph"/>
        <w:numPr>
          <w:ilvl w:val="0"/>
          <w:numId w:val="2"/>
        </w:numPr>
        <w:spacing w:after="40" w:before="40"/>
      </w:pPr>
      <w:r>
        <w:rPr>
          <w:rFonts w:ascii="Arial" w:cs="Arial" w:eastAsia="Arial" w:hAnsi="Arial"/>
          <w:sz w:val="22"/>
          <w:szCs w:val="22"/>
        </w:rPr>
        <w:t xml:space="preserve">Plant codes like PL01 are meaningless without a lookup table. PL01 = Mumbai Andheri Factory, PL02 = Pune Hinjewadi, etc.</w:t>
      </w:r>
    </w:p>
    <w:p>
      <w:pPr>
        <w:pStyle w:val="ListParagraph"/>
        <w:numPr>
          <w:ilvl w:val="0"/>
          <w:numId w:val="2"/>
        </w:numPr>
        <w:spacing w:after="40" w:before="40"/>
      </w:pPr>
      <w:r>
        <w:rPr>
          <w:rFonts w:ascii="Arial" w:cs="Arial" w:eastAsia="Arial" w:hAnsi="Arial"/>
          <w:sz w:val="22"/>
          <w:szCs w:val="22"/>
        </w:rPr>
        <w:t xml:space="preserve">Material numbers like DIESEL-001 need to be mapped to an emission factor. We built a lookup table for this.</w:t>
      </w:r>
    </w:p>
    <w:p>
      <w:pPr>
        <w:spacing w:after="0" w:before="0"/>
      </w:pPr>
      <w:r>
        <w:t xml:space="preserve"/>
      </w:r>
    </w:p>
    <w:p>
      <w:pPr>
        <w:pStyle w:val="Heading2"/>
        <w:spacing w:after="120" w:before="280"/>
      </w:pPr>
      <w:r>
        <w:rPr>
          <w:rFonts w:ascii="Arial" w:cs="Arial" w:eastAsia="Arial" w:hAnsi="Arial"/>
          <w:b/>
          <w:bCs/>
          <w:color w:val="2D6E50"/>
          <w:sz w:val="26"/>
          <w:szCs w:val="26"/>
        </w:rPr>
        <w:t xml:space="preserve">Source 2: Utility Portal CSV (Electricity Data)</w:t>
      </w:r>
    </w:p>
    <w:p>
      <w:pPr>
        <w:spacing w:after="120" w:before="80"/>
      </w:pPr>
      <w:r>
        <w:rPr>
          <w:rFonts w:ascii="Arial" w:cs="Arial" w:eastAsia="Arial" w:hAnsi="Arial"/>
          <w:sz w:val="22"/>
          <w:szCs w:val="22"/>
        </w:rPr>
        <w:t xml:space="preserve">Every factory and office pays an electricity bill. In India, utilities like MSEDCL (Maharashtra), BESCOM (Karnataka), and TSSPDCL (Telangana) provide a CSV export from their customer portal.</w:t>
      </w:r>
    </w:p>
    <w:p>
      <w:pPr>
        <w:spacing w:after="120" w:before="80"/>
      </w:pPr>
      <w:r>
        <w:rPr>
          <w:rFonts w:ascii="Arial" w:cs="Arial" w:eastAsia="Arial" w:hAnsi="Arial"/>
          <w:sz w:val="22"/>
          <w:szCs w:val="22"/>
        </w:rPr>
        <w:t xml:space="preserve">Why is utility data messy?</w:t>
      </w:r>
    </w:p>
    <w:p>
      <w:pPr>
        <w:pStyle w:val="ListParagraph"/>
        <w:numPr>
          <w:ilvl w:val="0"/>
          <w:numId w:val="2"/>
        </w:numPr>
        <w:spacing w:after="40" w:before="40"/>
      </w:pPr>
      <w:r>
        <w:rPr>
          <w:rFonts w:ascii="Arial" w:cs="Arial" w:eastAsia="Arial" w:hAnsi="Arial"/>
          <w:sz w:val="22"/>
          <w:szCs w:val="22"/>
        </w:rPr>
        <w:t xml:space="preserve">Billing periods do not match calendar months. A bill might cover December 15 to January 14. That means it spans two reporting months. We handle this by using the midpoint of the billing period as the activity date.</w:t>
      </w:r>
    </w:p>
    <w:p>
      <w:pPr>
        <w:pStyle w:val="ListParagraph"/>
        <w:numPr>
          <w:ilvl w:val="0"/>
          <w:numId w:val="2"/>
        </w:numPr>
        <w:spacing w:after="40" w:before="40"/>
      </w:pPr>
      <w:r>
        <w:rPr>
          <w:rFonts w:ascii="Arial" w:cs="Arial" w:eastAsia="Arial" w:hAnsi="Arial"/>
          <w:sz w:val="22"/>
          <w:szCs w:val="22"/>
        </w:rPr>
        <w:t xml:space="preserve">Multiple meters per building. A factory might have one High Tension (HT) connection for heavy machinery and one Low Tension (LT) connection for lighting. Both count as Scope 2.</w:t>
      </w:r>
    </w:p>
    <w:p>
      <w:pPr>
        <w:pStyle w:val="ListParagraph"/>
        <w:numPr>
          <w:ilvl w:val="0"/>
          <w:numId w:val="2"/>
        </w:numPr>
        <w:spacing w:after="40" w:before="40"/>
      </w:pPr>
      <w:r>
        <w:rPr>
          <w:rFonts w:ascii="Arial" w:cs="Arial" w:eastAsia="Arial" w:hAnsi="Arial"/>
          <w:sz w:val="22"/>
          <w:szCs w:val="22"/>
        </w:rPr>
        <w:t xml:space="preserve">In India, electricity consumption is sometimes measured in "Units" instead of kWh. They are the same thing (1 Unit = 1 kWh), but our normalizer handles both labels.</w:t>
      </w:r>
    </w:p>
    <w:p>
      <w:pPr>
        <w:pStyle w:val="ListParagraph"/>
        <w:numPr>
          <w:ilvl w:val="0"/>
          <w:numId w:val="2"/>
        </w:numPr>
        <w:spacing w:after="40" w:before="40"/>
      </w:pPr>
      <w:r>
        <w:rPr>
          <w:rFonts w:ascii="Arial" w:cs="Arial" w:eastAsia="Arial" w:hAnsi="Arial"/>
          <w:sz w:val="22"/>
          <w:szCs w:val="22"/>
        </w:rPr>
        <w:t xml:space="preserve">A consumption of 0 kWh is suspicious — it might mean the meter was not read. Our system auto-flags this.</w:t>
      </w:r>
    </w:p>
    <w:p>
      <w:pPr>
        <w:spacing w:after="0" w:before="0"/>
      </w:pPr>
      <w:r>
        <w:t xml:space="preserve"/>
      </w:r>
    </w:p>
    <w:p>
      <w:pPr>
        <w:pStyle w:val="Heading2"/>
        <w:spacing w:after="120" w:before="280"/>
      </w:pPr>
      <w:r>
        <w:rPr>
          <w:rFonts w:ascii="Arial" w:cs="Arial" w:eastAsia="Arial" w:hAnsi="Arial"/>
          <w:b/>
          <w:bCs/>
          <w:color w:val="2D6E50"/>
          <w:sz w:val="26"/>
          <w:szCs w:val="26"/>
        </w:rPr>
        <w:t xml:space="preserve">Source 3: Concur Expense Export (Corporate Travel Data)</w:t>
      </w:r>
    </w:p>
    <w:p>
      <w:pPr>
        <w:spacing w:after="120" w:before="80"/>
      </w:pPr>
      <w:r>
        <w:rPr>
          <w:rFonts w:ascii="Arial" w:cs="Arial" w:eastAsia="Arial" w:hAnsi="Arial"/>
          <w:sz w:val="22"/>
          <w:szCs w:val="22"/>
        </w:rPr>
        <w:t xml:space="preserve">Concur is the most popular corporate expense management platform. When employees book flights, hotels, and taxis for business trips, all of it is recorded in Concur. Finance departments can export this data as a CSV.</w:t>
      </w:r>
    </w:p>
    <w:p>
      <w:pPr>
        <w:spacing w:after="120" w:before="80"/>
      </w:pPr>
      <w:r>
        <w:rPr>
          <w:rFonts w:ascii="Arial" w:cs="Arial" w:eastAsia="Arial" w:hAnsi="Arial"/>
          <w:sz w:val="22"/>
          <w:szCs w:val="22"/>
        </w:rPr>
        <w:t xml:space="preserve">Why is travel data messy?</w:t>
      </w:r>
    </w:p>
    <w:p>
      <w:pPr>
        <w:pStyle w:val="ListParagraph"/>
        <w:numPr>
          <w:ilvl w:val="0"/>
          <w:numId w:val="2"/>
        </w:numPr>
        <w:spacing w:after="40" w:before="40"/>
      </w:pPr>
      <w:r>
        <w:rPr>
          <w:rFonts w:ascii="Arial" w:cs="Arial" w:eastAsia="Arial" w:hAnsi="Arial"/>
          <w:sz w:val="22"/>
          <w:szCs w:val="22"/>
        </w:rPr>
        <w:t xml:space="preserve">Flights do not come with distances. The record only shows "BOM to LHR" (Mumbai to London Heathrow). We have to calculate the distance ourselves using the Haversine formula, which calculates the shortest path on a sphere (the Earth) between two airports.</w:t>
      </w:r>
    </w:p>
    <w:p>
      <w:pPr>
        <w:pStyle w:val="ListParagraph"/>
        <w:numPr>
          <w:ilvl w:val="0"/>
          <w:numId w:val="2"/>
        </w:numPr>
        <w:spacing w:after="40" w:before="40"/>
      </w:pPr>
      <w:r>
        <w:rPr>
          <w:rFonts w:ascii="Arial" w:cs="Arial" w:eastAsia="Arial" w:hAnsi="Arial"/>
          <w:sz w:val="22"/>
          <w:szCs w:val="22"/>
        </w:rPr>
        <w:t xml:space="preserve">Ground transport often has no distance. A taxi receipt shows the amount paid (₹2,200) but not kilometres. We estimate distance by dividing amount by average rate per km (₹15/km for India). We flag these as estimated.</w:t>
      </w:r>
    </w:p>
    <w:p>
      <w:pPr>
        <w:pStyle w:val="ListParagraph"/>
        <w:numPr>
          <w:ilvl w:val="0"/>
          <w:numId w:val="2"/>
        </w:numPr>
        <w:spacing w:after="40" w:before="40"/>
      </w:pPr>
      <w:r>
        <w:rPr>
          <w:rFonts w:ascii="Arial" w:cs="Arial" w:eastAsia="Arial" w:hAnsi="Arial"/>
          <w:sz w:val="22"/>
          <w:szCs w:val="22"/>
        </w:rPr>
        <w:t xml:space="preserve">Hotel emissions depend on location. A hotel night in India emits less (18.5 kgCO2e) than in the UK (31 kgCO2e) because India's hotel sector uses more diesel generators. We pick the right factor based on country.</w:t>
      </w:r>
    </w:p>
    <w:p>
      <w:pPr>
        <w:pStyle w:val="ListParagraph"/>
        <w:numPr>
          <w:ilvl w:val="0"/>
          <w:numId w:val="2"/>
        </w:numPr>
        <w:spacing w:after="40" w:before="40"/>
      </w:pPr>
      <w:r>
        <w:rPr>
          <w:rFonts w:ascii="Arial" w:cs="Arial" w:eastAsia="Arial" w:hAnsi="Arial"/>
          <w:sz w:val="22"/>
          <w:szCs w:val="22"/>
        </w:rPr>
        <w:t xml:space="preserve">Not all expense types are relevant. Conference registration fees, visa costs, and meal expenses are not counted in Scope 3 emissions. We skip those rows.</w:t>
      </w:r>
    </w:p>
    <w:p>
      <w:pPr>
        <w:spacing w:after="0" w:before="0"/>
      </w:pPr>
      <w:r>
        <w:t xml:space="preserve"/>
      </w:r>
    </w:p>
    <w:p>
      <w:pPr>
        <w:pStyle w:val="Heading1"/>
        <w:spacing w:after="160" w:before="400"/>
      </w:pPr>
      <w:r>
        <w:rPr>
          <w:rFonts w:ascii="Arial" w:cs="Arial" w:eastAsia="Arial" w:hAnsi="Arial"/>
          <w:b/>
          <w:bCs/>
          <w:color w:val="1D4E35"/>
          <w:sz w:val="32"/>
          <w:szCs w:val="32"/>
        </w:rPr>
        <w:t xml:space="preserve">Part 4: What Happens to the Data After It Comes In?</w:t>
      </w:r>
    </w:p>
    <w:p>
      <w:pPr>
        <w:spacing w:after="120" w:before="80"/>
      </w:pPr>
      <w:r>
        <w:rPr>
          <w:rFonts w:ascii="Arial" w:cs="Arial" w:eastAsia="Arial" w:hAnsi="Arial"/>
          <w:sz w:val="22"/>
          <w:szCs w:val="22"/>
        </w:rPr>
        <w:t xml:space="preserve">Every piece of data goes through a 4-step pipeline:</w:t>
      </w:r>
    </w:p>
    <w:p>
      <w:pPr>
        <w:spacing w:after="0" w:before="0"/>
      </w:pPr>
      <w:r>
        <w:t xml:space="preserve"/>
      </w:r>
    </w:p>
    <w:p>
      <w:pPr>
        <w:pStyle w:val="ListParagraph"/>
        <w:numPr>
          <w:ilvl w:val="0"/>
          <w:numId w:val="3"/>
        </w:numPr>
        <w:spacing w:after="40" w:before="40"/>
      </w:pPr>
      <w:r>
        <w:rPr>
          <w:rFonts w:ascii="Arial" w:cs="Arial" w:eastAsia="Arial" w:hAnsi="Arial"/>
          <w:sz w:val="22"/>
          <w:szCs w:val="22"/>
        </w:rPr>
        <w:t xml:space="preserve">INGEST: The analyst uploads a CSV file. Our system reads every row and saves an exact copy of the original data. This copy is called the RawRecord and it is never changed. Ever. This is your proof of what came in.</w:t>
      </w:r>
    </w:p>
    <w:p>
      <w:pPr>
        <w:pStyle w:val="ListParagraph"/>
        <w:numPr>
          <w:ilvl w:val="0"/>
          <w:numId w:val="3"/>
        </w:numPr>
        <w:spacing w:after="40" w:before="40"/>
      </w:pPr>
      <w:r>
        <w:rPr>
          <w:rFonts w:ascii="Arial" w:cs="Arial" w:eastAsia="Arial" w:hAnsi="Arial"/>
          <w:sz w:val="22"/>
          <w:szCs w:val="22"/>
        </w:rPr>
        <w:t xml:space="preserve">NORMALIZE: We convert units to our standard units (always Litres, always kWh, always km). We also map material codes to fuel types and plant codes to real location names.</w:t>
      </w:r>
    </w:p>
    <w:p>
      <w:pPr>
        <w:pStyle w:val="ListParagraph"/>
        <w:numPr>
          <w:ilvl w:val="0"/>
          <w:numId w:val="3"/>
        </w:numPr>
        <w:spacing w:after="40" w:before="40"/>
      </w:pPr>
      <w:r>
        <w:rPr>
          <w:rFonts w:ascii="Arial" w:cs="Arial" w:eastAsia="Arial" w:hAnsi="Arial"/>
          <w:sz w:val="22"/>
          <w:szCs w:val="22"/>
        </w:rPr>
        <w:t xml:space="preserve">CALCULATE: We multiply the normalized quantity by the emission factor. Emission factors come from DEFRA 2024 (UK Government). Example: 12,500 litres of diesel × 2.51 kgCO2e/litre = 31,375 kgCO2e.</w:t>
      </w:r>
    </w:p>
    <w:p>
      <w:pPr>
        <w:pStyle w:val="ListParagraph"/>
        <w:numPr>
          <w:ilvl w:val="0"/>
          <w:numId w:val="3"/>
        </w:numPr>
        <w:spacing w:after="40" w:before="40"/>
      </w:pPr>
      <w:r>
        <w:rPr>
          <w:rFonts w:ascii="Arial" w:cs="Arial" w:eastAsia="Arial" w:hAnsi="Arial"/>
          <w:sz w:val="22"/>
          <w:szCs w:val="22"/>
        </w:rPr>
        <w:t xml:space="preserve">REVIEW AND LOCK: An analyst looks at each record in the dashboard. They can approve it (which locks it permanently), flag it for investigation, or reject it. Once approved, the record cannot be changed. This is the audit trail.</w:t>
      </w:r>
    </w:p>
    <w:p>
      <w:pPr>
        <w:spacing w:after="0" w:before="0"/>
      </w:pPr>
      <w:r>
        <w:t xml:space="preserve"/>
      </w:r>
    </w:p>
    <w:p>
      <w:pPr>
        <w:pStyle w:val="Heading1"/>
        <w:spacing w:after="160" w:before="400"/>
      </w:pPr>
      <w:r>
        <w:rPr>
          <w:rFonts w:ascii="Arial" w:cs="Arial" w:eastAsia="Arial" w:hAnsi="Arial"/>
          <w:b/>
          <w:bCs/>
          <w:color w:val="1D4E35"/>
          <w:sz w:val="32"/>
          <w:szCs w:val="32"/>
        </w:rPr>
        <w:t xml:space="preserve">Part 5: Why Is the Data Model Designed This Way?</w:t>
      </w:r>
    </w:p>
    <w:p>
      <w:pPr>
        <w:spacing w:after="120" w:before="80"/>
      </w:pPr>
      <w:r>
        <w:rPr>
          <w:rFonts w:ascii="Arial" w:cs="Arial" w:eastAsia="Arial" w:hAnsi="Arial"/>
          <w:sz w:val="22"/>
          <w:szCs w:val="22"/>
        </w:rPr>
        <w:t xml:space="preserve">The most important design decision in this project is splitting data into two layers: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2"/>
                <w:szCs w:val="22"/>
              </w:rPr>
              <w:t xml:space="preserve">Layer</w:t>
            </w:r>
          </w:p>
        </w:tc>
        <w:tc>
          <w:tcPr>
            <w:tcW w:type="dxa" w:w="348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2"/>
                <w:szCs w:val="22"/>
              </w:rPr>
              <w:t xml:space="preserve">RawRecord</w:t>
            </w:r>
          </w:p>
        </w:tc>
        <w:tc>
          <w:tcPr>
            <w:tcW w:type="dxa" w:w="348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2"/>
                <w:szCs w:val="22"/>
              </w:rPr>
              <w:t xml:space="preserve">EmissionRecord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 it is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Exact copy of the original row from the file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Normalized, calculated, analyst-reviewed version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 it be edited?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 immutable forever</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 analysts can correct values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Why does it exist?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Proof of what the source system sent us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 we actually report to auditors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Analogy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Original doctor prescription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Translated and verified prescription</w:t>
            </w:r>
          </w:p>
        </w:tc>
      </w:tr>
    </w:tbl>
    <w:p>
      <w:pPr>
        <w:spacing w:after="0" w:before="0"/>
      </w:pPr>
      <w:r>
        <w:t xml:space="preserve"/>
      </w:r>
    </w:p>
    <w:p>
      <w:pPr>
        <w:spacing w:after="0" w:before="0"/>
      </w:pPr>
      <w:r>
        <w:t xml:space="preserve"/>
      </w:r>
    </w:p>
    <w:p>
      <w:pPr>
        <w:spacing w:after="120" w:before="80"/>
      </w:pPr>
      <w:r>
        <w:rPr>
          <w:rFonts w:ascii="Arial" w:cs="Arial" w:eastAsia="Arial" w:hAnsi="Arial"/>
          <w:sz w:val="22"/>
          <w:szCs w:val="22"/>
        </w:rPr>
        <w:t xml:space="preserve">An auditor can ask: "What did SAP actually say?" and we show the RawRecord. Then they ask: "What did you report?" and we show the EmissionRecord. If the analyst corrected a value (e.g., fixed a wrong unit), that correction is recorded in the AuditLog with their name and timestamp.</w:t>
      </w:r>
    </w:p>
    <w:p>
      <w:pPr>
        <w:spacing w:after="0" w:before="0"/>
      </w:pPr>
      <w:r>
        <w:t xml:space="preserve"/>
      </w:r>
    </w:p>
    <w:p>
      <w:pPr>
        <w:pStyle w:val="Heading1"/>
        <w:spacing w:after="160" w:before="400"/>
      </w:pPr>
      <w:r>
        <w:rPr>
          <w:rFonts w:ascii="Arial" w:cs="Arial" w:eastAsia="Arial" w:hAnsi="Arial"/>
          <w:b/>
          <w:bCs/>
          <w:color w:val="1D4E35"/>
          <w:sz w:val="32"/>
          <w:szCs w:val="32"/>
        </w:rPr>
        <w:t xml:space="preserve">Part 6: What Is an Emission Factor and Where Do the Numbers Come From?</w:t>
      </w:r>
    </w:p>
    <w:p>
      <w:pPr>
        <w:spacing w:after="120" w:before="80"/>
      </w:pPr>
      <w:r>
        <w:rPr>
          <w:rFonts w:ascii="Arial" w:cs="Arial" w:eastAsia="Arial" w:hAnsi="Arial"/>
          <w:sz w:val="22"/>
          <w:szCs w:val="22"/>
        </w:rPr>
        <w:t xml:space="preserve">An emission factor converts a physical activity (burning 1 litre of diesel) into its carbon equivalent (how much CO2 was produced). The unit is kgCO2e per unit of activity.</w:t>
      </w:r>
    </w:p>
    <w:p>
      <w:pPr>
        <w:spacing w:after="120" w:before="80"/>
      </w:pPr>
      <w:r>
        <w:rPr>
          <w:rFonts w:ascii="Arial" w:cs="Arial" w:eastAsia="Arial" w:hAnsi="Arial"/>
          <w:sz w:val="22"/>
          <w:szCs w:val="22"/>
        </w:rPr>
        <w:t xml:space="preserve">CO2e means "CO2 equivalent" — it accounts for all greenhouse gases (CO2, methane, nitrous oxide) in one number.</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2280"/>
        <w:gridCol w:w="2000"/>
      </w:tblGrid>
      <w:tr>
        <w:tc>
          <w:tcPr>
            <w:tcW w:type="dxa" w:w="280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2"/>
                <w:szCs w:val="22"/>
              </w:rPr>
              <w:t xml:space="preserve">Activity</w:t>
            </w:r>
          </w:p>
        </w:tc>
        <w:tc>
          <w:tcPr>
            <w:tcW w:type="dxa" w:w="228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2"/>
                <w:szCs w:val="22"/>
              </w:rPr>
              <w:t xml:space="preserve">Factor</w:t>
            </w:r>
          </w:p>
        </w:tc>
        <w:tc>
          <w:tcPr>
            <w:tcW w:type="dxa" w:w="228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2"/>
                <w:szCs w:val="22"/>
              </w:rPr>
              <w:t xml:space="preserve">Unit</w:t>
            </w:r>
          </w:p>
        </w:tc>
        <w:tc>
          <w:tcPr>
            <w:tcW w:type="dxa" w:w="200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2"/>
                <w:szCs w:val="22"/>
              </w:rPr>
              <w:t xml:space="preserve">Source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Diesel combustion</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2.51</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kgCO2e / litre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DEFRA 2024</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Petrol combustion</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2.31</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kgCO2e / litre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DEFRA 2024</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India electricity grid</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0.82</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kgCO2e / kWh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CEA 2023</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Long-haul economy flight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0.195</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kgCO2e / km / person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DEFRA 2024</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Long-haul business class flight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0.429</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kgCO2e / km / person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DEFRA 2024</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Hotel night (India)</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18.5</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kgCO2e / night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DEFRA 2024</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Taxi / rideshare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0.149</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kgCO2e / km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DEFRA 2024</w:t>
            </w:r>
          </w:p>
        </w:tc>
      </w:tr>
    </w:tbl>
    <w:p>
      <w:pPr>
        <w:spacing w:after="0" w:before="0"/>
      </w:pPr>
      <w:r>
        <w:t xml:space="preserve"/>
      </w:r>
    </w:p>
    <w:p>
      <w:pPr>
        <w:spacing w:after="0" w:before="0"/>
      </w:pPr>
      <w:r>
        <w:t xml:space="preserve"/>
      </w:r>
    </w:p>
    <w:p>
      <w:pPr>
        <w:spacing w:after="120" w:before="80"/>
      </w:pPr>
      <w:r>
        <w:rPr>
          <w:rFonts w:ascii="Arial" w:cs="Arial" w:eastAsia="Arial" w:hAnsi="Arial"/>
          <w:sz w:val="22"/>
          <w:szCs w:val="22"/>
        </w:rPr>
        <w:t xml:space="preserve">DEFRA is the UK Government's Department for Environment, Food and Rural Affairs. They publish a free, annually updated set of emission factors that are accepted by auditors worldwide.</w:t>
      </w:r>
    </w:p>
    <w:p>
      <w:pPr>
        <w:spacing w:after="120" w:before="80"/>
      </w:pPr>
      <w:r>
        <w:rPr>
          <w:rFonts w:ascii="Arial" w:cs="Arial" w:eastAsia="Arial" w:hAnsi="Arial"/>
          <w:sz w:val="22"/>
          <w:szCs w:val="22"/>
        </w:rPr>
        <w:t xml:space="preserve">CEA is India's Central Electricity Authority. They publish the grid emission factor for India every year. India's grid is heavily coal-based, which is why it is 0.82 (much higher than the UK's 0.207).</w:t>
      </w:r>
    </w:p>
    <w:p>
      <w:pPr>
        <w:spacing w:after="0" w:before="0"/>
      </w:pPr>
      <w:r>
        <w:t xml:space="preserve"/>
      </w:r>
    </w:p>
    <w:p>
      <w:pPr>
        <w:pStyle w:val="Heading1"/>
        <w:spacing w:after="160" w:before="400"/>
      </w:pPr>
      <w:r>
        <w:rPr>
          <w:rFonts w:ascii="Arial" w:cs="Arial" w:eastAsia="Arial" w:hAnsi="Arial"/>
          <w:b/>
          <w:bCs/>
          <w:color w:val="1D4E35"/>
          <w:sz w:val="32"/>
          <w:szCs w:val="32"/>
        </w:rPr>
        <w:t xml:space="preserve">Part 7: How Does Suspicious Auto-Flagging Work?</w:t>
      </w:r>
    </w:p>
    <w:p>
      <w:pPr>
        <w:spacing w:after="120" w:before="80"/>
      </w:pPr>
      <w:r>
        <w:rPr>
          <w:rFonts w:ascii="Arial" w:cs="Arial" w:eastAsia="Arial" w:hAnsi="Arial"/>
          <w:sz w:val="22"/>
          <w:szCs w:val="22"/>
        </w:rPr>
        <w:t xml:space="preserve">When a row is parsed, the system automatically checks for problems and marks suspicious rows with an orange dot on the dashboard. The analyst must review these before approving.</w:t>
      </w:r>
    </w:p>
    <w:p>
      <w:pPr>
        <w:spacing w:after="120" w:before="80"/>
      </w:pPr>
      <w:r>
        <w:rPr>
          <w:rFonts w:ascii="Arial" w:cs="Arial" w:eastAsia="Arial" w:hAnsi="Arial"/>
          <w:sz w:val="22"/>
          <w:szCs w:val="22"/>
        </w:rPr>
        <w:t xml:space="preserve">For SAP data, a row is flagged if:</w:t>
      </w:r>
    </w:p>
    <w:p>
      <w:pPr>
        <w:pStyle w:val="ListParagraph"/>
        <w:numPr>
          <w:ilvl w:val="0"/>
          <w:numId w:val="2"/>
        </w:numPr>
        <w:spacing w:after="40" w:before="40"/>
      </w:pPr>
      <w:r>
        <w:rPr>
          <w:rFonts w:ascii="Arial" w:cs="Arial" w:eastAsia="Arial" w:hAnsi="Arial"/>
          <w:sz w:val="22"/>
          <w:szCs w:val="22"/>
        </w:rPr>
        <w:t xml:space="preserve">The quantity is zero or negative</w:t>
      </w:r>
    </w:p>
    <w:p>
      <w:pPr>
        <w:pStyle w:val="ListParagraph"/>
        <w:numPr>
          <w:ilvl w:val="0"/>
          <w:numId w:val="2"/>
        </w:numPr>
        <w:spacing w:after="40" w:before="40"/>
      </w:pPr>
      <w:r>
        <w:rPr>
          <w:rFonts w:ascii="Arial" w:cs="Arial" w:eastAsia="Arial" w:hAnsi="Arial"/>
          <w:sz w:val="22"/>
          <w:szCs w:val="22"/>
        </w:rPr>
        <w:t xml:space="preserve">The quantity is over 500,000 litres (unrealistic for a single purchase order line)</w:t>
      </w:r>
    </w:p>
    <w:p>
      <w:pPr>
        <w:pStyle w:val="ListParagraph"/>
        <w:numPr>
          <w:ilvl w:val="0"/>
          <w:numId w:val="2"/>
        </w:numPr>
        <w:spacing w:after="40" w:before="40"/>
      </w:pPr>
      <w:r>
        <w:rPr>
          <w:rFonts w:ascii="Arial" w:cs="Arial" w:eastAsia="Arial" w:hAnsi="Arial"/>
          <w:sz w:val="22"/>
          <w:szCs w:val="22"/>
        </w:rPr>
        <w:t xml:space="preserve">The unit does not match the expected type (e.g., diesel measured in kWh)</w:t>
      </w:r>
    </w:p>
    <w:p>
      <w:pPr>
        <w:pStyle w:val="ListParagraph"/>
        <w:numPr>
          <w:ilvl w:val="0"/>
          <w:numId w:val="2"/>
        </w:numPr>
        <w:spacing w:after="40" w:before="40"/>
      </w:pPr>
      <w:r>
        <w:rPr>
          <w:rFonts w:ascii="Arial" w:cs="Arial" w:eastAsia="Arial" w:hAnsi="Arial"/>
          <w:sz w:val="22"/>
          <w:szCs w:val="22"/>
        </w:rPr>
        <w:t xml:space="preserve">The plant code is not in our lookup table</w:t>
      </w:r>
    </w:p>
    <w:p>
      <w:pPr>
        <w:spacing w:after="0" w:before="0"/>
      </w:pPr>
      <w:r>
        <w:t xml:space="preserve"/>
      </w:r>
    </w:p>
    <w:p>
      <w:pPr>
        <w:spacing w:after="120" w:before="80"/>
      </w:pPr>
      <w:r>
        <w:rPr>
          <w:rFonts w:ascii="Arial" w:cs="Arial" w:eastAsia="Arial" w:hAnsi="Arial"/>
          <w:sz w:val="22"/>
          <w:szCs w:val="22"/>
        </w:rPr>
        <w:t xml:space="preserve">For electricity data, a row is flagged if:</w:t>
      </w:r>
    </w:p>
    <w:p>
      <w:pPr>
        <w:pStyle w:val="ListParagraph"/>
        <w:numPr>
          <w:ilvl w:val="0"/>
          <w:numId w:val="2"/>
        </w:numPr>
        <w:spacing w:after="40" w:before="40"/>
      </w:pPr>
      <w:r>
        <w:rPr>
          <w:rFonts w:ascii="Arial" w:cs="Arial" w:eastAsia="Arial" w:hAnsi="Arial"/>
          <w:sz w:val="22"/>
          <w:szCs w:val="22"/>
        </w:rPr>
        <w:t xml:space="preserve">Consumption is zero kWh (missed meter reading)</w:t>
      </w:r>
    </w:p>
    <w:p>
      <w:pPr>
        <w:pStyle w:val="ListParagraph"/>
        <w:numPr>
          <w:ilvl w:val="0"/>
          <w:numId w:val="2"/>
        </w:numPr>
        <w:spacing w:after="40" w:before="40"/>
      </w:pPr>
      <w:r>
        <w:rPr>
          <w:rFonts w:ascii="Arial" w:cs="Arial" w:eastAsia="Arial" w:hAnsi="Arial"/>
          <w:sz w:val="22"/>
          <w:szCs w:val="22"/>
        </w:rPr>
        <w:t xml:space="preserve">Consumption is over 2,000,000 kWh per month (only possible for very large industrial plants)</w:t>
      </w:r>
    </w:p>
    <w:p>
      <w:pPr>
        <w:pStyle w:val="ListParagraph"/>
        <w:numPr>
          <w:ilvl w:val="0"/>
          <w:numId w:val="2"/>
        </w:numPr>
        <w:spacing w:after="40" w:before="40"/>
      </w:pPr>
      <w:r>
        <w:rPr>
          <w:rFonts w:ascii="Arial" w:cs="Arial" w:eastAsia="Arial" w:hAnsi="Arial"/>
          <w:sz w:val="22"/>
          <w:szCs w:val="22"/>
        </w:rPr>
        <w:t xml:space="preserve">Billing period is more than 90 days (utility skipped a cycle)</w:t>
      </w:r>
    </w:p>
    <w:p>
      <w:pPr>
        <w:pStyle w:val="ListParagraph"/>
        <w:numPr>
          <w:ilvl w:val="0"/>
          <w:numId w:val="2"/>
        </w:numPr>
        <w:spacing w:after="40" w:before="40"/>
      </w:pPr>
      <w:r>
        <w:rPr>
          <w:rFonts w:ascii="Arial" w:cs="Arial" w:eastAsia="Arial" w:hAnsi="Arial"/>
          <w:sz w:val="22"/>
          <w:szCs w:val="22"/>
        </w:rPr>
        <w:t xml:space="preserve">Daily average consumption is less than 1 kWh (suspiciously low for a commercial account)</w:t>
      </w:r>
    </w:p>
    <w:p>
      <w:pPr>
        <w:spacing w:after="0" w:before="0"/>
      </w:pPr>
      <w:r>
        <w:t xml:space="preserve"/>
      </w:r>
    </w:p>
    <w:p>
      <w:pPr>
        <w:spacing w:after="120" w:before="80"/>
      </w:pPr>
      <w:r>
        <w:rPr>
          <w:rFonts w:ascii="Arial" w:cs="Arial" w:eastAsia="Arial" w:hAnsi="Arial"/>
          <w:sz w:val="22"/>
          <w:szCs w:val="22"/>
        </w:rPr>
        <w:t xml:space="preserve">For travel data, a row is flagged if:</w:t>
      </w:r>
    </w:p>
    <w:p>
      <w:pPr>
        <w:pStyle w:val="ListParagraph"/>
        <w:numPr>
          <w:ilvl w:val="0"/>
          <w:numId w:val="2"/>
        </w:numPr>
        <w:spacing w:after="40" w:before="40"/>
      </w:pPr>
      <w:r>
        <w:rPr>
          <w:rFonts w:ascii="Arial" w:cs="Arial" w:eastAsia="Arial" w:hAnsi="Arial"/>
          <w:sz w:val="22"/>
          <w:szCs w:val="22"/>
        </w:rPr>
        <w:t xml:space="preserve">Distance had to be estimated from the expense amount (taxi with no km recorded)</w:t>
      </w:r>
    </w:p>
    <w:p>
      <w:pPr>
        <w:pStyle w:val="ListParagraph"/>
        <w:numPr>
          <w:ilvl w:val="0"/>
          <w:numId w:val="2"/>
        </w:numPr>
        <w:spacing w:after="40" w:before="40"/>
      </w:pPr>
      <w:r>
        <w:rPr>
          <w:rFonts w:ascii="Arial" w:cs="Arial" w:eastAsia="Arial" w:hAnsi="Arial"/>
          <w:sz w:val="22"/>
          <w:szCs w:val="22"/>
        </w:rPr>
        <w:t xml:space="preserve">Hotel stay is more than 30 nights</w:t>
      </w:r>
    </w:p>
    <w:p>
      <w:pPr>
        <w:pStyle w:val="ListParagraph"/>
        <w:numPr>
          <w:ilvl w:val="0"/>
          <w:numId w:val="2"/>
        </w:numPr>
        <w:spacing w:after="40" w:before="40"/>
      </w:pPr>
      <w:r>
        <w:rPr>
          <w:rFonts w:ascii="Arial" w:cs="Arial" w:eastAsia="Arial" w:hAnsi="Arial"/>
          <w:sz w:val="22"/>
          <w:szCs w:val="22"/>
        </w:rPr>
        <w:t xml:space="preserve">Airport code not found in our database</w:t>
      </w:r>
    </w:p>
    <w:p>
      <w:pPr>
        <w:spacing w:after="0" w:before="0"/>
      </w:pPr>
      <w:r>
        <w:t xml:space="preserve"/>
      </w:r>
    </w:p>
    <w:p>
      <w:pPr>
        <w:pStyle w:val="Heading1"/>
        <w:spacing w:after="160" w:before="400"/>
      </w:pPr>
      <w:r>
        <w:rPr>
          <w:rFonts w:ascii="Arial" w:cs="Arial" w:eastAsia="Arial" w:hAnsi="Arial"/>
          <w:b/>
          <w:bCs/>
          <w:color w:val="1D4E35"/>
          <w:sz w:val="32"/>
          <w:szCs w:val="32"/>
        </w:rPr>
        <w:t xml:space="preserve">Part 8: What Questions Will They Ask You in the Review Interview?</w:t>
      </w:r>
    </w:p>
    <w:p>
      <w:pPr>
        <w:pStyle w:val="Heading2"/>
        <w:spacing w:after="120" w:before="280"/>
      </w:pPr>
      <w:r>
        <w:rPr>
          <w:rFonts w:ascii="Arial" w:cs="Arial" w:eastAsia="Arial" w:hAnsi="Arial"/>
          <w:b/>
          <w:bCs/>
          <w:color w:val="2D6E50"/>
          <w:sz w:val="26"/>
          <w:szCs w:val="26"/>
        </w:rPr>
        <w:t xml:space="preserve">"Why did you choose flat file for SAP instead of IDoc or OData?"</w:t>
      </w:r>
    </w:p>
    <w:p>
      <w:pPr>
        <w:spacing w:after="120" w:before="80"/>
      </w:pPr>
      <w:r>
        <w:rPr>
          <w:rFonts w:ascii="Arial" w:cs="Arial" w:eastAsia="Arial" w:hAnsi="Arial"/>
          <w:sz w:val="22"/>
          <w:szCs w:val="22"/>
        </w:rPr>
        <w:t xml:space="preserve">Because: IDoc requires SAP middleware (XI/PI/CPI). OData requires SAP Gateway configuration and firewall exceptions. Both require an IT project that takes weeks. Flat file export via transaction SE16N takes a client's SAP administrator 5 minutes. For a new client onboarding prototype, flat file is the realistic choice.</w:t>
      </w:r>
    </w:p>
    <w:p>
      <w:pPr>
        <w:spacing w:after="0" w:before="0"/>
      </w:pPr>
      <w:r>
        <w:t xml:space="preserve"/>
      </w:r>
    </w:p>
    <w:p>
      <w:pPr>
        <w:pStyle w:val="Heading2"/>
        <w:spacing w:after="120" w:before="280"/>
      </w:pPr>
      <w:r>
        <w:rPr>
          <w:rFonts w:ascii="Arial" w:cs="Arial" w:eastAsia="Arial" w:hAnsi="Arial"/>
          <w:b/>
          <w:bCs/>
          <w:color w:val="2D6E50"/>
          <w:sz w:val="26"/>
          <w:szCs w:val="26"/>
        </w:rPr>
        <w:t xml:space="preserve">"Why is RawRecord immutable?"</w:t>
      </w:r>
    </w:p>
    <w:p>
      <w:pPr>
        <w:spacing w:after="120" w:before="80"/>
      </w:pPr>
      <w:r>
        <w:rPr>
          <w:rFonts w:ascii="Arial" w:cs="Arial" w:eastAsia="Arial" w:hAnsi="Arial"/>
          <w:sz w:val="22"/>
          <w:szCs w:val="22"/>
        </w:rPr>
        <w:t xml:space="preserve">Because audit standards (GHG Protocol, ISO 14064) require proving what data you received versus what you reported. If an analyst corrects a value, you need to show: (1) original value from SAP, (2) corrected value, (3) who corrected it, (4) when. The RawRecord provides the original. The AuditLog records the change.</w:t>
      </w:r>
    </w:p>
    <w:p>
      <w:pPr>
        <w:spacing w:after="0" w:before="0"/>
      </w:pPr>
      <w:r>
        <w:t xml:space="preserve"/>
      </w:r>
    </w:p>
    <w:p>
      <w:pPr>
        <w:pStyle w:val="Heading2"/>
        <w:spacing w:after="120" w:before="280"/>
      </w:pPr>
      <w:r>
        <w:rPr>
          <w:rFonts w:ascii="Arial" w:cs="Arial" w:eastAsia="Arial" w:hAnsi="Arial"/>
          <w:b/>
          <w:bCs/>
          <w:color w:val="2D6E50"/>
          <w:sz w:val="26"/>
          <w:szCs w:val="26"/>
        </w:rPr>
        <w:t xml:space="preserve">"Why does the Haversine formula have a 1.08 multiplier?"</w:t>
      </w:r>
    </w:p>
    <w:p>
      <w:pPr>
        <w:spacing w:after="120" w:before="80"/>
      </w:pPr>
      <w:r>
        <w:rPr>
          <w:rFonts w:ascii="Arial" w:cs="Arial" w:eastAsia="Arial" w:hAnsi="Arial"/>
          <w:sz w:val="22"/>
          <w:szCs w:val="22"/>
        </w:rPr>
        <w:t xml:space="preserve">Because aircraft do not fly in perfect straight lines. They follow air traffic control routing, avoid restricted airspace, and sometimes take longer paths due to weather. DEFRA recommends a 1.08 routing factor on top of the great-circle distance to account for this.</w:t>
      </w:r>
    </w:p>
    <w:p>
      <w:pPr>
        <w:spacing w:after="0" w:before="0"/>
      </w:pPr>
      <w:r>
        <w:t xml:space="preserve"/>
      </w:r>
    </w:p>
    <w:p>
      <w:pPr>
        <w:pStyle w:val="Heading2"/>
        <w:spacing w:after="120" w:before="280"/>
      </w:pPr>
      <w:r>
        <w:rPr>
          <w:rFonts w:ascii="Arial" w:cs="Arial" w:eastAsia="Arial" w:hAnsi="Arial"/>
          <w:b/>
          <w:bCs/>
          <w:color w:val="2D6E50"/>
          <w:sz w:val="26"/>
          <w:szCs w:val="26"/>
        </w:rPr>
        <w:t xml:space="preserve">"Why do you use the midpoint of the billing period as the activity date for electricity?"</w:t>
      </w:r>
    </w:p>
    <w:p>
      <w:pPr>
        <w:spacing w:after="120" w:before="80"/>
      </w:pPr>
      <w:r>
        <w:rPr>
          <w:rFonts w:ascii="Arial" w:cs="Arial" w:eastAsia="Arial" w:hAnsi="Arial"/>
          <w:sz w:val="22"/>
          <w:szCs w:val="22"/>
        </w:rPr>
        <w:t xml:space="preserve">Because a billing period of January 15 to February 14 spans two reporting months. If we attribute all consumption to February (the billing month), we overstate February and understate January. Midpoint attribution is a pragmatic approximation. Production systems would apportion consumption proportionally across months.</w:t>
      </w:r>
    </w:p>
    <w:p>
      <w:pPr>
        <w:spacing w:after="0" w:before="0"/>
      </w:pPr>
      <w:r>
        <w:t xml:space="preserve"/>
      </w:r>
    </w:p>
    <w:p>
      <w:pPr>
        <w:pStyle w:val="Heading1"/>
        <w:spacing w:after="160" w:before="400"/>
      </w:pPr>
      <w:r>
        <w:rPr>
          <w:rFonts w:ascii="Arial" w:cs="Arial" w:eastAsia="Arial" w:hAnsi="Arial"/>
          <w:b/>
          <w:bCs/>
          <w:color w:val="1D4E35"/>
          <w:sz w:val="32"/>
          <w:szCs w:val="32"/>
        </w:rPr>
        <w:t xml:space="preserve">Part 9: The Three Documents You Must Submit</w:t>
      </w:r>
    </w:p>
    <w:p>
      <w:pPr>
        <w:pStyle w:val="Heading2"/>
        <w:spacing w:after="120" w:before="280"/>
      </w:pPr>
      <w:r>
        <w:rPr>
          <w:rFonts w:ascii="Arial" w:cs="Arial" w:eastAsia="Arial" w:hAnsi="Arial"/>
          <w:b/>
          <w:bCs/>
          <w:color w:val="2D6E50"/>
          <w:sz w:val="26"/>
          <w:szCs w:val="26"/>
        </w:rPr>
        <w:t xml:space="preserve">MODEL.md — Your Data Model and Why</w:t>
      </w:r>
    </w:p>
    <w:p>
      <w:pPr>
        <w:spacing w:after="120" w:before="80"/>
      </w:pPr>
      <w:r>
        <w:rPr>
          <w:rFonts w:ascii="Arial" w:cs="Arial" w:eastAsia="Arial" w:hAnsi="Arial"/>
          <w:sz w:val="22"/>
          <w:szCs w:val="22"/>
        </w:rPr>
        <w:t xml:space="preserve">Explain your database tables and the relationships between them. The key thing the evaluators want to see is: (1) multi-tenancy, (2) the RawRecord / EmissionRecord split, (3) the AuditLog, (4) scope classification, (5) unit normalization.</w:t>
      </w:r>
    </w:p>
    <w:p>
      <w:pPr>
        <w:spacing w:after="0" w:before="0"/>
      </w:pPr>
      <w:r>
        <w:t xml:space="preserve"/>
      </w:r>
    </w:p>
    <w:p>
      <w:pPr>
        <w:pStyle w:val="Heading2"/>
        <w:spacing w:after="120" w:before="280"/>
      </w:pPr>
      <w:r>
        <w:rPr>
          <w:rFonts w:ascii="Arial" w:cs="Arial" w:eastAsia="Arial" w:hAnsi="Arial"/>
          <w:b/>
          <w:bCs/>
          <w:color w:val="2D6E50"/>
          <w:sz w:val="26"/>
          <w:szCs w:val="26"/>
        </w:rPr>
        <w:t xml:space="preserve">DECISIONS.md — Every Ambiguity You Resolved</w:t>
      </w:r>
    </w:p>
    <w:p>
      <w:pPr>
        <w:spacing w:after="120" w:before="80"/>
      </w:pPr>
      <w:r>
        <w:rPr>
          <w:rFonts w:ascii="Arial" w:cs="Arial" w:eastAsia="Arial" w:hAnsi="Arial"/>
          <w:sz w:val="22"/>
          <w:szCs w:val="22"/>
        </w:rPr>
        <w:t xml:space="preserve">Write down every decision you made and why. Example: "I chose SAP flat file because...". "I chose portal CSV for electricity because...". "I used midpoint attribution for billing periods because...". This document shows you thought carefully, not that you blindly used whatever the AI suggested.</w:t>
      </w:r>
    </w:p>
    <w:p>
      <w:pPr>
        <w:spacing w:after="0" w:before="0"/>
      </w:pPr>
      <w:r>
        <w:t xml:space="preserve"/>
      </w:r>
    </w:p>
    <w:p>
      <w:pPr>
        <w:pStyle w:val="Heading2"/>
        <w:spacing w:after="120" w:before="280"/>
      </w:pPr>
      <w:r>
        <w:rPr>
          <w:rFonts w:ascii="Arial" w:cs="Arial" w:eastAsia="Arial" w:hAnsi="Arial"/>
          <w:b/>
          <w:bCs/>
          <w:color w:val="2D6E50"/>
          <w:sz w:val="26"/>
          <w:szCs w:val="26"/>
        </w:rPr>
        <w:t xml:space="preserve">TRADEOFFS.md — Three Things You Did Not Build</w:t>
      </w:r>
    </w:p>
    <w:p>
      <w:pPr>
        <w:spacing w:after="120" w:before="80"/>
      </w:pPr>
      <w:r>
        <w:rPr>
          <w:rFonts w:ascii="Arial" w:cs="Arial" w:eastAsia="Arial" w:hAnsi="Arial"/>
          <w:sz w:val="22"/>
          <w:szCs w:val="22"/>
        </w:rPr>
        <w:t xml:space="preserve">Good candidates show they know what they left out. Example tradeoffs: (1) No PDF parser for bills — would need OCR, not worth the complexity in 4 days. (2) No real-time SAP OData pull — requires enterprise IT setup. (3) No emission factor versioning — factors change yearly, used static DEFRA 2024 table.</w:t>
      </w:r>
    </w:p>
    <w:p>
      <w:pPr>
        <w:spacing w:after="0" w:before="0"/>
      </w:pPr>
      <w:r>
        <w:t xml:space="preserve"/>
      </w:r>
    </w:p>
    <w:p>
      <w:pPr>
        <w:pStyle w:val="Heading1"/>
        <w:spacing w:after="160" w:before="400"/>
      </w:pPr>
      <w:r>
        <w:rPr>
          <w:rFonts w:ascii="Arial" w:cs="Arial" w:eastAsia="Arial" w:hAnsi="Arial"/>
          <w:b/>
          <w:bCs/>
          <w:color w:val="1D4E35"/>
          <w:sz w:val="32"/>
          <w:szCs w:val="32"/>
        </w:rPr>
        <w:t xml:space="preserve">Part 10: Quick Glossary — Words You Must Know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2"/>
                <w:szCs w:val="22"/>
              </w:rPr>
              <w:t xml:space="preserve">Word / Term</w:t>
            </w:r>
          </w:p>
        </w:tc>
        <w:tc>
          <w:tcPr>
            <w:tcW w:type="dxa" w:w="656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2"/>
                <w:szCs w:val="22"/>
              </w:rPr>
              <w:t xml:space="preserve">What it means (simple)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Environmental, Social, Governance — a framework for measuring a company's impact on the world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GHG Protocol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Greenhouse Gas Protocol — the international standard everyone follows for measuring emissions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CO2e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CO2 equivalent — a single number that combines all greenhouse gases into one metric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Emission factor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conversion rate: how much CO2 does 1 litre of diesel produce? (Answer: 2.51 kg)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German enterprise software used by most large companies to manage purchasing and inventory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Concur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Software used by companies to manage employee travel expenses and reimbursements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Normalization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Converting all data to the same standard unit (e.g., all fuel → Litres, all electricity → kWh)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Multi-tenancy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 system serving multiple client companies, with data completely separated between them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 trail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log of every change ever made, who made it, and when — required for auditors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Immutable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Cannot be changed. The RawRecord is immutable — once saved, it is locked forever.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DEFRA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UK Government department that publishes the emission factor database we use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Haversine formula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formula that calculates the shortest distance between two points on a sphere (used for airport distances)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DRF / Django REST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Python library we use to build the backend API that the React frontend talks to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Token auth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way of proving who you are to the API — you get a long string (token) after login and send it with every request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sz w:val="32"/>
      <w:szCs w:val="32"/>
    </w:rPr>
  </w:style>
  <w:style w:type="paragraph" w:styleId="Heading2">
    <w:name w:val="Heading 2"/>
    <w:basedOn w:val="Normal"/>
    <w:next w:val="Normal"/>
    <w:qFormat/>
    <w:pPr>
      <w:spacing w:after="120" w:before="280"/>
      <w:outlineLvl w:val="1"/>
    </w:pPr>
    <w:rPr>
      <w:rFonts w:ascii="Arial" w:cs="Arial" w:eastAsia="Arial" w:hAnsi="Arial"/>
      <w:b/>
      <w:bCs/>
      <w:sz w:val="26"/>
      <w:szCs w:val="26"/>
    </w:rPr>
  </w:style>
  <w:style w:type="paragraph" w:styleId="Heading3">
    <w:name w:val="Heading 3"/>
    <w:basedOn w:val="Normal"/>
    <w:next w:val="Normal"/>
    <w:qFormat/>
    <w:pPr>
      <w:spacing w:after="10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2026-05-27T09:10:34.816Z</dcterms:created>
  <dcterms:modified xsi:type="dcterms:W3CDTF">2026-05-27T09:10:34.817Z</dcterms:modified>
</cp:coreProperties>
</file>

<file path=docProps/custom.xml><?xml version="1.0" encoding="utf-8"?>
<Properties xmlns="http://schemas.openxmlformats.org/officeDocument/2006/custom-properties" xmlns:vt="http://schemas.openxmlformats.org/officeDocument/2006/docPropsVTypes"/>
</file>