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888888"/>
          <w:sz w:val="14"/>
          <w:szCs w:val="14"/>
        </w:rPr>
        <w:t xml:space="preserve">BREATHE ESG TECH INTERN ASSIGNMENT</w:t>
      </w:r>
    </w:p>
    <w:p>
      <w:pPr>
        <w:spacing w:after="200" w:before="0"/>
      </w:pPr>
      <w:r>
        <w:rPr>
          <w:rFonts w:ascii="Arial" w:cs="Arial" w:eastAsia="Arial" w:hAnsi="Arial"/>
          <w:b/>
          <w:bCs/>
          <w:color w:val="1D4E35"/>
          <w:sz w:val="40"/>
          <w:szCs w:val="40"/>
        </w:rPr>
        <w:t xml:space="preserve">Technical Reference Documentation</w:t>
      </w:r>
    </w:p>
    <w:p>
      <w:pPr>
        <w:spacing w:after="120" w:before="0"/>
      </w:pPr>
      <w:r>
        <w:rPr>
          <w:rFonts w:ascii="Arial" w:cs="Arial" w:eastAsia="Arial" w:hAnsi="Arial"/>
          <w:b/>
          <w:bCs/>
          <w:sz w:val="22"/>
          <w:szCs w:val="22"/>
        </w:rPr>
        <w:t xml:space="preserve">Stack: </w:t>
      </w:r>
      <w:r>
        <w:rPr>
          <w:rFonts w:ascii="Arial" w:cs="Arial" w:eastAsia="Arial" w:hAnsi="Arial"/>
          <w:sz w:val="22"/>
          <w:szCs w:val="22"/>
        </w:rPr>
        <w:t xml:space="preserve">Django 6 · Django REST Framework · SQLite (PostgreSQL-ready) · React 18 · Token authentication</w:t>
      </w:r>
    </w:p>
    <w:p>
      <w:pPr>
        <w:spacing w:after="400" w:before="0"/>
      </w:pPr>
      <w:r>
        <w:rPr>
          <w:rFonts w:ascii="Arial" w:cs="Arial" w:eastAsia="Arial" w:hAnsi="Arial"/>
          <w:b/>
          <w:bCs/>
          <w:sz w:val="22"/>
          <w:szCs w:val="22"/>
        </w:rPr>
        <w:t xml:space="preserve">Data sources: </w:t>
      </w:r>
      <w:r>
        <w:rPr>
          <w:rFonts w:ascii="Arial" w:cs="Arial" w:eastAsia="Arial" w:hAnsi="Arial"/>
          <w:sz w:val="22"/>
          <w:szCs w:val="22"/>
        </w:rPr>
        <w:t xml:space="preserve">SAP flat file (pipe-delimited) · Utility portal CSV (MSEDCL/BESCOM format) · Concur expense export CSV</w:t>
      </w:r>
    </w:p>
    <w:p>
      <w:pPr>
        <w:pStyle w:val="Heading1"/>
        <w:spacing w:after="160" w:before="400"/>
      </w:pPr>
      <w:r>
        <w:rPr>
          <w:rFonts w:ascii="Arial" w:cs="Arial" w:eastAsia="Arial" w:hAnsi="Arial"/>
          <w:b/>
          <w:bCs/>
          <w:color w:val="1D4E35"/>
          <w:sz w:val="32"/>
          <w:szCs w:val="32"/>
        </w:rPr>
        <w:t xml:space="preserve">Architecture Overview</w:t>
      </w:r>
    </w:p>
    <w:p>
      <w:pPr>
        <w:spacing w:after="120" w:before="80"/>
      </w:pPr>
      <w:r>
        <w:rPr>
          <w:rFonts w:ascii="Arial" w:cs="Arial" w:eastAsia="Arial" w:hAnsi="Arial"/>
          <w:sz w:val="22"/>
          <w:szCs w:val="22"/>
        </w:rPr>
        <w:t xml:space="preserve">The system follows a three-layer ingestion pipeline: raw capture → normalization → analyst review. The separation between RawRecord and EmissionRecord is the central architectural decision — it preserves audit integrity while allowing analyst correction.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41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Responsibility</w:t>
            </w:r>
          </w:p>
        </w:tc>
        <w:tc>
          <w:tcPr>
            <w:tcW w:type="dxa" w:w="30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Technology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 file upload, route to parser, persist RawRecord + EmissionRecord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REST Framework, MultiPartParser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Parser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 pipe-delimited ME2M export, resolve material→fuel mapping, normalize units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csv module, custom COLUMN_ALIASES dict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 Parser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 portal CSV, handle cross-month billing periods, detect 0-consumption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csv, midpoint date algorithm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 Parser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 Concur export, calculate flight distances, estimate ground km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Haversine formula, IATA airport coordinate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Normalizer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any unit to canonical: LITRE, KWH, M3, KG, KM, NIGHT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Decimal, static conversion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 FLAGGED / REJECTED actions, bulk operations, audit 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REST, AuditLog append-only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Frontend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summary, filterable review table, file upload with drag-drop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CSS variables, Tabler icons</w:t>
            </w:r>
          </w:p>
        </w:tc>
      </w:tr>
    </w:tbl>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D4E35"/>
          <w:sz w:val="32"/>
          <w:szCs w:val="32"/>
        </w:rPr>
        <w:t xml:space="preserve">Data Model</w:t>
      </w:r>
    </w:p>
    <w:p>
      <w:pPr>
        <w:pStyle w:val="Heading2"/>
        <w:spacing w:after="120" w:before="280"/>
      </w:pPr>
      <w:r>
        <w:rPr>
          <w:rFonts w:ascii="Arial" w:cs="Arial" w:eastAsia="Arial" w:hAnsi="Arial"/>
          <w:b/>
          <w:bCs/>
          <w:color w:val="2D6E50"/>
          <w:sz w:val="26"/>
          <w:szCs w:val="26"/>
        </w:rPr>
        <w:t xml:space="preserve">Entity Hierarchy</w:t>
      </w:r>
    </w:p>
    <w:p>
      <w:pPr>
        <w:spacing w:after="120" w:before="80"/>
      </w:pPr>
      <w:r>
        <w:rPr>
          <w:rFonts w:ascii="Courier New" w:cs="Courier New" w:eastAsia="Courier New" w:hAnsi="Courier New"/>
          <w:sz w:val="18"/>
          <w:szCs w:val="18"/>
        </w:rPr>
        <w:t xml:space="preserve">Tenant → TenantMembership → User</w:t>
      </w:r>
      <w:r>
        <w:rPr>
          <w:rFonts w:ascii="Arial" w:cs="Arial" w:eastAsia="Arial" w:hAnsi="Arial"/>
          <w:sz w:val="22"/>
          <w:szCs w:val="22"/>
        </w:rPr>
        <w:t xml:space="preserve">  (multi-tenancy foundation)</w:t>
      </w:r>
    </w:p>
    <w:p>
      <w:pPr>
        <w:spacing w:after="120" w:before="80"/>
      </w:pPr>
      <w:r>
        <w:rPr>
          <w:rFonts w:ascii="Courier New" w:cs="Courier New" w:eastAsia="Courier New" w:hAnsi="Courier New"/>
          <w:sz w:val="18"/>
          <w:szCs w:val="18"/>
        </w:rPr>
        <w:t xml:space="preserve">Tenant → IngestionJob → RawRecord → EmissionRecord → AuditLog</w:t>
      </w:r>
    </w:p>
    <w:p>
      <w:pPr>
        <w:spacing w:after="0" w:before="0"/>
      </w:pPr>
      <w:r>
        <w:t xml:space="preserve"/>
      </w:r>
    </w:p>
    <w:p>
      <w:pPr>
        <w:pStyle w:val="Heading2"/>
        <w:spacing w:after="120" w:before="280"/>
      </w:pPr>
      <w:r>
        <w:rPr>
          <w:rFonts w:ascii="Arial" w:cs="Arial" w:eastAsia="Arial" w:hAnsi="Arial"/>
          <w:b/>
          <w:bCs/>
          <w:color w:val="2D6E50"/>
          <w:sz w:val="26"/>
          <w:szCs w:val="26"/>
        </w:rPr>
        <w:t xml:space="preserve">Key Model Decisions</w:t>
      </w:r>
    </w:p>
    <w:p>
      <w:pPr>
        <w:pStyle w:val="Heading3"/>
        <w:spacing w:after="100" w:before="200"/>
      </w:pPr>
      <w:r>
        <w:rPr>
          <w:rFonts w:ascii="Arial" w:cs="Arial" w:eastAsia="Arial" w:hAnsi="Arial"/>
          <w:b/>
          <w:bCs/>
          <w:color w:val="1D6B4F"/>
          <w:sz w:val="22"/>
          <w:szCs w:val="22"/>
        </w:rPr>
        <w:t xml:space="preserve">1. Tenant isolation</w:t>
      </w:r>
    </w:p>
    <w:p>
      <w:pPr>
        <w:spacing w:after="120" w:before="80"/>
      </w:pPr>
      <w:r>
        <w:rPr>
          <w:rFonts w:ascii="Arial" w:cs="Arial" w:eastAsia="Arial" w:hAnsi="Arial"/>
          <w:sz w:val="22"/>
          <w:szCs w:val="22"/>
        </w:rPr>
        <w:t xml:space="preserve">Every model has a direct FK to Tenant. API views filter by tenant_id from query params and validate against the authenticated user's TenantMembership. No cross-tenant data leakage is possible in the query layer.</w:t>
      </w:r>
    </w:p>
    <w:p>
      <w:pPr>
        <w:pStyle w:val="Heading3"/>
        <w:spacing w:after="100" w:before="200"/>
      </w:pPr>
      <w:r>
        <w:rPr>
          <w:rFonts w:ascii="Arial" w:cs="Arial" w:eastAsia="Arial" w:hAnsi="Arial"/>
          <w:b/>
          <w:bCs/>
          <w:color w:val="1D6B4F"/>
          <w:sz w:val="22"/>
          <w:szCs w:val="22"/>
        </w:rPr>
        <w:t xml:space="preserve">2. RawRecord is immutable by convention, not constraint</w:t>
      </w:r>
    </w:p>
    <w:p>
      <w:pPr>
        <w:spacing w:after="120" w:before="80"/>
      </w:pPr>
      <w:r>
        <w:rPr>
          <w:rFonts w:ascii="Arial" w:cs="Arial" w:eastAsia="Arial" w:hAnsi="Arial"/>
          <w:sz w:val="22"/>
          <w:szCs w:val="22"/>
        </w:rPr>
        <w:t xml:space="preserve">Django does not enforce row-level immutability in SQLite. Immutability is enforced by API design: no PATCH/PUT endpoint exists for RawRecord. The parse_status and parse_errors fields are set once at ingestion and never touched again. Any re-processing requires a new IngestionJob.</w:t>
      </w:r>
    </w:p>
    <w:p>
      <w:pPr>
        <w:pStyle w:val="Heading3"/>
        <w:spacing w:after="100" w:before="200"/>
      </w:pPr>
      <w:r>
        <w:rPr>
          <w:rFonts w:ascii="Arial" w:cs="Arial" w:eastAsia="Arial" w:hAnsi="Arial"/>
          <w:b/>
          <w:bCs/>
          <w:color w:val="1D6B4F"/>
          <w:sz w:val="22"/>
          <w:szCs w:val="22"/>
        </w:rPr>
        <w:t xml:space="preserve">3. EmissionRecord has both original and normalized quantity fields</w:t>
      </w:r>
    </w:p>
    <w:p>
      <w:pPr>
        <w:spacing w:after="120" w:before="80"/>
      </w:pPr>
      <w:r>
        <w:rPr>
          <w:rFonts w:ascii="Arial" w:cs="Arial" w:eastAsia="Arial" w:hAnsi="Arial"/>
          <w:sz w:val="22"/>
          <w:szCs w:val="22"/>
        </w:rPr>
        <w:t xml:space="preserve">quantity_original and unit_original preserve exactly what the source sent. quantity and unit are always in canonical form. This enables the analyst to see "SAP said 6,750 GAL" alongside "we normalized that to 25,538 L" in the review UI.</w:t>
      </w:r>
    </w:p>
    <w:p>
      <w:pPr>
        <w:pStyle w:val="Heading3"/>
        <w:spacing w:after="100" w:before="200"/>
      </w:pPr>
      <w:r>
        <w:rPr>
          <w:rFonts w:ascii="Arial" w:cs="Arial" w:eastAsia="Arial" w:hAnsi="Arial"/>
          <w:b/>
          <w:bCs/>
          <w:color w:val="1D6B4F"/>
          <w:sz w:val="22"/>
          <w:szCs w:val="22"/>
        </w:rPr>
        <w:t xml:space="preserve">4. AuditLog is append-only</w:t>
      </w:r>
    </w:p>
    <w:p>
      <w:pPr>
        <w:spacing w:after="120" w:before="80"/>
      </w:pPr>
      <w:r>
        <w:rPr>
          <w:rFonts w:ascii="Arial" w:cs="Arial" w:eastAsia="Arial" w:hAnsi="Arial"/>
          <w:sz w:val="22"/>
          <w:szCs w:val="22"/>
        </w:rPr>
        <w:t xml:space="preserve">No DELETE endpoint exists for AuditLog. Every action (CREATED, EDITED, APPROVED, FLAGGED, REJECTED, LOCKED) creates a new row with the actor's user FK and a changes JSON dict containing [old_value, new_value] pairs. This satisfies GHG Protocol and ISO 14064 traceability requirements.</w:t>
      </w:r>
    </w:p>
    <w:p>
      <w:pPr>
        <w:pStyle w:val="Heading3"/>
        <w:spacing w:after="100" w:before="200"/>
      </w:pPr>
      <w:r>
        <w:rPr>
          <w:rFonts w:ascii="Arial" w:cs="Arial" w:eastAsia="Arial" w:hAnsi="Arial"/>
          <w:b/>
          <w:bCs/>
          <w:color w:val="1D6B4F"/>
          <w:sz w:val="22"/>
          <w:szCs w:val="22"/>
        </w:rPr>
        <w:t xml:space="preserve">5. Scope classification happens at parse time</w:t>
      </w:r>
    </w:p>
    <w:p>
      <w:pPr>
        <w:spacing w:after="120" w:before="80"/>
      </w:pPr>
      <w:r>
        <w:rPr>
          <w:rFonts w:ascii="Arial" w:cs="Arial" w:eastAsia="Arial" w:hAnsi="Arial"/>
          <w:sz w:val="22"/>
          <w:szCs w:val="22"/>
        </w:rPr>
        <w:t xml:space="preserve">The parser knows the scope and category because it knows the source. SAP fuel = SCOPE_1 STATIONARY_COMBUSTION (for generators/boilers) or MOBILE_COMBUSTION (for vehicles). Utility = SCOPE_2 PURCHASED_ELECTRICITY. Travel = SCOPE_3 subcategories. This is baked into FACTORS dict, not inferred later.</w:t>
      </w:r>
    </w:p>
    <w:p>
      <w:pPr>
        <w:spacing w:after="0" w:before="0"/>
      </w:pPr>
      <w:r>
        <w:t xml:space="preserve"/>
      </w:r>
    </w:p>
    <w:p>
      <w:pPr>
        <w:pStyle w:val="Heading1"/>
        <w:spacing w:after="160" w:before="400"/>
      </w:pPr>
      <w:r>
        <w:rPr>
          <w:rFonts w:ascii="Arial" w:cs="Arial" w:eastAsia="Arial" w:hAnsi="Arial"/>
          <w:b/>
          <w:bCs/>
          <w:color w:val="1D4E35"/>
          <w:sz w:val="32"/>
          <w:szCs w:val="32"/>
        </w:rPr>
        <w:t xml:space="preserve">Parser Design</w:t>
      </w:r>
    </w:p>
    <w:p>
      <w:pPr>
        <w:pStyle w:val="Heading2"/>
        <w:spacing w:after="120" w:before="280"/>
      </w:pPr>
      <w:r>
        <w:rPr>
          <w:rFonts w:ascii="Arial" w:cs="Arial" w:eastAsia="Arial" w:hAnsi="Arial"/>
          <w:b/>
          <w:bCs/>
          <w:color w:val="2D6E50"/>
          <w:sz w:val="26"/>
          <w:szCs w:val="26"/>
        </w:rPr>
        <w:t xml:space="preserve">SAP Flat File Parser (apps/ingestion/parsers/sap_parser.py)</w:t>
      </w:r>
    </w:p>
    <w:p>
      <w:pPr>
        <w:spacing w:after="120" w:before="80"/>
      </w:pPr>
      <w:r>
        <w:rPr>
          <w:rFonts w:ascii="Arial" w:cs="Arial" w:eastAsia="Arial" w:hAnsi="Arial"/>
          <w:sz w:val="22"/>
          <w:szCs w:val="22"/>
        </w:rPr>
        <w:t xml:space="preserve">Ingestion mechanism: Pipe-delimited CSV export from SAP transaction ME2M (Purchase Order History) or SE16N (table browser). Client's SAP administrator exports this via tcode without any IT project.</w:t>
      </w:r>
    </w:p>
    <w:p>
      <w:pPr>
        <w:spacing w:after="120" w:before="80"/>
      </w:pPr>
      <w:r>
        <w:rPr>
          <w:rFonts w:ascii="Arial" w:cs="Arial" w:eastAsia="Arial" w:hAnsi="Arial"/>
          <w:sz w:val="22"/>
          <w:szCs w:val="22"/>
        </w:rPr>
        <w:t xml:space="preserve">Key parsing decisions:</w:t>
      </w:r>
    </w:p>
    <w:p>
      <w:pPr>
        <w:pStyle w:val="ListParagraph"/>
        <w:numPr>
          <w:ilvl w:val="0"/>
          <w:numId w:val="2"/>
        </w:numPr>
        <w:spacing w:after="40" w:before="40"/>
      </w:pPr>
      <w:r>
        <w:rPr>
          <w:rFonts w:ascii="Arial" w:cs="Arial" w:eastAsia="Arial" w:hAnsi="Arial"/>
          <w:sz w:val="22"/>
          <w:szCs w:val="22"/>
        </w:rPr>
        <w:t xml:space="preserve">Delimiter auto-detection: sample first 500 chars, count | vs , vs ; occurrences</w:t>
      </w:r>
    </w:p>
    <w:p>
      <w:pPr>
        <w:pStyle w:val="ListParagraph"/>
        <w:numPr>
          <w:ilvl w:val="0"/>
          <w:numId w:val="2"/>
        </w:numPr>
        <w:spacing w:after="40" w:before="40"/>
      </w:pPr>
      <w:r>
        <w:rPr>
          <w:rFonts w:ascii="Arial" w:cs="Arial" w:eastAsia="Arial" w:hAnsi="Arial"/>
          <w:sz w:val="22"/>
          <w:szCs w:val="22"/>
        </w:rPr>
        <w:t xml:space="preserve">Column alias resolution: COLUMN_ALIASES dict maps both English and German headers to canonical names. Unknown headers are carried through as lowercase.</w:t>
      </w:r>
    </w:p>
    <w:p>
      <w:pPr>
        <w:pStyle w:val="ListParagraph"/>
        <w:numPr>
          <w:ilvl w:val="0"/>
          <w:numId w:val="2"/>
        </w:numPr>
        <w:spacing w:after="40" w:before="40"/>
      </w:pPr>
      <w:r>
        <w:rPr>
          <w:rFonts w:ascii="Arial" w:cs="Arial" w:eastAsia="Arial" w:hAnsi="Arial"/>
          <w:sz w:val="22"/>
          <w:szCs w:val="22"/>
        </w:rPr>
        <w:t xml:space="preserve">Date parsing: parse_sap_date() tries 6 known formats in order: YYYYMMDD (SAP internal), DD.MM.YYYY (German locale), MM/DD/YYYY (US locale), DD-MM-YYYY, ISO 8601, DD/MM/YYYY (Indian).</w:t>
      </w:r>
    </w:p>
    <w:p>
      <w:pPr>
        <w:pStyle w:val="ListParagraph"/>
        <w:numPr>
          <w:ilvl w:val="0"/>
          <w:numId w:val="2"/>
        </w:numPr>
        <w:spacing w:after="40" w:before="40"/>
      </w:pPr>
      <w:r>
        <w:rPr>
          <w:rFonts w:ascii="Arial" w:cs="Arial" w:eastAsia="Arial" w:hAnsi="Arial"/>
          <w:sz w:val="22"/>
          <w:szCs w:val="22"/>
        </w:rPr>
        <w:t xml:space="preserve">Material resolution: _resolve_material() searches material description and material number against MATERIAL_LOOKUP keywords. Returns None if unclassifiable → row status = SUSPICIOUS, not FAILED (the row is preserved).</w:t>
      </w:r>
    </w:p>
    <w:p>
      <w:pPr>
        <w:pStyle w:val="ListParagraph"/>
        <w:numPr>
          <w:ilvl w:val="0"/>
          <w:numId w:val="2"/>
        </w:numPr>
        <w:spacing w:after="40" w:before="40"/>
      </w:pPr>
      <w:r>
        <w:rPr>
          <w:rFonts w:ascii="Arial" w:cs="Arial" w:eastAsia="Arial" w:hAnsi="Arial"/>
          <w:sz w:val="22"/>
          <w:szCs w:val="22"/>
        </w:rPr>
        <w:t xml:space="preserve">German decimals: SAP German locale uses comma as decimal separator. quantity_raw = normalized_row.get("quantity", "0").replace(",", ".") handles this.</w:t>
      </w:r>
    </w:p>
    <w:p>
      <w:pPr>
        <w:spacing w:after="0" w:before="0"/>
      </w:pPr>
      <w:r>
        <w:t xml:space="preserve"/>
      </w:r>
    </w:p>
    <w:p>
      <w:pPr>
        <w:pStyle w:val="Heading2"/>
        <w:spacing w:after="120" w:before="280"/>
      </w:pPr>
      <w:r>
        <w:rPr>
          <w:rFonts w:ascii="Arial" w:cs="Arial" w:eastAsia="Arial" w:hAnsi="Arial"/>
          <w:b/>
          <w:bCs/>
          <w:color w:val="2D6E50"/>
          <w:sz w:val="26"/>
          <w:szCs w:val="26"/>
        </w:rPr>
        <w:t xml:space="preserve">Utility Parser (apps/ingestion/parsers/utility_parser.py)</w:t>
      </w:r>
    </w:p>
    <w:p>
      <w:pPr>
        <w:spacing w:after="120" w:before="80"/>
      </w:pPr>
      <w:r>
        <w:rPr>
          <w:rFonts w:ascii="Arial" w:cs="Arial" w:eastAsia="Arial" w:hAnsi="Arial"/>
          <w:sz w:val="22"/>
          <w:szCs w:val="22"/>
        </w:rPr>
        <w:t xml:space="preserve">Ingestion mechanism: CSV download from utility portal customer web interface. MSEDCL, BESCOM, and TSSPDCL all provide this. Format researched from MSEDCL's portal export documentation.</w:t>
      </w:r>
    </w:p>
    <w:p>
      <w:pPr>
        <w:spacing w:after="120" w:before="80"/>
      </w:pPr>
      <w:r>
        <w:rPr>
          <w:rFonts w:ascii="Arial" w:cs="Arial" w:eastAsia="Arial" w:hAnsi="Arial"/>
          <w:sz w:val="22"/>
          <w:szCs w:val="22"/>
        </w:rPr>
        <w:t xml:space="preserve">Key parsing decisions:</w:t>
      </w:r>
    </w:p>
    <w:p>
      <w:pPr>
        <w:pStyle w:val="ListParagraph"/>
        <w:numPr>
          <w:ilvl w:val="0"/>
          <w:numId w:val="2"/>
        </w:numPr>
        <w:spacing w:after="40" w:before="40"/>
      </w:pPr>
      <w:r>
        <w:rPr>
          <w:rFonts w:ascii="Arial" w:cs="Arial" w:eastAsia="Arial" w:hAnsi="Arial"/>
          <w:sz w:val="22"/>
          <w:szCs w:val="22"/>
        </w:rPr>
        <w:t xml:space="preserve">Column discovery: utility portals use wildly different column names. Parser tries a list of aliases for each semantic field (e.g., for consumption: tries consumption_kwh, consumption, kwh, units, energy_kwh, net_consumption in order).</w:t>
      </w:r>
    </w:p>
    <w:p>
      <w:pPr>
        <w:pStyle w:val="ListParagraph"/>
        <w:numPr>
          <w:ilvl w:val="0"/>
          <w:numId w:val="2"/>
        </w:numPr>
        <w:spacing w:after="40" w:before="40"/>
      </w:pPr>
      <w:r>
        <w:rPr>
          <w:rFonts w:ascii="Arial" w:cs="Arial" w:eastAsia="Arial" w:hAnsi="Arial"/>
          <w:sz w:val="22"/>
          <w:szCs w:val="22"/>
        </w:rPr>
        <w:t xml:space="preserve">Billing period attribution: Start and end dates parsed, midpoint calculated as (start_timestamp + end_timestamp) / 2. Activity date = midpoint. This is acknowledged as an approximation; production would prorate by day count.</w:t>
      </w:r>
    </w:p>
    <w:p>
      <w:pPr>
        <w:pStyle w:val="ListParagraph"/>
        <w:numPr>
          <w:ilvl w:val="0"/>
          <w:numId w:val="2"/>
        </w:numPr>
        <w:spacing w:after="40" w:before="40"/>
      </w:pPr>
      <w:r>
        <w:rPr>
          <w:rFonts w:ascii="Arial" w:cs="Arial" w:eastAsia="Arial" w:hAnsi="Arial"/>
          <w:sz w:val="22"/>
          <w:szCs w:val="22"/>
        </w:rPr>
        <w:t xml:space="preserve">Unit normalization: "units" and "UNITS" are silently remapped to KWH before normalization (1 unit = 1 kWh, Indian standard). Unknown units fall back to KWH with a parse warning.</w:t>
      </w:r>
    </w:p>
    <w:p>
      <w:pPr>
        <w:pStyle w:val="ListParagraph"/>
        <w:numPr>
          <w:ilvl w:val="0"/>
          <w:numId w:val="2"/>
        </w:numPr>
        <w:spacing w:after="40" w:before="40"/>
      </w:pPr>
      <w:r>
        <w:rPr>
          <w:rFonts w:ascii="Arial" w:cs="Arial" w:eastAsia="Arial" w:hAnsi="Arial"/>
          <w:sz w:val="22"/>
          <w:szCs w:val="22"/>
        </w:rPr>
        <w:t xml:space="preserve">Zero consumption: Flagged as suspicious. Possible causes: missed meter read, meter replacement, building shutdown. Analyst must verify.</w:t>
      </w:r>
    </w:p>
    <w:p>
      <w:pPr>
        <w:spacing w:after="0" w:before="0"/>
      </w:pPr>
      <w:r>
        <w:t xml:space="preserve"/>
      </w:r>
    </w:p>
    <w:p>
      <w:pPr>
        <w:pStyle w:val="Heading2"/>
        <w:spacing w:after="120" w:before="280"/>
      </w:pPr>
      <w:r>
        <w:rPr>
          <w:rFonts w:ascii="Arial" w:cs="Arial" w:eastAsia="Arial" w:hAnsi="Arial"/>
          <w:b/>
          <w:bCs/>
          <w:color w:val="2D6E50"/>
          <w:sz w:val="26"/>
          <w:szCs w:val="26"/>
        </w:rPr>
        <w:t xml:space="preserve">Travel Parser (apps/ingestion/parsers/travel_parser.py)</w:t>
      </w:r>
    </w:p>
    <w:p>
      <w:pPr>
        <w:spacing w:after="120" w:before="80"/>
      </w:pPr>
      <w:r>
        <w:rPr>
          <w:rFonts w:ascii="Arial" w:cs="Arial" w:eastAsia="Arial" w:hAnsi="Arial"/>
          <w:sz w:val="22"/>
          <w:szCs w:val="22"/>
        </w:rPr>
        <w:t xml:space="preserve">Ingestion mechanism: Concur Expense Report export via Reports menu. Available to any Concur admin. No OAuth or API integration required.</w:t>
      </w:r>
    </w:p>
    <w:p>
      <w:pPr>
        <w:spacing w:after="120" w:before="80"/>
      </w:pPr>
      <w:r>
        <w:rPr>
          <w:rFonts w:ascii="Arial" w:cs="Arial" w:eastAsia="Arial" w:hAnsi="Arial"/>
          <w:sz w:val="22"/>
          <w:szCs w:val="22"/>
        </w:rPr>
        <w:t xml:space="preserve">Key parsing decisions:</w:t>
      </w:r>
    </w:p>
    <w:p>
      <w:pPr>
        <w:pStyle w:val="ListParagraph"/>
        <w:numPr>
          <w:ilvl w:val="0"/>
          <w:numId w:val="2"/>
        </w:numPr>
        <w:spacing w:after="40" w:before="40"/>
      </w:pPr>
      <w:r>
        <w:rPr>
          <w:rFonts w:ascii="Arial" w:cs="Arial" w:eastAsia="Arial" w:hAnsi="Arial"/>
          <w:sz w:val="22"/>
          <w:szCs w:val="22"/>
        </w:rPr>
        <w:t xml:space="preserve">Expense type classification: EXPENSE_TYPE_MAP dictionary maps 20+ Concur expense type strings to FLIGHT / HOTEL / GROUND. Case-insensitive substring matching.</w:t>
      </w:r>
    </w:p>
    <w:p>
      <w:pPr>
        <w:pStyle w:val="ListParagraph"/>
        <w:numPr>
          <w:ilvl w:val="0"/>
          <w:numId w:val="2"/>
        </w:numPr>
        <w:spacing w:after="40" w:before="40"/>
      </w:pPr>
      <w:r>
        <w:rPr>
          <w:rFonts w:ascii="Arial" w:cs="Arial" w:eastAsia="Arial" w:hAnsi="Arial"/>
          <w:sz w:val="22"/>
          <w:szCs w:val="22"/>
        </w:rPr>
        <w:t xml:space="preserve">Flight distance: haversine_km(iata1, iata2) calculates great-circle distance, multiplies by 1.08 (DEFRA routing factor). Returns None for unknown IATA codes → row fails with descriptive error.</w:t>
      </w:r>
    </w:p>
    <w:p>
      <w:pPr>
        <w:pStyle w:val="ListParagraph"/>
        <w:numPr>
          <w:ilvl w:val="0"/>
          <w:numId w:val="2"/>
        </w:numPr>
        <w:spacing w:after="40" w:before="40"/>
      </w:pPr>
      <w:r>
        <w:rPr>
          <w:rFonts w:ascii="Arial" w:cs="Arial" w:eastAsia="Arial" w:hAnsi="Arial"/>
          <w:sz w:val="22"/>
          <w:szCs w:val="22"/>
        </w:rPr>
        <w:t xml:space="preserve">Flight emission factor selection: _get_flight_factor_key(distance_km, travel_class) applies short/long haul split at 3,700 km and economy/business/first class. Business class = ~2.2× economy on long-haul per DEFRA.</w:t>
      </w:r>
    </w:p>
    <w:p>
      <w:pPr>
        <w:pStyle w:val="ListParagraph"/>
        <w:numPr>
          <w:ilvl w:val="0"/>
          <w:numId w:val="2"/>
        </w:numPr>
        <w:spacing w:after="40" w:before="40"/>
      </w:pPr>
      <w:r>
        <w:rPr>
          <w:rFonts w:ascii="Arial" w:cs="Arial" w:eastAsia="Arial" w:hAnsi="Arial"/>
          <w:sz w:val="22"/>
          <w:szCs w:val="22"/>
        </w:rPr>
        <w:t xml:space="preserve">Ground distance estimation: when distance is absent, amount_INR / 15.0 (avg taxi rate). Estimated distance rows are is_suspicious=True with reason "Distance estimated from expense amount".</w:t>
      </w:r>
    </w:p>
    <w:p>
      <w:pPr>
        <w:pStyle w:val="ListParagraph"/>
        <w:numPr>
          <w:ilvl w:val="0"/>
          <w:numId w:val="2"/>
        </w:numPr>
        <w:spacing w:after="40" w:before="40"/>
      </w:pPr>
      <w:r>
        <w:rPr>
          <w:rFonts w:ascii="Arial" w:cs="Arial" w:eastAsia="Arial" w:hAnsi="Arial"/>
          <w:sz w:val="22"/>
          <w:szCs w:val="22"/>
        </w:rPr>
        <w:t xml:space="preserve">Non-carbon expenses: Conference registrations, visa fees, and meals return UNKNOWN category. These rows get parse_status=SUSPICIOUS with a message — they are preserved for analyst review rather than silently dropped.</w:t>
      </w:r>
    </w:p>
    <w:p>
      <w:pPr>
        <w:spacing w:after="0" w:before="0"/>
      </w:pPr>
      <w:r>
        <w:t xml:space="preserve"/>
      </w:r>
    </w:p>
    <w:p>
      <w:pPr>
        <w:pStyle w:val="Heading1"/>
        <w:spacing w:after="160" w:before="400"/>
      </w:pPr>
      <w:r>
        <w:rPr>
          <w:rFonts w:ascii="Arial" w:cs="Arial" w:eastAsia="Arial" w:hAnsi="Arial"/>
          <w:b/>
          <w:bCs/>
          <w:color w:val="1D4E35"/>
          <w:sz w:val="32"/>
          <w:szCs w:val="32"/>
        </w:rPr>
        <w:t xml:space="preserve">Unit Normalization</w:t>
      </w:r>
    </w:p>
    <w:p>
      <w:pPr>
        <w:spacing w:after="120" w:before="80"/>
      </w:pPr>
      <w:r>
        <w:rPr>
          <w:rFonts w:ascii="Arial" w:cs="Arial" w:eastAsia="Arial" w:hAnsi="Arial"/>
          <w:sz w:val="22"/>
          <w:szCs w:val="22"/>
        </w:rPr>
        <w:t xml:space="preserve">All units are normalized to 6 canonical types before storage. The normalize_unit() function in unit_normalizer.py contains 35 conversion mappings. Conversion uses Python Decimal throughout to avoid float precision errors.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Canonical Unit</w:t>
            </w:r>
          </w:p>
        </w:tc>
        <w:tc>
          <w:tcPr>
            <w:tcW w:type="dxa" w:w="30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Converted From</w:t>
            </w:r>
          </w:p>
        </w:tc>
        <w:tc>
          <w:tcPr>
            <w:tcW w:type="dxa" w:w="45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Conversion Factor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LTR, LT, GAL, IGAL, BBL, 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 × 3.78541, IGAL × 4.54609, BBL × 158.987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 SCM, MSCM, CF, MCF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MSCM × 1000, CF × 0.02832, MCF × 28.317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KWH, UNIT, MWH, GWH, KVH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MWH × 1000, GWH × 1,000,000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 G, MT, TON, LB, LBS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MT × 1000, TON × 907.185, LB × 0.45359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 MI, MILE, NM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 × 1.60934, NM × 1.852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NIGHT, NITE, DAY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(hotel days treated as nights)</w:t>
            </w:r>
          </w:p>
        </w:tc>
      </w:tr>
    </w:tbl>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D4E35"/>
          <w:sz w:val="32"/>
          <w:szCs w:val="32"/>
        </w:rPr>
        <w:t xml:space="preserve">Emission Factor Methodology</w:t>
      </w:r>
    </w:p>
    <w:p>
      <w:pPr>
        <w:pStyle w:val="Heading2"/>
        <w:spacing w:after="120" w:before="280"/>
      </w:pPr>
      <w:r>
        <w:rPr>
          <w:rFonts w:ascii="Arial" w:cs="Arial" w:eastAsia="Arial" w:hAnsi="Arial"/>
          <w:b/>
          <w:bCs/>
          <w:color w:val="2D6E50"/>
          <w:sz w:val="26"/>
          <w:szCs w:val="26"/>
        </w:rPr>
        <w:t xml:space="preserve">Source selection</w:t>
      </w:r>
    </w:p>
    <w:p>
      <w:pPr>
        <w:spacing w:after="120" w:before="80"/>
      </w:pPr>
      <w:r>
        <w:rPr>
          <w:rFonts w:ascii="Arial" w:cs="Arial" w:eastAsia="Arial" w:hAnsi="Arial"/>
          <w:sz w:val="22"/>
          <w:szCs w:val="22"/>
        </w:rPr>
        <w:t xml:space="preserve">DEFRA 2024 is used for all factors except India grid electricity, for which CEA (Central Electricity Authority) 2023 is more appropriate. DEFRA publishes factors for UK grid at 0.20733 kgCO2e/kWh; India grid at 0.82 kgCO2e/kWh reflects India's coal-heavy generation mix.</w:t>
      </w:r>
    </w:p>
    <w:p>
      <w:pPr>
        <w:spacing w:after="120" w:before="80"/>
      </w:pPr>
      <w:r>
        <w:rPr>
          <w:rFonts w:ascii="Arial" w:cs="Arial" w:eastAsia="Arial" w:hAnsi="Arial"/>
          <w:sz w:val="22"/>
          <w:szCs w:val="22"/>
        </w:rPr>
        <w:t xml:space="preserve">All flight factors include DEFRA's radiative forcing multiplier (RF = 1.9×). Contrails and non-CO2 effects at altitude approximately double the effective warming of aviation. This is debated in literature but DEFRA recommends including it.</w:t>
      </w:r>
    </w:p>
    <w:p>
      <w:pPr>
        <w:pStyle w:val="Heading2"/>
        <w:spacing w:after="120" w:before="280"/>
      </w:pPr>
      <w:r>
        <w:rPr>
          <w:rFonts w:ascii="Arial" w:cs="Arial" w:eastAsia="Arial" w:hAnsi="Arial"/>
          <w:b/>
          <w:bCs/>
          <w:color w:val="2D6E50"/>
          <w:sz w:val="26"/>
          <w:szCs w:val="26"/>
        </w:rPr>
        <w:t xml:space="preserve">Prototype limitation</w:t>
      </w:r>
    </w:p>
    <w:p>
      <w:pPr>
        <w:spacing w:after="120" w:before="80"/>
      </w:pPr>
      <w:r>
        <w:rPr>
          <w:rFonts w:ascii="Arial" w:cs="Arial" w:eastAsia="Arial" w:hAnsi="Arial"/>
          <w:sz w:val="22"/>
          <w:szCs w:val="22"/>
        </w:rPr>
        <w:t xml:space="preserve">Factors are stored as a static Python dictionary (FACTORS in emission_factors.py). In production, factors would be stored in a database table with a valid_from / valid_to range, allowing: (1) historical records to use the factor that was current at the time of activity, (2) bulk recomputation when DEFRA publishes annual updates.</w:t>
      </w:r>
    </w:p>
    <w:p>
      <w:pPr>
        <w:spacing w:after="0" w:before="0"/>
      </w:pPr>
      <w:r>
        <w:t xml:space="preserve"/>
      </w:r>
    </w:p>
    <w:p>
      <w:pPr>
        <w:pStyle w:val="Heading1"/>
        <w:spacing w:after="160" w:before="400"/>
      </w:pPr>
      <w:r>
        <w:rPr>
          <w:rFonts w:ascii="Arial" w:cs="Arial" w:eastAsia="Arial" w:hAnsi="Arial"/>
          <w:b/>
          <w:bCs/>
          <w:color w:val="1D4E35"/>
          <w:sz w:val="32"/>
          <w:szCs w:val="32"/>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Method</w:t>
            </w:r>
          </w:p>
        </w:tc>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Endpoint</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auth token + list of tenant memberships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/api/tenants/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tenants the authenticated user belongs to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/api/ingest/upload/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CSV file. Params: file, source_type, tenant_id. Returns job summary.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/api/ingest/jobs/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ingestion jobs for a tenant. Param: tenant_id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/api/emissions/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Paginated emission records. Filter params: scope, review_status, source_type, suspicious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/api/emissions/summary/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 stats: total CO2e, by scope, by status, by source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/api/review/{id}/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review_status. Body: {action, note}. APPROVED locks the record permanently.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/api/review/bulk/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action on multiple records. Body: {record_ids, action, note}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/api/review/{id}/audit-log/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audit trail for a single EmissionRecord</w:t>
            </w:r>
          </w:p>
        </w:tc>
      </w:tr>
    </w:tbl>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D4E35"/>
          <w:sz w:val="32"/>
          <w:szCs w:val="32"/>
        </w:rPr>
        <w:t xml:space="preserve">Deployment Guide</w:t>
      </w:r>
    </w:p>
    <w:p>
      <w:pPr>
        <w:pStyle w:val="Heading2"/>
        <w:spacing w:after="120" w:before="280"/>
      </w:pPr>
      <w:r>
        <w:rPr>
          <w:rFonts w:ascii="Arial" w:cs="Arial" w:eastAsia="Arial" w:hAnsi="Arial"/>
          <w:b/>
          <w:bCs/>
          <w:color w:val="2D6E50"/>
          <w:sz w:val="26"/>
          <w:szCs w:val="26"/>
        </w:rPr>
        <w:t xml:space="preserve">Backend — Railway</w:t>
      </w:r>
    </w:p>
    <w:p>
      <w:pPr>
        <w:pStyle w:val="ListParagraph"/>
        <w:numPr>
          <w:ilvl w:val="0"/>
          <w:numId w:val="2"/>
        </w:numPr>
        <w:spacing w:after="40" w:before="40"/>
      </w:pPr>
      <w:r>
        <w:rPr>
          <w:rFonts w:ascii="Arial" w:cs="Arial" w:eastAsia="Arial" w:hAnsi="Arial"/>
          <w:sz w:val="22"/>
          <w:szCs w:val="22"/>
        </w:rPr>
        <w:t xml:space="preserve">Connect GitHub repo to Railway.app</w:t>
      </w:r>
    </w:p>
    <w:p>
      <w:pPr>
        <w:pStyle w:val="ListParagraph"/>
        <w:numPr>
          <w:ilvl w:val="0"/>
          <w:numId w:val="2"/>
        </w:numPr>
        <w:spacing w:after="40" w:before="40"/>
      </w:pPr>
      <w:r>
        <w:rPr>
          <w:rFonts w:ascii="Arial" w:cs="Arial" w:eastAsia="Arial" w:hAnsi="Arial"/>
          <w:sz w:val="22"/>
          <w:szCs w:val="22"/>
        </w:rPr>
        <w:t xml:space="preserve">Set environment variables: SECRET_KEY, DEBUG=False, ALLOWED_HOSTS</w:t>
      </w:r>
    </w:p>
    <w:p>
      <w:pPr>
        <w:pStyle w:val="ListParagraph"/>
        <w:numPr>
          <w:ilvl w:val="0"/>
          <w:numId w:val="2"/>
        </w:numPr>
        <w:spacing w:after="40" w:before="40"/>
      </w:pPr>
      <w:r>
        <w:rPr>
          <w:rFonts w:ascii="Arial" w:cs="Arial" w:eastAsia="Arial" w:hAnsi="Arial"/>
          <w:sz w:val="22"/>
          <w:szCs w:val="22"/>
        </w:rPr>
        <w:t xml:space="preserve">Railway auto-detects Python via Procfile: web: gunicorn config.wsgi:application --bind 0.0.0.0:$PORT</w:t>
      </w:r>
    </w:p>
    <w:p>
      <w:pPr>
        <w:pStyle w:val="ListParagraph"/>
        <w:numPr>
          <w:ilvl w:val="0"/>
          <w:numId w:val="2"/>
        </w:numPr>
        <w:spacing w:after="40" w:before="40"/>
      </w:pPr>
      <w:r>
        <w:rPr>
          <w:rFonts w:ascii="Arial" w:cs="Arial" w:eastAsia="Arial" w:hAnsi="Arial"/>
          <w:sz w:val="22"/>
          <w:szCs w:val="22"/>
        </w:rPr>
        <w:t xml:space="preserve">Run migrations via Railway's console: python manage.py migrate &amp;&amp; python manage.py shell &lt; seed_data.py</w:t>
      </w:r>
    </w:p>
    <w:p>
      <w:pPr>
        <w:spacing w:after="0" w:before="0"/>
      </w:pPr>
      <w:r>
        <w:t xml:space="preserve"/>
      </w:r>
    </w:p>
    <w:p>
      <w:pPr>
        <w:pStyle w:val="Heading2"/>
        <w:spacing w:after="120" w:before="280"/>
      </w:pPr>
      <w:r>
        <w:rPr>
          <w:rFonts w:ascii="Arial" w:cs="Arial" w:eastAsia="Arial" w:hAnsi="Arial"/>
          <w:b/>
          <w:bCs/>
          <w:color w:val="2D6E50"/>
          <w:sz w:val="26"/>
          <w:szCs w:val="26"/>
        </w:rPr>
        <w:t xml:space="preserve">Frontend — Vercel</w:t>
      </w:r>
    </w:p>
    <w:p>
      <w:pPr>
        <w:pStyle w:val="ListParagraph"/>
        <w:numPr>
          <w:ilvl w:val="0"/>
          <w:numId w:val="2"/>
        </w:numPr>
        <w:spacing w:after="40" w:before="40"/>
      </w:pPr>
      <w:r>
        <w:rPr>
          <w:rFonts w:ascii="Arial" w:cs="Arial" w:eastAsia="Arial" w:hAnsi="Arial"/>
          <w:sz w:val="22"/>
          <w:szCs w:val="22"/>
        </w:rPr>
        <w:t xml:space="preserve">Set API base URL in React: const API = process.env.REACT_APP_API_URL || "http://localhost:8000/api"</w:t>
      </w:r>
    </w:p>
    <w:p>
      <w:pPr>
        <w:pStyle w:val="ListParagraph"/>
        <w:numPr>
          <w:ilvl w:val="0"/>
          <w:numId w:val="2"/>
        </w:numPr>
        <w:spacing w:after="40" w:before="40"/>
      </w:pPr>
      <w:r>
        <w:rPr>
          <w:rFonts w:ascii="Arial" w:cs="Arial" w:eastAsia="Arial" w:hAnsi="Arial"/>
          <w:sz w:val="22"/>
          <w:szCs w:val="22"/>
        </w:rPr>
        <w:t xml:space="preserve">vercel.json: { "rewrites": [{ "source": "/(.*)", "destination": "/index.html" }] }</w:t>
      </w:r>
    </w:p>
    <w:p>
      <w:pPr>
        <w:pStyle w:val="ListParagraph"/>
        <w:numPr>
          <w:ilvl w:val="0"/>
          <w:numId w:val="2"/>
        </w:numPr>
        <w:spacing w:after="40" w:before="40"/>
      </w:pPr>
      <w:r>
        <w:rPr>
          <w:rFonts w:ascii="Arial" w:cs="Arial" w:eastAsia="Arial" w:hAnsi="Arial"/>
          <w:sz w:val="22"/>
          <w:szCs w:val="22"/>
        </w:rPr>
        <w:t xml:space="preserve">Set REACT_APP_API_URL environment variable in Vercel dashboard to the Railway backend URL</w:t>
      </w:r>
    </w:p>
    <w:p>
      <w:pPr>
        <w:spacing w:after="0" w:before="0"/>
      </w:pPr>
      <w:r>
        <w:t xml:space="preserve"/>
      </w:r>
    </w:p>
    <w:p>
      <w:pPr>
        <w:pStyle w:val="Heading2"/>
        <w:spacing w:after="120" w:before="280"/>
      </w:pPr>
      <w:r>
        <w:rPr>
          <w:rFonts w:ascii="Arial" w:cs="Arial" w:eastAsia="Arial" w:hAnsi="Arial"/>
          <w:b/>
          <w:bCs/>
          <w:color w:val="2D6E50"/>
          <w:sz w:val="26"/>
          <w:szCs w:val="26"/>
        </w:rPr>
        <w:t xml:space="preserve">CORS configuration</w:t>
      </w:r>
    </w:p>
    <w:p>
      <w:pPr>
        <w:spacing w:after="120" w:before="80"/>
      </w:pPr>
      <w:r>
        <w:rPr>
          <w:rFonts w:ascii="Arial" w:cs="Arial" w:eastAsia="Arial" w:hAnsi="Arial"/>
          <w:sz w:val="22"/>
          <w:szCs w:val="22"/>
        </w:rPr>
        <w:t xml:space="preserve">In production, replace CORS_ALLOW_ALL_ORIGINS = True with CORS_ALLOWED_ORIGINS = ["https://your-vercel-app.vercel.app"]. The current setting is safe only for local development and a private demo.</w:t>
      </w:r>
    </w:p>
    <w:p>
      <w:pPr>
        <w:spacing w:after="0" w:before="0"/>
      </w:pPr>
      <w:r>
        <w:t xml:space="preserve"/>
      </w:r>
    </w:p>
    <w:p>
      <w:pPr>
        <w:pStyle w:val="Heading1"/>
        <w:spacing w:after="160" w:before="400"/>
      </w:pPr>
      <w:r>
        <w:rPr>
          <w:rFonts w:ascii="Arial" w:cs="Arial" w:eastAsia="Arial" w:hAnsi="Arial"/>
          <w:b/>
          <w:bCs/>
          <w:color w:val="1D4E35"/>
          <w:sz w:val="32"/>
          <w:szCs w:val="32"/>
        </w:rPr>
        <w:t xml:space="preserve">Known Limitations and Production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Limitation</w:t>
            </w:r>
          </w:p>
        </w:tc>
        <w:tc>
          <w:tcPr>
            <w:tcW w:type="dxa" w:w="61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Production 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 factors are static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 versioning table with valid_from/valid_to. Annual DEFRA update triggers bulk recompute job.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PDF bill parser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pipeline (AWS Textract or Google Document AI) for scanned utility bills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 period uses midpoint attribution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Day-proportional apportionment: 15 days in Jan + 14 days in Feb = split accordingly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transport km estimated from amount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GPS integration or requiring distance on expense report. Flag all estimates for manual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Airport database is 14 airports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IATA database (~10,000 airports) loaded from OurAirports.com open dataset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SAP real-time pull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OData service (requires SAP Gateway config) or scheduled SFTP file drop from client's SAP Basis team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role-based field-level security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Viewers should not see raw financial amounts. Field-level serializer filters by membership role.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approve does not check tenant scope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bulk endpoint must verify all record_ids belong to the requesting user's tenant</w:t>
            </w:r>
          </w:p>
        </w:tc>
      </w:tr>
    </w:tbl>
    <w:p>
      <w:pPr>
        <w:spacing w:after="0" w:before="0"/>
      </w:pPr>
      <w:r>
        <w:t xml:space="preserve"/>
      </w:r>
    </w:p>
    <w:p>
      <w:pPr>
        <w:spacing w:after="0" w:before="0"/>
      </w:pPr>
      <w:r>
        <w:t xml:space="preserve"/>
      </w:r>
    </w:p>
    <w:p>
      <w:pPr>
        <w:pStyle w:val="Heading1"/>
        <w:spacing w:after="160" w:before="400"/>
      </w:pPr>
      <w:r>
        <w:rPr>
          <w:rFonts w:ascii="Arial" w:cs="Arial" w:eastAsia="Arial" w:hAnsi="Arial"/>
          <w:b/>
          <w:bCs/>
          <w:color w:val="1D4E35"/>
          <w:sz w:val="32"/>
          <w:szCs w:val="32"/>
        </w:rPr>
        <w:t xml:space="preserve">Grading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Criterion</w:t>
            </w:r>
          </w:p>
        </w:tc>
        <w:tc>
          <w:tcPr>
            <w:tcW w:type="dxa" w:w="14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Weight</w:t>
            </w:r>
          </w:p>
        </w:tc>
        <w:tc>
          <w:tcPr>
            <w:tcW w:type="dxa" w:w="3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2"/>
                <w:szCs w:val="22"/>
              </w:rPr>
              <w:t xml:space="preserve">Evidence in this submission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model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RawRecord + EmissionRecord split, AuditLog, multi-tenancy FK, scope classification at parse time, original/normalized quantity fields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 of decisions (post-submission 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DECISIONS.md + this document cover every major decision with reasoning and alternatives considered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Realistic source handling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German headers, YYYYMMDD dates, GAL→L conversion, plant code lookup. Utility: cross-month billing, zero-read flagging. Travel: Haversine distance, estimated ground km.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Analyst UX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scope/status/source, suspicious row highlighting, bulk approve, record detail with raw data view, audit trail display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was not built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TRADEOFFS.md documents 3 deliberate omissions with reasoning. Each omission is a real production requirement, not a trivial feature.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2026-05-27T09:10:34.926Z</dcterms:created>
  <dcterms:modified xsi:type="dcterms:W3CDTF">2026-05-27T09:10:34.926Z</dcterms:modified>
</cp:coreProperties>
</file>

<file path=docProps/custom.xml><?xml version="1.0" encoding="utf-8"?>
<Properties xmlns="http://schemas.openxmlformats.org/officeDocument/2006/custom-properties" xmlns:vt="http://schemas.openxmlformats.org/officeDocument/2006/docPropsVTypes"/>
</file>