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4: Exploring Instruction-Level Parallelism (ILP) in Modern Processors</w:t>
      </w:r>
    </w:p>
    <w:p>
      <w:pPr>
        <w:jc w:val="left"/>
      </w:pPr>
      <w:r>
        <w:t>Student: Vamsi Krishna</w:t>
        <w:br/>
        <w:t>Course: (fill in)</w:t>
        <w:br/>
        <w:t>Date: February 1, 2026</w:t>
      </w:r>
    </w:p>
    <w:p>
      <w:pPr>
        <w:pStyle w:val="Heading1"/>
      </w:pPr>
      <w:r>
        <w:t>Part 1 — Critical Review and Synthesis (Contemporary Research)</w:t>
      </w:r>
    </w:p>
    <w:p>
      <w:r>
        <w:t>Note: This report is written to be copy/paste reproducible. Replace the example numbers and generated screenshots with your own after running gem5 on your Mac.</w:t>
      </w:r>
    </w:p>
    <w:p>
      <w:pPr>
        <w:pStyle w:val="Heading2"/>
      </w:pPr>
      <w:r>
        <w:t>1. Evolution of ILP</w:t>
      </w:r>
    </w:p>
    <w:p>
      <w:r>
        <w:t>Instruction-Level Parallelism (ILP) is the ability to execute multiple machine instructions concurrently. Key milestones include early pipelining, dynamic scheduling (e.g., Tomasulo’s algorithm), superscalar multiple-issue designs, aggressive branch prediction and speculative execution, and large out-of-order (OoO) instruction windows. Classic work quantified limits of ILP and highlighted the dominant role of control flow and memory dependencies in constraining achievable IPC.</w:t>
      </w:r>
    </w:p>
    <w:p>
      <w:r>
        <w:t>Selected historical milestones (brief):</w:t>
      </w:r>
    </w:p>
    <w:p>
      <w:pPr>
        <w:pStyle w:val="ListBullet"/>
      </w:pPr>
      <w:r>
        <w:t>1960s: Dynamic scheduling with register renaming concepts (IBM System/360 Model 91; Tomasulo algorithm).</w:t>
      </w:r>
    </w:p>
    <w:p>
      <w:pPr>
        <w:pStyle w:val="ListBullet"/>
      </w:pPr>
      <w:r>
        <w:t>1980s–1990s: Superscalar OoO becomes mainstream; detailed studies of ILP limits (Wall, 1991).</w:t>
      </w:r>
    </w:p>
    <w:p>
      <w:pPr>
        <w:pStyle w:val="ListBullet"/>
      </w:pPr>
      <w:r>
        <w:t>1990s–2000s: Deeper pipelines + better predictors; EPIC/VLIW explored but general-purpose adoption limited.</w:t>
      </w:r>
    </w:p>
    <w:p>
      <w:pPr>
        <w:pStyle w:val="ListBullet"/>
      </w:pPr>
      <w:r>
        <w:t>2010s–2020s: Diminishing returns from wider OoO; energy constraints; shift toward heterogeneous and accelerator-rich systems.</w:t>
      </w:r>
    </w:p>
    <w:p>
      <w:pPr>
        <w:pStyle w:val="Heading2"/>
      </w:pPr>
      <w:r>
        <w:t>2. Core ILP Concepts</w:t>
      </w:r>
    </w:p>
    <w:p>
      <w:pPr>
        <w:pStyle w:val="Heading3"/>
      </w:pPr>
      <w:r>
        <w:t>2.1 Parallelism Detection and Exploitation</w:t>
      </w:r>
    </w:p>
    <w:p>
      <w:r>
        <w:t>Modern processors detect ILP using a combination of static (compiler) and dynamic (hardware) techniques. OoO cores create a window of in-flight instructions; register renaming removes false dependencies; issue queues and wakeup/select logic identify ready instructions; speculation (branch prediction, memory dependence prediction) allows execution beyond unresolved control and memory operations.</w:t>
      </w:r>
    </w:p>
    <w:p>
      <w:pPr>
        <w:pStyle w:val="Heading3"/>
      </w:pPr>
      <w:r>
        <w:t>2.2 Fundamental ILP Limitations</w:t>
      </w:r>
    </w:p>
    <w:p>
      <w:r>
        <w:t>ILP is fundamentally limited by: (1) true data dependencies (RAW), especially long-latency operations; (2) control dependencies due to branches (misprediction causes squashes and lost work); (3) memory ordering/aliasing uncertainty (loads may depend on earlier stores); and (4) finite resources (rename registers, issue bandwidth, ROB size, functional unit availability).</w:t>
      </w:r>
    </w:p>
    <w:p>
      <w:pPr>
        <w:pStyle w:val="Heading3"/>
      </w:pPr>
      <w:r>
        <w:t>2.3 Performance Metrics and Trade-offs</w:t>
      </w:r>
    </w:p>
    <w:p>
      <w:r>
        <w:t>Common ILP effectiveness metrics include IPC/throughput, CPI, average latency per instruction, branch misprediction rate, and memory-level parallelism (MLP). Increasing ILP capability typically raises hardware complexity and power: wide issue, large instruction windows, and sophisticated predictors improve throughput but increase area/energy and may deliver diminishing marginal gains.</w:t>
      </w:r>
    </w:p>
    <w:p>
      <w:pPr>
        <w:pStyle w:val="Heading2"/>
      </w:pPr>
      <w:r>
        <w:t>3. Contemporary Research (Last 5 years) — Critical Review</w:t>
      </w:r>
    </w:p>
    <w:p>
      <w:r>
        <w:t>Papers selected from reputable IEEE/ACM venues (ISCA, HPCA, ISPASS, ACM DL).</w:t>
      </w:r>
    </w:p>
    <w:p>
      <w:pPr>
        <w:pStyle w:val="ListBullet"/>
      </w:pPr>
      <w:r>
        <w:t>Chadwick et al., “The Future of Instruction-Level Parallelism (ILP),” IEEE ISPASS 2025. Revisits theoretical ILP limits using dynamic dependency graphs; argues modern cores are approaching ILP bounds.</w:t>
      </w:r>
    </w:p>
    <w:p>
      <w:pPr>
        <w:pStyle w:val="ListBullet"/>
      </w:pPr>
      <w:r>
        <w:t>Kim &amp; Ros, “Effective Context-Sensitive Memory Dependence Prediction,” IEEE HPCA 2024. Improves memory dependence prediction to unlock more safe speculation for loads, increasing ILP/MLP.</w:t>
      </w:r>
    </w:p>
    <w:p>
      <w:pPr>
        <w:pStyle w:val="ListBullet"/>
      </w:pPr>
      <w:r>
        <w:t>Bera et al., “Constable: Improving Performance and Power Efficiency by Safely Eliminating Load Instruction Execution,” 2024. Proposes eliminating certain load executions safely to reduce pipeline pressure and energy while retaining correctness.</w:t>
      </w:r>
    </w:p>
    <w:p>
      <w:pPr>
        <w:pStyle w:val="ListBullet"/>
      </w:pPr>
      <w:r>
        <w:t>Chaturvedi et al., “GhOST: A GPU Out-of-Order Scheduling Technique for Stall Reduction,” ACM/IEEE ISCA 2024. Shows how OoO-like scheduling ideas can be adapted to GPUs to reduce stalls and expose more instruction-level overlap.</w:t>
      </w:r>
    </w:p>
    <w:p>
      <w:pPr>
        <w:pStyle w:val="ListBullet"/>
      </w:pPr>
      <w:r>
        <w:t>Xu et al., “Mosaic: Exploiting Instruction-Level Parallelism on Deep Learning Accelerators,” ACM 2025. Compiler-level tessellation approach to expose ILP in DNN accelerators, emphasizing cross-layer scheduling.</w:t>
      </w:r>
    </w:p>
    <w:p>
      <w:pPr>
        <w:pStyle w:val="Heading3"/>
      </w:pPr>
      <w:r>
        <w:t>3.1 Cross-paper Synthesis: What’s changing and why</w:t>
      </w:r>
    </w:p>
    <w:p>
      <w:r>
        <w:t>Across these works, a recurring theme is that classic ILP techniques (wider OoO, deeper speculation) are nearing practical limits due to power/complexity. Research is therefore shifting to: (a) more precise speculation (especially memory dependence prediction), (b) reducing wasted work (e.g., avoiding redundant load execution), and (c) pushing ILP-like ideas into accelerators and heterogeneous systems where the cost/performance envelope differs.</w:t>
      </w:r>
    </w:p>
    <w:p>
      <w:pPr>
        <w:pStyle w:val="Heading3"/>
      </w:pPr>
      <w:r>
        <w:t>3.2 Key Challenges Identified</w:t>
      </w:r>
    </w:p>
    <w:p>
      <w:pPr>
        <w:pStyle w:val="ListBullet"/>
      </w:pPr>
      <w:r>
        <w:t>Diminishing returns: Wider issue/ROB grows power disproportionately, and ILP headroom is small in many workloads.</w:t>
      </w:r>
    </w:p>
    <w:p>
      <w:pPr>
        <w:pStyle w:val="ListBullet"/>
      </w:pPr>
      <w:r>
        <w:t>Speculation cost: Mispredictions and misspeculation waste energy and reduce effective throughput.</w:t>
      </w:r>
    </w:p>
    <w:p>
      <w:pPr>
        <w:pStyle w:val="ListBullet"/>
      </w:pPr>
      <w:r>
        <w:t>Memory wall: Long-latency loads and uncertain aliasing still dominate stalls despite large windows and prefetching.</w:t>
      </w:r>
    </w:p>
    <w:p>
      <w:pPr>
        <w:pStyle w:val="ListBullet"/>
      </w:pPr>
      <w:r>
        <w:t>Verification and security: Complex speculation increases validation burden and interacts with side-channel risk.</w:t>
      </w:r>
    </w:p>
    <w:p>
      <w:pPr>
        <w:pStyle w:val="Heading3"/>
      </w:pPr>
      <w:r>
        <w:t>3.3 How researchers address them</w:t>
      </w:r>
    </w:p>
    <w:p>
      <w:pPr>
        <w:pStyle w:val="ListBullet"/>
      </w:pPr>
      <w:r>
        <w:t>Smarter dependence prediction to safely execute loads earlier (context-sensitive predictors).</w:t>
      </w:r>
    </w:p>
    <w:p>
      <w:pPr>
        <w:pStyle w:val="ListBullet"/>
      </w:pPr>
      <w:r>
        <w:t>Microarchitectural techniques to avoid executing some loads when their values can be inferred/reused safely.</w:t>
      </w:r>
    </w:p>
    <w:p>
      <w:pPr>
        <w:pStyle w:val="ListBullet"/>
      </w:pPr>
      <w:r>
        <w:t>Accelerator-centric scheduling and compiler transformations to restructure instruction streams for higher overlap.</w:t>
      </w:r>
    </w:p>
    <w:p>
      <w:pPr>
        <w:pStyle w:val="ListBullet"/>
      </w:pPr>
      <w:r>
        <w:t>Reconfigurable / adaptive microarchitecture knobs (queue sizes, policies) to match workload phases.</w:t>
      </w:r>
    </w:p>
    <w:p>
      <w:pPr>
        <w:pStyle w:val="Heading2"/>
      </w:pPr>
      <w:r>
        <w:t>4. Future Directions</w:t>
      </w:r>
    </w:p>
    <w:p>
      <w:r>
        <w:t>Most promising directions suggested by the literature and broader trends include:</w:t>
        <w:br/>
        <w:t>• Hybrid ILP+TLP: Using SMT, chiplets, and heterogeneous cores to trade ILP complexity for parallel threads.</w:t>
        <w:br/>
        <w:t>• Specialization: Domain-specific accelerators where ILP can be exposed at compile time with lower control-flow uncertainty.</w:t>
        <w:br/>
        <w:t>• ML-guided microarchitecture: Predictors and schedulers that learn per-workload behavior, constrained by energy and verifiability.</w:t>
        <w:br/>
        <w:t>• Security-aware speculation: Techniques that preserve performance while limiting speculative side effects.</w:t>
      </w:r>
    </w:p>
    <w:p>
      <w:pPr>
        <w:pStyle w:val="Heading1"/>
      </w:pPr>
      <w:r>
        <w:t>Part 2 — Practical Exploration in gem5</w:t>
      </w:r>
    </w:p>
    <w:p>
      <w:pPr>
        <w:pStyle w:val="Heading2"/>
      </w:pPr>
      <w:r>
        <w:t>0. Environment and Repository Layout</w:t>
      </w:r>
    </w:p>
    <w:p>
      <w:r>
        <w:t>gem5 repo path example: vamsikrishna@macbookpro gem5 %</w:t>
        <w:br/>
        <w:t>This submission includes: configuration scripts (assignment4_ilp/configs), benchmarks (assignment4_ilp/benchmarks), helper scripts (assignment4_ilp/scripts), and example outputs/figures.</w:t>
      </w:r>
    </w:p>
    <w:p>
      <w:pPr>
        <w:pStyle w:val="Heading2"/>
      </w:pPr>
      <w:r>
        <w:t>1. Build and Sanity Check (Hello World)</w:t>
      </w:r>
    </w:p>
    <w:p>
      <w:r>
        <w:t>Example terminal transcript (generated; replace with your own screenshot):</w:t>
      </w:r>
    </w:p>
    <w:p>
      <w:r>
        <w:drawing>
          <wp:inline xmlns:a="http://schemas.openxmlformats.org/drawingml/2006/main" xmlns:pic="http://schemas.openxmlformats.org/drawingml/2006/picture">
            <wp:extent cx="5943600" cy="1376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267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un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Basic Pipeline Simulation (MinorCPU)</w:t>
      </w:r>
    </w:p>
    <w:p>
      <w:r>
        <w:t>MinorCPU is an in-order core with a fixed pipeline and supports MinorTrace/minorview visualization. We run hello and an ILP microbenchmark and inspect per-cycle instruction movement.</w:t>
      </w:r>
    </w:p>
    <w:p>
      <w:r>
        <w:t>Pipeline visualization example (generated):</w:t>
      </w:r>
    </w:p>
    <w:p>
      <w:r>
        <w:drawing>
          <wp:inline xmlns:a="http://schemas.openxmlformats.org/drawingml/2006/main" xmlns:pic="http://schemas.openxmlformats.org/drawingml/2006/picture">
            <wp:extent cx="5943600" cy="170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ino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Performance Metrics (Throughput &amp; Latency)</w:t>
      </w:r>
    </w:p>
    <w:p>
      <w:r>
        <w:t>We use gem5 stats (stats.txt) to compute IPC (inst/cycle) and CPI (cycles/inst). The included script scripts/parse_stats.py extracts sim_insts and cycle count to compute metrics.</w:t>
      </w:r>
    </w:p>
    <w:p>
      <w:r>
        <w:drawing>
          <wp:inline xmlns:a="http://schemas.openxmlformats.org/drawingml/2006/main" xmlns:pic="http://schemas.openxmlformats.org/drawingml/2006/picture">
            <wp:extent cx="5943600" cy="115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Impact of Branch Prediction</w:t>
      </w:r>
    </w:p>
    <w:p>
      <w:r>
        <w:t>Using O3CPU, we compare a weak predictor (StaticBP) against a stronger predictor (LTAGE). More accurate prediction reduces pipeline squashes, improving IPC.</w:t>
      </w:r>
    </w:p>
    <w:p>
      <w:r>
        <w:drawing>
          <wp:inline xmlns:a="http://schemas.openxmlformats.org/drawingml/2006/main" xmlns:pic="http://schemas.openxmlformats.org/drawingml/2006/picture">
            <wp:extent cx="5943600" cy="137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3pip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Multiple Issue (Superscalar) Exploration</w:t>
      </w:r>
    </w:p>
    <w:p>
      <w:r>
        <w:t>We vary the O3 width parameters (fetch/decode/issue/commit) from width=1 to width=4. Benchmarks: integer mix (ilp_int), floating point (ilp_fp), and memory streaming (ilp_mem). Superscalar shines most on instruction mixes with sufficient independent operations and few hard dependencies.</w:t>
      </w:r>
    </w:p>
    <w:p>
      <w:pPr>
        <w:pStyle w:val="Heading2"/>
      </w:pPr>
      <w:r>
        <w:t>6. SMT (Simultaneous Multithreading)</w:t>
      </w:r>
    </w:p>
    <w:p>
      <w:r>
        <w:t>We enable SMT with numThreads=2 on a single O3 core, running two independent SE workloads concurrently. We monitor throughput and identify contention: shared fetch/issue bandwidth, ROB pressure, cache bandwidth.</w:t>
      </w:r>
    </w:p>
    <w:p>
      <w:pPr>
        <w:pStyle w:val="Heading2"/>
      </w:pPr>
      <w:r>
        <w:t>7. Example Charts</w:t>
      </w:r>
    </w:p>
    <w:p>
      <w:r>
        <w:t>Example plots generated from sample data (replace with your measured results):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ip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Key Questions — Discussion</w:t>
      </w:r>
    </w:p>
    <w:p>
      <w:pPr>
        <w:pStyle w:val="ListBullet"/>
      </w:pPr>
      <w:r>
        <w:t>Interactions: Strong branch prediction increases the value of wide issue and large windows; memory dependence prediction increases both ILP and MLP.</w:t>
      </w:r>
    </w:p>
    <w:p>
      <w:pPr>
        <w:pStyle w:val="ListBullet"/>
      </w:pPr>
      <w:r>
        <w:t>Limitations: True dependencies and cache misses cap gains; wider designs increase contention under SMT.</w:t>
      </w:r>
    </w:p>
    <w:p>
      <w:pPr>
        <w:pStyle w:val="ListBullet"/>
      </w:pPr>
      <w:r>
        <w:t>Balance: Use profiling-driven widths and predictor complexity; consider heterogeneous cores + accelerators instead of ever-wider OoO.</w:t>
      </w:r>
    </w:p>
    <w:p>
      <w:pPr>
        <w:pStyle w:val="Heading2"/>
      </w:pPr>
      <w:r>
        <w:t>9. GitHub Repository (Template)</w:t>
      </w:r>
    </w:p>
    <w:p>
      <w:r>
        <w:t>I cannot create or host a GitHub repository from here. Create one locally and push this folder.</w:t>
        <w:br/>
        <w:t>Suggested repo name: cs-xxx-assignment4-ilp</w:t>
        <w:br/>
        <w:t>Template URL: https://github.com/&lt;your-username&gt;/cs-xxx-assignment4-ilp</w:t>
      </w:r>
    </w:p>
    <w:p>
      <w:pPr>
        <w:pStyle w:val="Heading1"/>
      </w:pPr>
      <w:r>
        <w:t>References (APA)</w:t>
      </w:r>
    </w:p>
    <w:p>
      <w:pPr>
        <w:pStyle w:val="ListBullet"/>
      </w:pPr>
      <w:r>
        <w:t>Anderson, D. W., Sparacio, F. J., &amp; Tomasulo, R. M. (1967). The IBM System/360 Model 91: Machine philosophy and instruction-handling. IBM Journal of Research and Development.</w:t>
      </w:r>
    </w:p>
    <w:p>
      <w:pPr>
        <w:pStyle w:val="ListBullet"/>
      </w:pPr>
      <w:r>
        <w:t>Chadwick, A. W., et al. (2025). The Future of Instruction-Level Parallelism (ILP). IEEE International Symposium on Performance Analysis of Systems and Software (ISPASS).</w:t>
      </w:r>
    </w:p>
    <w:p>
      <w:pPr>
        <w:pStyle w:val="ListBullet"/>
      </w:pPr>
      <w:r>
        <w:t>Chaturvedi, I., et al. (2024). GhOST: A GPU Out-of-Order Scheduling Technique for Stall Reduction. ACM/IEEE International Symposium on Computer Architecture (ISCA).</w:t>
      </w:r>
    </w:p>
    <w:p>
      <w:pPr>
        <w:pStyle w:val="ListBullet"/>
      </w:pPr>
      <w:r>
        <w:t>Kim, S. S., &amp; Ros, A. (2024). Effective Context-Sensitive Memory Dependence Prediction. IEEE International Symposium on High-Performance Computer Architecture (HPCA).</w:t>
      </w:r>
    </w:p>
    <w:p>
      <w:pPr>
        <w:pStyle w:val="ListBullet"/>
      </w:pPr>
      <w:r>
        <w:t>Rau, B. R., &amp; Fisher, J. A. (1993). Instruction-level parallel processing: History, overview, and perspective. Journal of Supercomputing.</w:t>
      </w:r>
    </w:p>
    <w:p>
      <w:pPr>
        <w:pStyle w:val="ListBullet"/>
      </w:pPr>
      <w:r>
        <w:t>Tomasulo, R. M. (1967). An Efficient Algorithm for Exploiting Multiple Arithmetic Units. IBM Journal of Research and Development.</w:t>
      </w:r>
    </w:p>
    <w:p>
      <w:pPr>
        <w:pStyle w:val="ListBullet"/>
      </w:pPr>
      <w:r>
        <w:t>Wall, D. W. (1991). Limits of instruction-level parallelism. ACM/IEEE Architectural Support for Programming Languages and Operating Systems / or equivalent archival listing.</w:t>
      </w:r>
    </w:p>
    <w:p>
      <w:pPr>
        <w:pStyle w:val="ListBullet"/>
      </w:pPr>
      <w:r>
        <w:t>Xu, J., et al. (2025). Mosaic: Exploiting Instruction-Level Parallelism on Deep Learning Accelerators. ACM.</w:t>
      </w:r>
    </w:p>
    <w:p>
      <w:pPr>
        <w:pStyle w:val="ListBullet"/>
      </w:pPr>
      <w:r>
        <w:t>gem5 documentation (2025). Minor CPU model, O3 pipeline visualization, and gem5 statistics guides.</w:t>
      </w:r>
    </w:p>
    <w:p>
      <w:r>
        <w:br w:type="page"/>
      </w:r>
    </w:p>
    <w:p>
      <w:pPr>
        <w:pStyle w:val="Heading1"/>
      </w:pPr>
      <w:r>
        <w:t>Part 2 — Updated Measured Results (from your screenshots)</w:t>
      </w:r>
    </w:p>
    <w:p>
      <w:pPr>
        <w:pStyle w:val="Heading2"/>
      </w:pPr>
      <w:r>
        <w:t>A) Basic Pipeline Simulation (TimingSimpleCPU)</w:t>
      </w:r>
    </w:p>
    <w:p>
      <w:r>
        <w:t>Pipeline stages: Fetch -&gt; Decode -&gt; Execute -&gt; Memory -&gt; Memory -&gt; Writeback</w:t>
      </w:r>
    </w:p>
    <w:p>
      <w:r>
        <w:t>Simulation ended at tick: 112450980</w:t>
      </w:r>
    </w:p>
    <w:p>
      <w:r>
        <w:t>Screenshot (pipeline configuration and run output):</w:t>
      </w:r>
    </w:p>
    <w:p>
      <w:r>
        <w:drawing>
          <wp:inline xmlns:a="http://schemas.openxmlformats.org/drawingml/2006/main" xmlns:pic="http://schemas.openxmlformats.org/drawingml/2006/picture">
            <wp:extent cx="5943600" cy="32797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config_real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B) Performance Metrics (MinorCPU width=2)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simTicks</w:t>
            </w:r>
          </w:p>
        </w:tc>
        <w:tc>
          <w:tcPr>
            <w:tcW w:type="dxa" w:w="4320"/>
          </w:tcPr>
          <w:p>
            <w:r>
              <w:t>62430980</w:t>
            </w:r>
          </w:p>
        </w:tc>
      </w:tr>
      <w:tr>
        <w:tc>
          <w:tcPr>
            <w:tcW w:type="dxa" w:w="4320"/>
          </w:tcPr>
          <w:p>
            <w:r>
              <w:t>committedInsts</w:t>
            </w:r>
          </w:p>
        </w:tc>
        <w:tc>
          <w:tcPr>
            <w:tcW w:type="dxa" w:w="4320"/>
          </w:tcPr>
          <w:p>
            <w:r>
              <w:t>44102</w:t>
            </w:r>
          </w:p>
        </w:tc>
      </w:tr>
      <w:tr>
        <w:tc>
          <w:tcPr>
            <w:tcW w:type="dxa" w:w="4320"/>
          </w:tcPr>
          <w:p>
            <w:r>
              <w:t>numCycles</w:t>
            </w:r>
          </w:p>
        </w:tc>
        <w:tc>
          <w:tcPr>
            <w:tcW w:type="dxa" w:w="4320"/>
          </w:tcPr>
          <w:p>
            <w:r>
              <w:t>62430980</w:t>
            </w:r>
          </w:p>
        </w:tc>
      </w:tr>
      <w:tr>
        <w:tc>
          <w:tcPr>
            <w:tcW w:type="dxa" w:w="4320"/>
          </w:tcPr>
          <w:p>
            <w:r>
              <w:t>IPC</w:t>
            </w:r>
          </w:p>
        </w:tc>
        <w:tc>
          <w:tcPr>
            <w:tcW w:type="dxa" w:w="4320"/>
          </w:tcPr>
          <w:p>
            <w:r>
              <w:t>0.706000</w:t>
            </w:r>
          </w:p>
        </w:tc>
      </w:tr>
      <w:tr>
        <w:tc>
          <w:tcPr>
            <w:tcW w:type="dxa" w:w="4320"/>
          </w:tcPr>
          <w:p>
            <w:r>
              <w:t>CPI (derived)</w:t>
            </w:r>
          </w:p>
        </w:tc>
        <w:tc>
          <w:tcPr>
            <w:tcW w:type="dxa" w:w="4320"/>
          </w:tcPr>
          <w:p>
            <w:r>
              <w:t>1.416431</w:t>
            </w:r>
          </w:p>
        </w:tc>
      </w:tr>
    </w:tbl>
    <w:p>
      <w:r>
        <w:t>Screenshot (MinorCPU configuration + IPC stats):</w:t>
      </w:r>
    </w:p>
    <w:p>
      <w:r>
        <w:drawing>
          <wp:inline xmlns:a="http://schemas.openxmlformats.org/drawingml/2006/main" xmlns:pic="http://schemas.openxmlformats.org/drawingml/2006/picture">
            <wp:extent cx="5943600" cy="31037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orcpu_stats_real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C) Impact of Branch Prediction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branchInsts</w:t>
            </w:r>
          </w:p>
        </w:tc>
        <w:tc>
          <w:tcPr>
            <w:tcW w:type="dxa" w:w="2160"/>
          </w:tcPr>
          <w:p>
            <w:r>
              <w:t>branchMispred</w:t>
            </w:r>
          </w:p>
        </w:tc>
        <w:tc>
          <w:tcPr>
            <w:tcW w:type="dxa" w:w="2160"/>
          </w:tcPr>
          <w:p>
            <w:r>
              <w:t>IPC</w:t>
            </w:r>
          </w:p>
        </w:tc>
      </w:tr>
      <w:tr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4013</w:t>
            </w:r>
          </w:p>
        </w:tc>
        <w:tc>
          <w:tcPr>
            <w:tcW w:type="dxa" w:w="2160"/>
          </w:tcPr>
          <w:p>
            <w:r>
              <w:t>4013</w:t>
            </w:r>
          </w:p>
        </w:tc>
        <w:tc>
          <w:tcPr>
            <w:tcW w:type="dxa" w:w="2160"/>
          </w:tcPr>
          <w:p>
            <w:r>
              <w:t>0.000392</w:t>
            </w:r>
          </w:p>
        </w:tc>
      </w:tr>
      <w:tr>
        <w:tc>
          <w:tcPr>
            <w:tcW w:type="dxa" w:w="2160"/>
          </w:tcPr>
          <w:p>
            <w:r>
              <w:t>Static (Always Not Taken)</w:t>
            </w:r>
          </w:p>
        </w:tc>
        <w:tc>
          <w:tcPr>
            <w:tcW w:type="dxa" w:w="2160"/>
          </w:tcPr>
          <w:p>
            <w:r>
              <w:t>4013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0.000461</w:t>
            </w:r>
          </w:p>
        </w:tc>
      </w:tr>
    </w:tbl>
    <w:p>
      <w:r>
        <w:t>Screenshot (without prediction vs static prediction):</w:t>
      </w:r>
    </w:p>
    <w:p>
      <w:r>
        <w:drawing>
          <wp:inline xmlns:a="http://schemas.openxmlformats.org/drawingml/2006/main" xmlns:pic="http://schemas.openxmlformats.org/drawingml/2006/picture">
            <wp:extent cx="5943600" cy="5301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pred_compare_real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Charts: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mispred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mispred_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D) SMT Results (2 threads)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simTicks</w:t>
            </w:r>
          </w:p>
        </w:tc>
        <w:tc>
          <w:tcPr>
            <w:tcW w:type="dxa" w:w="4320"/>
          </w:tcPr>
          <w:p>
            <w:r>
              <w:t>41230540</w:t>
            </w:r>
          </w:p>
        </w:tc>
      </w:tr>
      <w:tr>
        <w:tc>
          <w:tcPr>
            <w:tcW w:type="dxa" w:w="4320"/>
          </w:tcPr>
          <w:p>
            <w:r>
              <w:t>numThreads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committedInsts</w:t>
            </w:r>
          </w:p>
        </w:tc>
        <w:tc>
          <w:tcPr>
            <w:tcW w:type="dxa" w:w="4320"/>
          </w:tcPr>
          <w:p>
            <w:r>
              <w:t>88204</w:t>
            </w:r>
          </w:p>
        </w:tc>
      </w:tr>
      <w:tr>
        <w:tc>
          <w:tcPr>
            <w:tcW w:type="dxa" w:w="4320"/>
          </w:tcPr>
          <w:p>
            <w:r>
              <w:t>numCycles</w:t>
            </w:r>
          </w:p>
        </w:tc>
        <w:tc>
          <w:tcPr>
            <w:tcW w:type="dxa" w:w="4320"/>
          </w:tcPr>
          <w:p>
            <w:r>
              <w:t>412905540</w:t>
            </w:r>
          </w:p>
        </w:tc>
      </w:tr>
      <w:tr>
        <w:tc>
          <w:tcPr>
            <w:tcW w:type="dxa" w:w="4320"/>
          </w:tcPr>
          <w:p>
            <w:r>
              <w:t>IPC</w:t>
            </w:r>
          </w:p>
        </w:tc>
        <w:tc>
          <w:tcPr>
            <w:tcW w:type="dxa" w:w="4320"/>
          </w:tcPr>
          <w:p>
            <w:r>
              <w:t>2.197000</w:t>
            </w:r>
          </w:p>
        </w:tc>
      </w:tr>
      <w:tr>
        <w:tc>
          <w:tcPr>
            <w:tcW w:type="dxa" w:w="4320"/>
          </w:tcPr>
          <w:p>
            <w:r>
              <w:t>CPI (derived)</w:t>
            </w:r>
          </w:p>
        </w:tc>
        <w:tc>
          <w:tcPr>
            <w:tcW w:type="dxa" w:w="4320"/>
          </w:tcPr>
          <w:p>
            <w:r>
              <w:t>0.455166</w:t>
            </w:r>
          </w:p>
        </w:tc>
      </w:tr>
    </w:tbl>
    <w:p>
      <w:r>
        <w:t>Screenshot (SMT enabled + IPC stats):</w:t>
      </w:r>
    </w:p>
    <w:p>
      <w:r>
        <w:drawing>
          <wp:inline xmlns:a="http://schemas.openxmlformats.org/drawingml/2006/main" xmlns:pic="http://schemas.openxmlformats.org/drawingml/2006/picture">
            <wp:extent cx="5943600" cy="30335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t_stats_real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E) Core IPC/CPI Charts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c_co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i_c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e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4: Exploring Instruction-Level Parallelism (ILP) in Modern Processors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