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F393" w14:textId="77777777" w:rsidR="006138D4" w:rsidRDefault="00000000">
      <w:pPr>
        <w:spacing w:after="100"/>
        <w:jc w:val="center"/>
      </w:pPr>
      <w:r>
        <w:rPr>
          <w:b/>
          <w:bCs/>
          <w:sz w:val="32"/>
          <w:szCs w:val="32"/>
        </w:rPr>
        <w:t>SIMATS ENGINEERING</w:t>
      </w:r>
    </w:p>
    <w:p w14:paraId="043F459E" w14:textId="77777777" w:rsidR="006138D4" w:rsidRDefault="00000000">
      <w:pPr>
        <w:spacing w:after="200"/>
        <w:jc w:val="center"/>
      </w:pPr>
      <w:r>
        <w:rPr>
          <w:b/>
          <w:bCs/>
          <w:sz w:val="28"/>
          <w:szCs w:val="28"/>
        </w:rPr>
        <w:t>ASSESSMENT TOOL 3</w:t>
      </w:r>
    </w:p>
    <w:p w14:paraId="0A5E7181" w14:textId="77777777" w:rsidR="006138D4" w:rsidRDefault="00000000">
      <w:pPr>
        <w:spacing w:after="100"/>
        <w:jc w:val="center"/>
      </w:pPr>
      <w:r>
        <w:rPr>
          <w:b/>
          <w:bCs/>
        </w:rPr>
        <w:t>Course Code: ITA 06     |     Course Name: Machine Learning</w:t>
      </w:r>
    </w:p>
    <w:p w14:paraId="643510B1" w14:textId="77777777" w:rsidR="006138D4" w:rsidRDefault="00000000">
      <w:pPr>
        <w:spacing w:after="100"/>
        <w:jc w:val="center"/>
      </w:pPr>
      <w:r>
        <w:rPr>
          <w:i/>
          <w:iCs/>
        </w:rPr>
        <w:t>CO4: K-Nearest Neighbour Learning – Locally Weighted Regression – Radial Basis Functions – Case Based Learning (BL 5)</w:t>
      </w:r>
    </w:p>
    <w:p w14:paraId="62CE444B" w14:textId="77777777" w:rsidR="006138D4" w:rsidRDefault="00000000">
      <w:pPr>
        <w:spacing w:after="300"/>
        <w:jc w:val="center"/>
      </w:pPr>
      <w:r>
        <w:rPr>
          <w:b/>
          <w:bCs/>
          <w:sz w:val="26"/>
          <w:szCs w:val="26"/>
        </w:rPr>
        <w:t>Annexure A — Comparative Analysis</w:t>
      </w:r>
    </w:p>
    <w:p w14:paraId="1E1EE3F7" w14:textId="16EEE8C7" w:rsidR="006138D4" w:rsidRDefault="00000000">
      <w:pPr>
        <w:spacing w:after="120"/>
      </w:pPr>
      <w:r>
        <w:t xml:space="preserve">Name / Reg. No: </w:t>
      </w:r>
      <w:r w:rsidR="0058581E">
        <w:t>K.VAMSI KUMAR REDDY(19231270L)</w:t>
      </w:r>
    </w:p>
    <w:p w14:paraId="221C31BB" w14:textId="77777777" w:rsidR="006138D4" w:rsidRDefault="00000000">
      <w:pPr>
        <w:spacing w:after="120"/>
      </w:pPr>
      <w:r>
        <w:t>I certify that this submission is my original work and that I have adhered to the guidelines specified for this assessment.</w:t>
      </w:r>
    </w:p>
    <w:p w14:paraId="2EAC92D9" w14:textId="77777777" w:rsidR="006138D4" w:rsidRDefault="006138D4">
      <w:pPr>
        <w:spacing w:after="300"/>
      </w:pPr>
    </w:p>
    <w:p w14:paraId="2D8A665A" w14:textId="77777777" w:rsidR="006138D4" w:rsidRDefault="00000000">
      <w:pPr>
        <w:pStyle w:val="Heading2"/>
        <w:spacing w:before="240" w:after="120"/>
      </w:pPr>
      <w:r>
        <w:t>Question 1 — Linear Regression vs. Polynomial Regression (Housing Price Prediction)</w:t>
      </w:r>
    </w:p>
    <w:p w14:paraId="3185442B" w14:textId="77777777" w:rsidR="006138D4" w:rsidRDefault="00000000">
      <w:pPr>
        <w:spacing w:after="160"/>
      </w:pPr>
      <w:r>
        <w:rPr>
          <w:b/>
          <w:bCs/>
          <w:i/>
          <w:iCs/>
        </w:rPr>
        <w:t xml:space="preserve">Question: </w:t>
      </w:r>
      <w:r>
        <w:rPr>
          <w:i/>
          <w:iCs/>
        </w:rPr>
        <w:t>Compare Linear Regression and Polynomial Regression for predicting housing prices. Analyze differences in model complexity, ability to capture non-linear relationships, risk of overfitting, and interpretability. Discuss scenarios where each model performs better.</w:t>
      </w:r>
    </w:p>
    <w:p w14:paraId="6094E54F" w14:textId="77777777" w:rsidR="006138D4" w:rsidRDefault="00000000">
      <w:pPr>
        <w:spacing w:after="120"/>
      </w:pPr>
      <w:r>
        <w:t>Both are regression techniques for predicting a continuous target (house price) from features such as area, number of rooms, age, and location. The key difference is that Polynomial Regression extends Linear Regression by adding polynomial terms of the input features, trading interpretability and overfitting-resistance for flexibility.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6138D4" w14:paraId="1D3BBC42" w14:textId="77777777">
        <w:tblPrEx>
          <w:tblCellMar>
            <w:top w:w="0" w:type="dxa"/>
            <w:bottom w:w="0" w:type="dxa"/>
          </w:tblCellMar>
        </w:tblPrEx>
        <w:trPr>
          <w:tblHeader/>
        </w:trPr>
        <w:tc>
          <w:tcPr>
            <w:tcW w:w="2000" w:type="dxa"/>
            <w:shd w:val="clear" w:color="auto" w:fill="DCE6F1"/>
            <w:tcMar>
              <w:top w:w="100" w:type="dxa"/>
              <w:left w:w="120" w:type="dxa"/>
              <w:bottom w:w="100" w:type="dxa"/>
              <w:right w:w="120" w:type="dxa"/>
            </w:tcMar>
          </w:tcPr>
          <w:p w14:paraId="4B2DF0AC" w14:textId="77777777" w:rsidR="006138D4" w:rsidRDefault="00000000">
            <w:r>
              <w:rPr>
                <w:b/>
                <w:bCs/>
                <w:sz w:val="22"/>
                <w:szCs w:val="22"/>
              </w:rPr>
              <w:t>Aspect</w:t>
            </w:r>
          </w:p>
        </w:tc>
        <w:tc>
          <w:tcPr>
            <w:tcW w:w="3600" w:type="dxa"/>
            <w:shd w:val="clear" w:color="auto" w:fill="DCE6F1"/>
            <w:tcMar>
              <w:top w:w="100" w:type="dxa"/>
              <w:left w:w="120" w:type="dxa"/>
              <w:bottom w:w="100" w:type="dxa"/>
              <w:right w:w="120" w:type="dxa"/>
            </w:tcMar>
          </w:tcPr>
          <w:p w14:paraId="3C76E2AE" w14:textId="77777777" w:rsidR="006138D4" w:rsidRDefault="00000000">
            <w:r>
              <w:rPr>
                <w:b/>
                <w:bCs/>
                <w:sz w:val="22"/>
                <w:szCs w:val="22"/>
              </w:rPr>
              <w:t>Linear Regression</w:t>
            </w:r>
          </w:p>
        </w:tc>
        <w:tc>
          <w:tcPr>
            <w:tcW w:w="3600" w:type="dxa"/>
            <w:shd w:val="clear" w:color="auto" w:fill="DCE6F1"/>
            <w:tcMar>
              <w:top w:w="100" w:type="dxa"/>
              <w:left w:w="120" w:type="dxa"/>
              <w:bottom w:w="100" w:type="dxa"/>
              <w:right w:w="120" w:type="dxa"/>
            </w:tcMar>
          </w:tcPr>
          <w:p w14:paraId="37E31224" w14:textId="77777777" w:rsidR="006138D4" w:rsidRDefault="00000000">
            <w:r>
              <w:rPr>
                <w:b/>
                <w:bCs/>
                <w:sz w:val="22"/>
                <w:szCs w:val="22"/>
              </w:rPr>
              <w:t>Polynomial Regression</w:t>
            </w:r>
          </w:p>
        </w:tc>
      </w:tr>
      <w:tr w:rsidR="006138D4" w14:paraId="46ABB631" w14:textId="77777777">
        <w:tblPrEx>
          <w:tblCellMar>
            <w:top w:w="0" w:type="dxa"/>
            <w:bottom w:w="0" w:type="dxa"/>
          </w:tblCellMar>
        </w:tblPrEx>
        <w:tc>
          <w:tcPr>
            <w:tcW w:w="2000" w:type="dxa"/>
            <w:tcMar>
              <w:top w:w="100" w:type="dxa"/>
              <w:left w:w="120" w:type="dxa"/>
              <w:bottom w:w="100" w:type="dxa"/>
              <w:right w:w="120" w:type="dxa"/>
            </w:tcMar>
          </w:tcPr>
          <w:p w14:paraId="17B1E6E7" w14:textId="77777777" w:rsidR="006138D4" w:rsidRDefault="00000000">
            <w:r>
              <w:rPr>
                <w:sz w:val="21"/>
                <w:szCs w:val="21"/>
              </w:rPr>
              <w:t>Model complexity</w:t>
            </w:r>
          </w:p>
        </w:tc>
        <w:tc>
          <w:tcPr>
            <w:tcW w:w="3600" w:type="dxa"/>
            <w:tcMar>
              <w:top w:w="100" w:type="dxa"/>
              <w:left w:w="120" w:type="dxa"/>
              <w:bottom w:w="100" w:type="dxa"/>
              <w:right w:w="120" w:type="dxa"/>
            </w:tcMar>
          </w:tcPr>
          <w:p w14:paraId="1EF3E4DE" w14:textId="77777777" w:rsidR="006138D4" w:rsidRDefault="00000000">
            <w:r>
              <w:rPr>
                <w:sz w:val="21"/>
                <w:szCs w:val="21"/>
              </w:rPr>
              <w:t>Low — fits a straight line, few parameters (one weight per feature).</w:t>
            </w:r>
          </w:p>
        </w:tc>
        <w:tc>
          <w:tcPr>
            <w:tcW w:w="3600" w:type="dxa"/>
            <w:tcMar>
              <w:top w:w="100" w:type="dxa"/>
              <w:left w:w="120" w:type="dxa"/>
              <w:bottom w:w="100" w:type="dxa"/>
              <w:right w:w="120" w:type="dxa"/>
            </w:tcMar>
          </w:tcPr>
          <w:p w14:paraId="0D9FCDED" w14:textId="77777777" w:rsidR="006138D4" w:rsidRDefault="00000000">
            <w:r>
              <w:rPr>
                <w:sz w:val="21"/>
                <w:szCs w:val="21"/>
              </w:rPr>
              <w:t>Higher — fits curves by adding powers of features (x², x³, ...), more parameters to estimate.</w:t>
            </w:r>
          </w:p>
        </w:tc>
      </w:tr>
      <w:tr w:rsidR="006138D4" w14:paraId="7B89B475" w14:textId="77777777">
        <w:tblPrEx>
          <w:tblCellMar>
            <w:top w:w="0" w:type="dxa"/>
            <w:bottom w:w="0" w:type="dxa"/>
          </w:tblCellMar>
        </w:tblPrEx>
        <w:tc>
          <w:tcPr>
            <w:tcW w:w="2000" w:type="dxa"/>
            <w:tcMar>
              <w:top w:w="100" w:type="dxa"/>
              <w:left w:w="120" w:type="dxa"/>
              <w:bottom w:w="100" w:type="dxa"/>
              <w:right w:w="120" w:type="dxa"/>
            </w:tcMar>
          </w:tcPr>
          <w:p w14:paraId="44795F60" w14:textId="77777777" w:rsidR="006138D4" w:rsidRDefault="00000000">
            <w:r>
              <w:rPr>
                <w:sz w:val="21"/>
                <w:szCs w:val="21"/>
              </w:rPr>
              <w:t>Capturing non-linearity</w:t>
            </w:r>
          </w:p>
        </w:tc>
        <w:tc>
          <w:tcPr>
            <w:tcW w:w="3600" w:type="dxa"/>
            <w:tcMar>
              <w:top w:w="100" w:type="dxa"/>
              <w:left w:w="120" w:type="dxa"/>
              <w:bottom w:w="100" w:type="dxa"/>
              <w:right w:w="120" w:type="dxa"/>
            </w:tcMar>
          </w:tcPr>
          <w:p w14:paraId="7F4CBD17" w14:textId="77777777" w:rsidR="006138D4" w:rsidRDefault="00000000">
            <w:r>
              <w:rPr>
                <w:sz w:val="21"/>
                <w:szCs w:val="21"/>
              </w:rPr>
              <w:t>Cannot capture non-linear price trends (e.g., diminishing returns of extra square footage); systematically under-fits curved relationships.</w:t>
            </w:r>
          </w:p>
        </w:tc>
        <w:tc>
          <w:tcPr>
            <w:tcW w:w="3600" w:type="dxa"/>
            <w:tcMar>
              <w:top w:w="100" w:type="dxa"/>
              <w:left w:w="120" w:type="dxa"/>
              <w:bottom w:w="100" w:type="dxa"/>
              <w:right w:w="120" w:type="dxa"/>
            </w:tcMar>
          </w:tcPr>
          <w:p w14:paraId="3DFF05AE" w14:textId="77777777" w:rsidR="006138D4" w:rsidRDefault="00000000">
            <w:r>
              <w:rPr>
                <w:sz w:val="21"/>
                <w:szCs w:val="21"/>
              </w:rPr>
              <w:t>Can model curved, non-linear relationships between features (area, age, location score) and price by including higher-degree terms.</w:t>
            </w:r>
          </w:p>
        </w:tc>
      </w:tr>
      <w:tr w:rsidR="006138D4" w14:paraId="7383B6CE" w14:textId="77777777">
        <w:tblPrEx>
          <w:tblCellMar>
            <w:top w:w="0" w:type="dxa"/>
            <w:bottom w:w="0" w:type="dxa"/>
          </w:tblCellMar>
        </w:tblPrEx>
        <w:tc>
          <w:tcPr>
            <w:tcW w:w="2000" w:type="dxa"/>
            <w:tcMar>
              <w:top w:w="100" w:type="dxa"/>
              <w:left w:w="120" w:type="dxa"/>
              <w:bottom w:w="100" w:type="dxa"/>
              <w:right w:w="120" w:type="dxa"/>
            </w:tcMar>
          </w:tcPr>
          <w:p w14:paraId="6CDCDAF2" w14:textId="77777777" w:rsidR="006138D4" w:rsidRDefault="00000000">
            <w:r>
              <w:rPr>
                <w:sz w:val="21"/>
                <w:szCs w:val="21"/>
              </w:rPr>
              <w:t>Overfitting risk</w:t>
            </w:r>
          </w:p>
        </w:tc>
        <w:tc>
          <w:tcPr>
            <w:tcW w:w="3600" w:type="dxa"/>
            <w:tcMar>
              <w:top w:w="100" w:type="dxa"/>
              <w:left w:w="120" w:type="dxa"/>
              <w:bottom w:w="100" w:type="dxa"/>
              <w:right w:w="120" w:type="dxa"/>
            </w:tcMar>
          </w:tcPr>
          <w:p w14:paraId="6FC86C39" w14:textId="77777777" w:rsidR="006138D4" w:rsidRDefault="00000000">
            <w:r>
              <w:rPr>
                <w:sz w:val="21"/>
                <w:szCs w:val="21"/>
              </w:rPr>
              <w:t>Low — the limited flexibility makes it hard to overfit, but this can mean under-fitting (high bias).</w:t>
            </w:r>
          </w:p>
        </w:tc>
        <w:tc>
          <w:tcPr>
            <w:tcW w:w="3600" w:type="dxa"/>
            <w:tcMar>
              <w:top w:w="100" w:type="dxa"/>
              <w:left w:w="120" w:type="dxa"/>
              <w:bottom w:w="100" w:type="dxa"/>
              <w:right w:w="120" w:type="dxa"/>
            </w:tcMar>
          </w:tcPr>
          <w:p w14:paraId="76ECBFB7" w14:textId="77777777" w:rsidR="006138D4" w:rsidRDefault="00000000">
            <w:r>
              <w:rPr>
                <w:sz w:val="21"/>
                <w:szCs w:val="21"/>
              </w:rPr>
              <w:t>High for higher degrees — the model can fit noise in the training data, giving low training error but poor generalization (high variance).</w:t>
            </w:r>
          </w:p>
        </w:tc>
      </w:tr>
      <w:tr w:rsidR="006138D4" w14:paraId="05DBB129" w14:textId="77777777">
        <w:tblPrEx>
          <w:tblCellMar>
            <w:top w:w="0" w:type="dxa"/>
            <w:bottom w:w="0" w:type="dxa"/>
          </w:tblCellMar>
        </w:tblPrEx>
        <w:tc>
          <w:tcPr>
            <w:tcW w:w="2000" w:type="dxa"/>
            <w:tcMar>
              <w:top w:w="100" w:type="dxa"/>
              <w:left w:w="120" w:type="dxa"/>
              <w:bottom w:w="100" w:type="dxa"/>
              <w:right w:w="120" w:type="dxa"/>
            </w:tcMar>
          </w:tcPr>
          <w:p w14:paraId="1F08E942" w14:textId="77777777" w:rsidR="006138D4" w:rsidRDefault="00000000">
            <w:r>
              <w:rPr>
                <w:sz w:val="21"/>
                <w:szCs w:val="21"/>
              </w:rPr>
              <w:t>Interpretability</w:t>
            </w:r>
          </w:p>
        </w:tc>
        <w:tc>
          <w:tcPr>
            <w:tcW w:w="3600" w:type="dxa"/>
            <w:tcMar>
              <w:top w:w="100" w:type="dxa"/>
              <w:left w:w="120" w:type="dxa"/>
              <w:bottom w:w="100" w:type="dxa"/>
              <w:right w:w="120" w:type="dxa"/>
            </w:tcMar>
          </w:tcPr>
          <w:p w14:paraId="33E95C86" w14:textId="77777777" w:rsidR="006138D4" w:rsidRDefault="00000000">
            <w:r>
              <w:rPr>
                <w:sz w:val="21"/>
                <w:szCs w:val="21"/>
              </w:rPr>
              <w:t>High — each coefficient has a direct, easily explained effect on price (e.g., '+₹X per sq. ft.').</w:t>
            </w:r>
          </w:p>
        </w:tc>
        <w:tc>
          <w:tcPr>
            <w:tcW w:w="3600" w:type="dxa"/>
            <w:tcMar>
              <w:top w:w="100" w:type="dxa"/>
              <w:left w:w="120" w:type="dxa"/>
              <w:bottom w:w="100" w:type="dxa"/>
              <w:right w:w="120" w:type="dxa"/>
            </w:tcMar>
          </w:tcPr>
          <w:p w14:paraId="1A8F4877" w14:textId="77777777" w:rsidR="006138D4" w:rsidRDefault="00000000">
            <w:r>
              <w:rPr>
                <w:sz w:val="21"/>
                <w:szCs w:val="21"/>
              </w:rPr>
              <w:t>Lower — coefficients on x², x³ terms are harder to interpret directly; the combined curve's meaning is less intuitive to stakeholders.</w:t>
            </w:r>
          </w:p>
        </w:tc>
      </w:tr>
      <w:tr w:rsidR="006138D4" w14:paraId="5DAD71AE" w14:textId="77777777">
        <w:tblPrEx>
          <w:tblCellMar>
            <w:top w:w="0" w:type="dxa"/>
            <w:bottom w:w="0" w:type="dxa"/>
          </w:tblCellMar>
        </w:tblPrEx>
        <w:tc>
          <w:tcPr>
            <w:tcW w:w="2000" w:type="dxa"/>
            <w:tcMar>
              <w:top w:w="100" w:type="dxa"/>
              <w:left w:w="120" w:type="dxa"/>
              <w:bottom w:w="100" w:type="dxa"/>
              <w:right w:w="120" w:type="dxa"/>
            </w:tcMar>
          </w:tcPr>
          <w:p w14:paraId="582820A6" w14:textId="77777777" w:rsidR="006138D4" w:rsidRDefault="00000000">
            <w:r>
              <w:rPr>
                <w:sz w:val="21"/>
                <w:szCs w:val="21"/>
              </w:rPr>
              <w:t>Computational cost</w:t>
            </w:r>
          </w:p>
        </w:tc>
        <w:tc>
          <w:tcPr>
            <w:tcW w:w="3600" w:type="dxa"/>
            <w:tcMar>
              <w:top w:w="100" w:type="dxa"/>
              <w:left w:w="120" w:type="dxa"/>
              <w:bottom w:w="100" w:type="dxa"/>
              <w:right w:w="120" w:type="dxa"/>
            </w:tcMar>
          </w:tcPr>
          <w:p w14:paraId="16796755" w14:textId="77777777" w:rsidR="006138D4" w:rsidRDefault="00000000">
            <w:r>
              <w:rPr>
                <w:sz w:val="21"/>
                <w:szCs w:val="21"/>
              </w:rPr>
              <w:t>Very low, closed-form solution, scales well.</w:t>
            </w:r>
          </w:p>
        </w:tc>
        <w:tc>
          <w:tcPr>
            <w:tcW w:w="3600" w:type="dxa"/>
            <w:tcMar>
              <w:top w:w="100" w:type="dxa"/>
              <w:left w:w="120" w:type="dxa"/>
              <w:bottom w:w="100" w:type="dxa"/>
              <w:right w:w="120" w:type="dxa"/>
            </w:tcMar>
          </w:tcPr>
          <w:p w14:paraId="4A7DF85A" w14:textId="77777777" w:rsidR="006138D4" w:rsidRDefault="00000000">
            <w:r>
              <w:rPr>
                <w:sz w:val="21"/>
                <w:szCs w:val="21"/>
              </w:rPr>
              <w:t>Higher as degree increases; also more prone to numerical instability (ill-conditioned feature matrix) at high degrees.</w:t>
            </w:r>
          </w:p>
        </w:tc>
      </w:tr>
    </w:tbl>
    <w:p w14:paraId="61EF0A02" w14:textId="77777777" w:rsidR="006138D4" w:rsidRDefault="006138D4">
      <w:pPr>
        <w:spacing w:after="160"/>
      </w:pPr>
    </w:p>
    <w:p w14:paraId="2A5FDADA" w14:textId="77777777" w:rsidR="006138D4" w:rsidRDefault="00000000">
      <w:pPr>
        <w:spacing w:before="120" w:after="80"/>
      </w:pPr>
      <w:r>
        <w:rPr>
          <w:b/>
          <w:bCs/>
          <w:color w:val="1F4E78"/>
          <w:sz w:val="24"/>
          <w:szCs w:val="24"/>
        </w:rPr>
        <w:t>When Each Model Performs Better</w:t>
      </w:r>
    </w:p>
    <w:p w14:paraId="3A5B94CB" w14:textId="77777777" w:rsidR="006138D4" w:rsidRDefault="00000000">
      <w:pPr>
        <w:pStyle w:val="ListParagraph"/>
        <w:numPr>
          <w:ilvl w:val="0"/>
          <w:numId w:val="1"/>
        </w:numPr>
        <w:spacing w:after="80"/>
      </w:pPr>
      <w:r>
        <w:lastRenderedPageBreak/>
        <w:t>Linear Regression is preferable when the price-feature relationship is genuinely close to linear (common for a single strong driver like area in a fairly homogeneous market), when the dataset is small (fewer parameters = less overfitting risk), or when the business requires a transparent, easily explainable pricing model for stakeholders/regulators.</w:t>
      </w:r>
    </w:p>
    <w:p w14:paraId="6668010B" w14:textId="77777777" w:rsidR="006138D4" w:rsidRDefault="00000000">
      <w:pPr>
        <w:pStyle w:val="ListParagraph"/>
        <w:numPr>
          <w:ilvl w:val="0"/>
          <w:numId w:val="1"/>
        </w:numPr>
        <w:spacing w:after="80"/>
      </w:pPr>
      <w:r>
        <w:t>Polynomial Regression is preferable when there is clear evidence of non-linearity — for example, price appreciation that accelerates in premium locations or diminishing marginal value of extra square footage in very large homes — and when enough training data exists to estimate the extra parameters reliably.</w:t>
      </w:r>
    </w:p>
    <w:p w14:paraId="3EFCDFE8" w14:textId="77777777" w:rsidR="006138D4" w:rsidRDefault="00000000">
      <w:pPr>
        <w:pStyle w:val="ListParagraph"/>
        <w:numPr>
          <w:ilvl w:val="0"/>
          <w:numId w:val="1"/>
        </w:numPr>
        <w:spacing w:after="80"/>
      </w:pPr>
      <w:r>
        <w:t>In practice, a moderate polynomial degree (2 or 3) combined with regularization (Ridge/Lasso) and cross-validation to select the degree is the safest middle ground, capturing genuine curvature while controlling overfitting.</w:t>
      </w:r>
    </w:p>
    <w:p w14:paraId="0626AA1E" w14:textId="77777777" w:rsidR="006138D4" w:rsidRDefault="00000000">
      <w:pPr>
        <w:pStyle w:val="Heading2"/>
        <w:spacing w:before="240" w:after="120"/>
      </w:pPr>
      <w:r>
        <w:t>Question 2 — RNN vs. LSTM (Time-Series / Stock Price Forecasting)</w:t>
      </w:r>
    </w:p>
    <w:p w14:paraId="1458E46B" w14:textId="77777777" w:rsidR="006138D4" w:rsidRDefault="00000000">
      <w:pPr>
        <w:spacing w:after="160"/>
      </w:pPr>
      <w:r>
        <w:rPr>
          <w:b/>
          <w:bCs/>
          <w:i/>
          <w:iCs/>
        </w:rPr>
        <w:t xml:space="preserve">Question: </w:t>
      </w:r>
      <w:r>
        <w:rPr>
          <w:i/>
          <w:iCs/>
        </w:rPr>
        <w:t>Compare Recurrent Neural Networks (RNNs) and Long Short-Term Memory (LSTM) networks for time-series prediction tasks such as stock price forecasting. Analyze differences in handling long-term dependencies, vanishing gradient problem, computational complexity, and prediction accuracy.</w:t>
      </w:r>
    </w:p>
    <w:p w14:paraId="313F9418" w14:textId="77777777" w:rsidR="006138D4" w:rsidRDefault="00000000">
      <w:pPr>
        <w:spacing w:after="120"/>
      </w:pPr>
      <w:r>
        <w:t>Both architectures process sequential data by maintaining a hidden state that is updated at each time step, making them natural fits for time-series forecasting. LSTM was developed specifically to overcome the core weakness of vanilla RNNs — their inability to learn long-range temporal dependencies.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6138D4" w14:paraId="4359E6AE" w14:textId="77777777">
        <w:tblPrEx>
          <w:tblCellMar>
            <w:top w:w="0" w:type="dxa"/>
            <w:bottom w:w="0" w:type="dxa"/>
          </w:tblCellMar>
        </w:tblPrEx>
        <w:trPr>
          <w:tblHeader/>
        </w:trPr>
        <w:tc>
          <w:tcPr>
            <w:tcW w:w="2000" w:type="dxa"/>
            <w:shd w:val="clear" w:color="auto" w:fill="DCE6F1"/>
            <w:tcMar>
              <w:top w:w="100" w:type="dxa"/>
              <w:left w:w="120" w:type="dxa"/>
              <w:bottom w:w="100" w:type="dxa"/>
              <w:right w:w="120" w:type="dxa"/>
            </w:tcMar>
          </w:tcPr>
          <w:p w14:paraId="6F213189" w14:textId="77777777" w:rsidR="006138D4" w:rsidRDefault="00000000">
            <w:r>
              <w:rPr>
                <w:b/>
                <w:bCs/>
                <w:sz w:val="22"/>
                <w:szCs w:val="22"/>
              </w:rPr>
              <w:t>Aspect</w:t>
            </w:r>
          </w:p>
        </w:tc>
        <w:tc>
          <w:tcPr>
            <w:tcW w:w="3600" w:type="dxa"/>
            <w:shd w:val="clear" w:color="auto" w:fill="DCE6F1"/>
            <w:tcMar>
              <w:top w:w="100" w:type="dxa"/>
              <w:left w:w="120" w:type="dxa"/>
              <w:bottom w:w="100" w:type="dxa"/>
              <w:right w:w="120" w:type="dxa"/>
            </w:tcMar>
          </w:tcPr>
          <w:p w14:paraId="67764649" w14:textId="77777777" w:rsidR="006138D4" w:rsidRDefault="00000000">
            <w:r>
              <w:rPr>
                <w:b/>
                <w:bCs/>
                <w:sz w:val="22"/>
                <w:szCs w:val="22"/>
              </w:rPr>
              <w:t>RNN</w:t>
            </w:r>
          </w:p>
        </w:tc>
        <w:tc>
          <w:tcPr>
            <w:tcW w:w="3600" w:type="dxa"/>
            <w:shd w:val="clear" w:color="auto" w:fill="DCE6F1"/>
            <w:tcMar>
              <w:top w:w="100" w:type="dxa"/>
              <w:left w:w="120" w:type="dxa"/>
              <w:bottom w:w="100" w:type="dxa"/>
              <w:right w:w="120" w:type="dxa"/>
            </w:tcMar>
          </w:tcPr>
          <w:p w14:paraId="3F733F8D" w14:textId="77777777" w:rsidR="006138D4" w:rsidRDefault="00000000">
            <w:r>
              <w:rPr>
                <w:b/>
                <w:bCs/>
                <w:sz w:val="22"/>
                <w:szCs w:val="22"/>
              </w:rPr>
              <w:t>LSTM</w:t>
            </w:r>
          </w:p>
        </w:tc>
      </w:tr>
      <w:tr w:rsidR="006138D4" w14:paraId="094BC933" w14:textId="77777777">
        <w:tblPrEx>
          <w:tblCellMar>
            <w:top w:w="0" w:type="dxa"/>
            <w:bottom w:w="0" w:type="dxa"/>
          </w:tblCellMar>
        </w:tblPrEx>
        <w:tc>
          <w:tcPr>
            <w:tcW w:w="2000" w:type="dxa"/>
            <w:tcMar>
              <w:top w:w="100" w:type="dxa"/>
              <w:left w:w="120" w:type="dxa"/>
              <w:bottom w:w="100" w:type="dxa"/>
              <w:right w:w="120" w:type="dxa"/>
            </w:tcMar>
          </w:tcPr>
          <w:p w14:paraId="6AF36E9C" w14:textId="77777777" w:rsidR="006138D4" w:rsidRDefault="00000000">
            <w:r>
              <w:rPr>
                <w:sz w:val="21"/>
                <w:szCs w:val="21"/>
              </w:rPr>
              <w:t>Long-term dependencies</w:t>
            </w:r>
          </w:p>
        </w:tc>
        <w:tc>
          <w:tcPr>
            <w:tcW w:w="3600" w:type="dxa"/>
            <w:tcMar>
              <w:top w:w="100" w:type="dxa"/>
              <w:left w:w="120" w:type="dxa"/>
              <w:bottom w:w="100" w:type="dxa"/>
              <w:right w:w="120" w:type="dxa"/>
            </w:tcMar>
          </w:tcPr>
          <w:p w14:paraId="17E748DE" w14:textId="77777777" w:rsidR="006138D4" w:rsidRDefault="00000000">
            <w:r>
              <w:rPr>
                <w:sz w:val="21"/>
                <w:szCs w:val="21"/>
              </w:rPr>
              <w:t>Struggles to retain information over long sequences — influence of early time steps fades quickly through repeated matrix multiplications.</w:t>
            </w:r>
          </w:p>
        </w:tc>
        <w:tc>
          <w:tcPr>
            <w:tcW w:w="3600" w:type="dxa"/>
            <w:tcMar>
              <w:top w:w="100" w:type="dxa"/>
              <w:left w:w="120" w:type="dxa"/>
              <w:bottom w:w="100" w:type="dxa"/>
              <w:right w:w="120" w:type="dxa"/>
            </w:tcMar>
          </w:tcPr>
          <w:p w14:paraId="1EE3193C" w14:textId="77777777" w:rsidR="006138D4" w:rsidRDefault="00000000">
            <w:r>
              <w:rPr>
                <w:sz w:val="21"/>
                <w:szCs w:val="21"/>
              </w:rPr>
              <w:t>Explicitly designed to preserve long-term dependencies via a dedicated cell state and gating mechanism that can carry information across many time steps.</w:t>
            </w:r>
          </w:p>
        </w:tc>
      </w:tr>
      <w:tr w:rsidR="006138D4" w14:paraId="3238273D" w14:textId="77777777">
        <w:tblPrEx>
          <w:tblCellMar>
            <w:top w:w="0" w:type="dxa"/>
            <w:bottom w:w="0" w:type="dxa"/>
          </w:tblCellMar>
        </w:tblPrEx>
        <w:tc>
          <w:tcPr>
            <w:tcW w:w="2000" w:type="dxa"/>
            <w:tcMar>
              <w:top w:w="100" w:type="dxa"/>
              <w:left w:w="120" w:type="dxa"/>
              <w:bottom w:w="100" w:type="dxa"/>
              <w:right w:w="120" w:type="dxa"/>
            </w:tcMar>
          </w:tcPr>
          <w:p w14:paraId="3B72580F" w14:textId="77777777" w:rsidR="006138D4" w:rsidRDefault="00000000">
            <w:r>
              <w:rPr>
                <w:sz w:val="21"/>
                <w:szCs w:val="21"/>
              </w:rPr>
              <w:t>Vanishing gradient problem</w:t>
            </w:r>
          </w:p>
        </w:tc>
        <w:tc>
          <w:tcPr>
            <w:tcW w:w="3600" w:type="dxa"/>
            <w:tcMar>
              <w:top w:w="100" w:type="dxa"/>
              <w:left w:w="120" w:type="dxa"/>
              <w:bottom w:w="100" w:type="dxa"/>
              <w:right w:w="120" w:type="dxa"/>
            </w:tcMar>
          </w:tcPr>
          <w:p w14:paraId="2CA90992" w14:textId="77777777" w:rsidR="006138D4" w:rsidRDefault="00000000">
            <w:r>
              <w:rPr>
                <w:sz w:val="21"/>
                <w:szCs w:val="21"/>
              </w:rPr>
              <w:t>Severely affected — gradients shrink exponentially during backpropagation through time, making it hard to learn from distant past data (e.g., a price trend from months ago).</w:t>
            </w:r>
          </w:p>
        </w:tc>
        <w:tc>
          <w:tcPr>
            <w:tcW w:w="3600" w:type="dxa"/>
            <w:tcMar>
              <w:top w:w="100" w:type="dxa"/>
              <w:left w:w="120" w:type="dxa"/>
              <w:bottom w:w="100" w:type="dxa"/>
              <w:right w:w="120" w:type="dxa"/>
            </w:tcMar>
          </w:tcPr>
          <w:p w14:paraId="6BE102DF" w14:textId="77777777" w:rsidR="006138D4" w:rsidRDefault="00000000">
            <w:r>
              <w:rPr>
                <w:sz w:val="21"/>
                <w:szCs w:val="21"/>
              </w:rPr>
              <w:t>Largely mitigated — input, forget, and output gates regulate gradient flow, allowing the cell state to act as a near-constant error carousel across time steps.</w:t>
            </w:r>
          </w:p>
        </w:tc>
      </w:tr>
      <w:tr w:rsidR="006138D4" w14:paraId="5B1328F8" w14:textId="77777777">
        <w:tblPrEx>
          <w:tblCellMar>
            <w:top w:w="0" w:type="dxa"/>
            <w:bottom w:w="0" w:type="dxa"/>
          </w:tblCellMar>
        </w:tblPrEx>
        <w:tc>
          <w:tcPr>
            <w:tcW w:w="2000" w:type="dxa"/>
            <w:tcMar>
              <w:top w:w="100" w:type="dxa"/>
              <w:left w:w="120" w:type="dxa"/>
              <w:bottom w:w="100" w:type="dxa"/>
              <w:right w:w="120" w:type="dxa"/>
            </w:tcMar>
          </w:tcPr>
          <w:p w14:paraId="2F461D50" w14:textId="77777777" w:rsidR="006138D4" w:rsidRDefault="00000000">
            <w:r>
              <w:rPr>
                <w:sz w:val="21"/>
                <w:szCs w:val="21"/>
              </w:rPr>
              <w:t>Computational complexity</w:t>
            </w:r>
          </w:p>
        </w:tc>
        <w:tc>
          <w:tcPr>
            <w:tcW w:w="3600" w:type="dxa"/>
            <w:tcMar>
              <w:top w:w="100" w:type="dxa"/>
              <w:left w:w="120" w:type="dxa"/>
              <w:bottom w:w="100" w:type="dxa"/>
              <w:right w:w="120" w:type="dxa"/>
            </w:tcMar>
          </w:tcPr>
          <w:p w14:paraId="2FDF4AD9" w14:textId="77777777" w:rsidR="006138D4" w:rsidRDefault="00000000">
            <w:r>
              <w:rPr>
                <w:sz w:val="21"/>
                <w:szCs w:val="21"/>
              </w:rPr>
              <w:t>Lower — simpler cell structure, fewer parameters, faster to train per step.</w:t>
            </w:r>
          </w:p>
        </w:tc>
        <w:tc>
          <w:tcPr>
            <w:tcW w:w="3600" w:type="dxa"/>
            <w:tcMar>
              <w:top w:w="100" w:type="dxa"/>
              <w:left w:w="120" w:type="dxa"/>
              <w:bottom w:w="100" w:type="dxa"/>
              <w:right w:w="120" w:type="dxa"/>
            </w:tcMar>
          </w:tcPr>
          <w:p w14:paraId="244736EF" w14:textId="77777777" w:rsidR="006138D4" w:rsidRDefault="00000000">
            <w:r>
              <w:rPr>
                <w:sz w:val="21"/>
                <w:szCs w:val="21"/>
              </w:rPr>
              <w:t>Higher — each LSTM cell has multiple gates (input, forget, output, candidate), roughly 4× the parameters of a comparable simple RNN cell, so training and inference cost more.</w:t>
            </w:r>
          </w:p>
        </w:tc>
      </w:tr>
      <w:tr w:rsidR="006138D4" w14:paraId="23CB2A67" w14:textId="77777777">
        <w:tblPrEx>
          <w:tblCellMar>
            <w:top w:w="0" w:type="dxa"/>
            <w:bottom w:w="0" w:type="dxa"/>
          </w:tblCellMar>
        </w:tblPrEx>
        <w:tc>
          <w:tcPr>
            <w:tcW w:w="2000" w:type="dxa"/>
            <w:tcMar>
              <w:top w:w="100" w:type="dxa"/>
              <w:left w:w="120" w:type="dxa"/>
              <w:bottom w:w="100" w:type="dxa"/>
              <w:right w:w="120" w:type="dxa"/>
            </w:tcMar>
          </w:tcPr>
          <w:p w14:paraId="09178A23" w14:textId="77777777" w:rsidR="006138D4" w:rsidRDefault="00000000">
            <w:r>
              <w:rPr>
                <w:sz w:val="21"/>
                <w:szCs w:val="21"/>
              </w:rPr>
              <w:t>Prediction accuracy (long sequences)</w:t>
            </w:r>
          </w:p>
        </w:tc>
        <w:tc>
          <w:tcPr>
            <w:tcW w:w="3600" w:type="dxa"/>
            <w:tcMar>
              <w:top w:w="100" w:type="dxa"/>
              <w:left w:w="120" w:type="dxa"/>
              <w:bottom w:w="100" w:type="dxa"/>
              <w:right w:w="120" w:type="dxa"/>
            </w:tcMar>
          </w:tcPr>
          <w:p w14:paraId="671B2499" w14:textId="77777777" w:rsidR="006138D4" w:rsidRDefault="00000000">
            <w:r>
              <w:rPr>
                <w:sz w:val="21"/>
                <w:szCs w:val="21"/>
              </w:rPr>
              <w:t>Generally lower on tasks needing memory of distant past values (e.g., multi-week stock trends), since relevant signal is lost.</w:t>
            </w:r>
          </w:p>
        </w:tc>
        <w:tc>
          <w:tcPr>
            <w:tcW w:w="3600" w:type="dxa"/>
            <w:tcMar>
              <w:top w:w="100" w:type="dxa"/>
              <w:left w:w="120" w:type="dxa"/>
              <w:bottom w:w="100" w:type="dxa"/>
              <w:right w:w="120" w:type="dxa"/>
            </w:tcMar>
          </w:tcPr>
          <w:p w14:paraId="1757F127" w14:textId="77777777" w:rsidR="006138D4" w:rsidRDefault="00000000">
            <w:r>
              <w:rPr>
                <w:sz w:val="21"/>
                <w:szCs w:val="21"/>
              </w:rPr>
              <w:t>Generally higher on such tasks, since it retains and selectively uses relevant historical information relevant to the current prediction.</w:t>
            </w:r>
          </w:p>
        </w:tc>
      </w:tr>
    </w:tbl>
    <w:p w14:paraId="442684F7" w14:textId="77777777" w:rsidR="006138D4" w:rsidRDefault="006138D4">
      <w:pPr>
        <w:spacing w:after="160"/>
      </w:pPr>
    </w:p>
    <w:p w14:paraId="14C7BF84" w14:textId="77777777" w:rsidR="006138D4" w:rsidRDefault="00000000">
      <w:pPr>
        <w:spacing w:before="120" w:after="80"/>
      </w:pPr>
      <w:r>
        <w:rPr>
          <w:b/>
          <w:bCs/>
          <w:color w:val="1F4E78"/>
          <w:sz w:val="24"/>
          <w:szCs w:val="24"/>
        </w:rPr>
        <w:t>When Each Model Performs Better</w:t>
      </w:r>
    </w:p>
    <w:p w14:paraId="4E0ADEE1" w14:textId="77777777" w:rsidR="006138D4" w:rsidRDefault="00000000">
      <w:pPr>
        <w:pStyle w:val="ListParagraph"/>
        <w:numPr>
          <w:ilvl w:val="0"/>
          <w:numId w:val="1"/>
        </w:numPr>
        <w:spacing w:after="80"/>
      </w:pPr>
      <w:r>
        <w:t>Plain RNNs can be sufficient (and faster to train/deploy) for short-horizon forecasting tasks where only the most recent few time steps matter, e.g., very short-term intraday price ticks with low dependency on distant history, or when compute/latency budgets are tight.</w:t>
      </w:r>
    </w:p>
    <w:p w14:paraId="121532DC" w14:textId="77777777" w:rsidR="006138D4" w:rsidRDefault="00000000">
      <w:pPr>
        <w:pStyle w:val="ListParagraph"/>
        <w:numPr>
          <w:ilvl w:val="0"/>
          <w:numId w:val="1"/>
        </w:numPr>
        <w:spacing w:after="80"/>
      </w:pPr>
      <w:r>
        <w:t>LSTM is preferable for stock price forecasting in general, since prices are influenced by trends, cycles, and events spanning many past time steps (weekly/monthly patterns, earnings cycles); LSTM's gating mechanism captures this long-range structure far more reliably than a plain RNN.</w:t>
      </w:r>
    </w:p>
    <w:p w14:paraId="524CE296" w14:textId="77777777" w:rsidR="006138D4" w:rsidRDefault="00000000">
      <w:pPr>
        <w:pStyle w:val="ListParagraph"/>
        <w:numPr>
          <w:ilvl w:val="0"/>
          <w:numId w:val="1"/>
        </w:numPr>
        <w:spacing w:after="80"/>
      </w:pPr>
      <w:r>
        <w:lastRenderedPageBreak/>
        <w:t>In modern practice, GRUs (a simplified gated variant) or attention-based/Transformer models are also common alternatives that trade off some of LSTM's complexity for comparable or better long-range performance, but among the two options compared here, LSTM is the stronger choice whenever long-term dependencies matter.</w:t>
      </w:r>
    </w:p>
    <w:p w14:paraId="6A9D64F7" w14:textId="77777777" w:rsidR="006138D4" w:rsidRDefault="00000000">
      <w:pPr>
        <w:pStyle w:val="Heading2"/>
        <w:spacing w:before="240" w:after="120"/>
      </w:pPr>
      <w:r>
        <w:t>Question 3 — Naïve Bayes vs. SVM (Sentiment Analysis / Classification)</w:t>
      </w:r>
    </w:p>
    <w:p w14:paraId="333734B8" w14:textId="77777777" w:rsidR="006138D4" w:rsidRDefault="00000000">
      <w:pPr>
        <w:spacing w:after="160"/>
      </w:pPr>
      <w:r>
        <w:rPr>
          <w:b/>
          <w:bCs/>
          <w:i/>
          <w:iCs/>
        </w:rPr>
        <w:t xml:space="preserve">Question: </w:t>
      </w:r>
      <w:r>
        <w:rPr>
          <w:i/>
          <w:iCs/>
        </w:rPr>
        <w:t>Compare Naïve Bayes and Support Vector Machines (SVM) for classification problems such as sentiment analysis. Analyze differences in assumptions, decision boundaries, computational efficiency, and performance on high-dimensional data. Discuss scenarios where each method is preferable.</w:t>
      </w:r>
    </w:p>
    <w:p w14:paraId="67EE3A47" w14:textId="77777777" w:rsidR="006138D4" w:rsidRDefault="00000000">
      <w:pPr>
        <w:spacing w:after="120"/>
      </w:pPr>
      <w:r>
        <w:t>Both are widely used for text classification tasks like sentiment analysis, where documents are represented as high-dimensional sparse feature vectors (e.g., word/TF-IDF counts), but they take fundamentally different modeling approaches — probabilistic generative modeling (Naïve Bayes) versus discriminative margin maximization (SVM).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6138D4" w14:paraId="73DF0B3D" w14:textId="77777777">
        <w:tblPrEx>
          <w:tblCellMar>
            <w:top w:w="0" w:type="dxa"/>
            <w:bottom w:w="0" w:type="dxa"/>
          </w:tblCellMar>
        </w:tblPrEx>
        <w:trPr>
          <w:tblHeader/>
        </w:trPr>
        <w:tc>
          <w:tcPr>
            <w:tcW w:w="2000" w:type="dxa"/>
            <w:shd w:val="clear" w:color="auto" w:fill="DCE6F1"/>
            <w:tcMar>
              <w:top w:w="100" w:type="dxa"/>
              <w:left w:w="120" w:type="dxa"/>
              <w:bottom w:w="100" w:type="dxa"/>
              <w:right w:w="120" w:type="dxa"/>
            </w:tcMar>
          </w:tcPr>
          <w:p w14:paraId="393EA1EA" w14:textId="77777777" w:rsidR="006138D4" w:rsidRDefault="00000000">
            <w:r>
              <w:rPr>
                <w:b/>
                <w:bCs/>
                <w:sz w:val="22"/>
                <w:szCs w:val="22"/>
              </w:rPr>
              <w:t>Aspect</w:t>
            </w:r>
          </w:p>
        </w:tc>
        <w:tc>
          <w:tcPr>
            <w:tcW w:w="3600" w:type="dxa"/>
            <w:shd w:val="clear" w:color="auto" w:fill="DCE6F1"/>
            <w:tcMar>
              <w:top w:w="100" w:type="dxa"/>
              <w:left w:w="120" w:type="dxa"/>
              <w:bottom w:w="100" w:type="dxa"/>
              <w:right w:w="120" w:type="dxa"/>
            </w:tcMar>
          </w:tcPr>
          <w:p w14:paraId="32D66BF8" w14:textId="77777777" w:rsidR="006138D4" w:rsidRDefault="00000000">
            <w:r>
              <w:rPr>
                <w:b/>
                <w:bCs/>
                <w:sz w:val="22"/>
                <w:szCs w:val="22"/>
              </w:rPr>
              <w:t>Naïve Bayes</w:t>
            </w:r>
          </w:p>
        </w:tc>
        <w:tc>
          <w:tcPr>
            <w:tcW w:w="3600" w:type="dxa"/>
            <w:shd w:val="clear" w:color="auto" w:fill="DCE6F1"/>
            <w:tcMar>
              <w:top w:w="100" w:type="dxa"/>
              <w:left w:w="120" w:type="dxa"/>
              <w:bottom w:w="100" w:type="dxa"/>
              <w:right w:w="120" w:type="dxa"/>
            </w:tcMar>
          </w:tcPr>
          <w:p w14:paraId="66F8DA64" w14:textId="77777777" w:rsidR="006138D4" w:rsidRDefault="00000000">
            <w:r>
              <w:rPr>
                <w:b/>
                <w:bCs/>
                <w:sz w:val="22"/>
                <w:szCs w:val="22"/>
              </w:rPr>
              <w:t>Support Vector Machine (SVM)</w:t>
            </w:r>
          </w:p>
        </w:tc>
      </w:tr>
      <w:tr w:rsidR="006138D4" w14:paraId="169C2ED3" w14:textId="77777777">
        <w:tblPrEx>
          <w:tblCellMar>
            <w:top w:w="0" w:type="dxa"/>
            <w:bottom w:w="0" w:type="dxa"/>
          </w:tblCellMar>
        </w:tblPrEx>
        <w:tc>
          <w:tcPr>
            <w:tcW w:w="2000" w:type="dxa"/>
            <w:tcMar>
              <w:top w:w="100" w:type="dxa"/>
              <w:left w:w="120" w:type="dxa"/>
              <w:bottom w:w="100" w:type="dxa"/>
              <w:right w:w="120" w:type="dxa"/>
            </w:tcMar>
          </w:tcPr>
          <w:p w14:paraId="4EBF05FD" w14:textId="77777777" w:rsidR="006138D4" w:rsidRDefault="00000000">
            <w:r>
              <w:rPr>
                <w:sz w:val="21"/>
                <w:szCs w:val="21"/>
              </w:rPr>
              <w:t>Core assumption</w:t>
            </w:r>
          </w:p>
        </w:tc>
        <w:tc>
          <w:tcPr>
            <w:tcW w:w="3600" w:type="dxa"/>
            <w:tcMar>
              <w:top w:w="100" w:type="dxa"/>
              <w:left w:w="120" w:type="dxa"/>
              <w:bottom w:w="100" w:type="dxa"/>
              <w:right w:w="120" w:type="dxa"/>
            </w:tcMar>
          </w:tcPr>
          <w:p w14:paraId="1155AB3B" w14:textId="77777777" w:rsidR="006138D4" w:rsidRDefault="00000000">
            <w:r>
              <w:rPr>
                <w:sz w:val="21"/>
                <w:szCs w:val="21"/>
              </w:rPr>
              <w:t>Assumes conditional independence between features given the class (the 'naïve' assumption) — often violated by correlated words in text, but works well in practice regardless.</w:t>
            </w:r>
          </w:p>
        </w:tc>
        <w:tc>
          <w:tcPr>
            <w:tcW w:w="3600" w:type="dxa"/>
            <w:tcMar>
              <w:top w:w="100" w:type="dxa"/>
              <w:left w:w="120" w:type="dxa"/>
              <w:bottom w:w="100" w:type="dxa"/>
              <w:right w:w="120" w:type="dxa"/>
            </w:tcMar>
          </w:tcPr>
          <w:p w14:paraId="1E96B4A0" w14:textId="77777777" w:rsidR="006138D4" w:rsidRDefault="00000000">
            <w:r>
              <w:rPr>
                <w:sz w:val="21"/>
                <w:szCs w:val="21"/>
              </w:rPr>
              <w:t>Makes no independence assumption; instead assumes a good separating boundary (possibly after a kernel transform) exists between classes with maximum margin.</w:t>
            </w:r>
          </w:p>
        </w:tc>
      </w:tr>
      <w:tr w:rsidR="006138D4" w14:paraId="6A1BC8DF" w14:textId="77777777">
        <w:tblPrEx>
          <w:tblCellMar>
            <w:top w:w="0" w:type="dxa"/>
            <w:bottom w:w="0" w:type="dxa"/>
          </w:tblCellMar>
        </w:tblPrEx>
        <w:tc>
          <w:tcPr>
            <w:tcW w:w="2000" w:type="dxa"/>
            <w:tcMar>
              <w:top w:w="100" w:type="dxa"/>
              <w:left w:w="120" w:type="dxa"/>
              <w:bottom w:w="100" w:type="dxa"/>
              <w:right w:w="120" w:type="dxa"/>
            </w:tcMar>
          </w:tcPr>
          <w:p w14:paraId="00BD202F" w14:textId="77777777" w:rsidR="006138D4" w:rsidRDefault="00000000">
            <w:r>
              <w:rPr>
                <w:sz w:val="21"/>
                <w:szCs w:val="21"/>
              </w:rPr>
              <w:t>Decision boundary</w:t>
            </w:r>
          </w:p>
        </w:tc>
        <w:tc>
          <w:tcPr>
            <w:tcW w:w="3600" w:type="dxa"/>
            <w:tcMar>
              <w:top w:w="100" w:type="dxa"/>
              <w:left w:w="120" w:type="dxa"/>
              <w:bottom w:w="100" w:type="dxa"/>
              <w:right w:w="120" w:type="dxa"/>
            </w:tcMar>
          </w:tcPr>
          <w:p w14:paraId="72886225" w14:textId="77777777" w:rsidR="006138D4" w:rsidRDefault="00000000">
            <w:r>
              <w:rPr>
                <w:sz w:val="21"/>
                <w:szCs w:val="21"/>
              </w:rPr>
              <w:t>Implicitly linear in log-probability space for common distributions (e.g., Multinomial NB on text) — determined by class-conditional probability estimates.</w:t>
            </w:r>
          </w:p>
        </w:tc>
        <w:tc>
          <w:tcPr>
            <w:tcW w:w="3600" w:type="dxa"/>
            <w:tcMar>
              <w:top w:w="100" w:type="dxa"/>
              <w:left w:w="120" w:type="dxa"/>
              <w:bottom w:w="100" w:type="dxa"/>
              <w:right w:w="120" w:type="dxa"/>
            </w:tcMar>
          </w:tcPr>
          <w:p w14:paraId="752A12AF" w14:textId="77777777" w:rsidR="006138D4" w:rsidRDefault="00000000">
            <w:r>
              <w:rPr>
                <w:sz w:val="21"/>
                <w:szCs w:val="21"/>
              </w:rPr>
              <w:t>Explicit maximum-margin hyperplane (linear kernel) or non-linear boundary (RBF/polynomial kernel) chosen to maximize the margin between classes.</w:t>
            </w:r>
          </w:p>
        </w:tc>
      </w:tr>
      <w:tr w:rsidR="006138D4" w14:paraId="3729BA75" w14:textId="77777777">
        <w:tblPrEx>
          <w:tblCellMar>
            <w:top w:w="0" w:type="dxa"/>
            <w:bottom w:w="0" w:type="dxa"/>
          </w:tblCellMar>
        </w:tblPrEx>
        <w:tc>
          <w:tcPr>
            <w:tcW w:w="2000" w:type="dxa"/>
            <w:tcMar>
              <w:top w:w="100" w:type="dxa"/>
              <w:left w:w="120" w:type="dxa"/>
              <w:bottom w:w="100" w:type="dxa"/>
              <w:right w:w="120" w:type="dxa"/>
            </w:tcMar>
          </w:tcPr>
          <w:p w14:paraId="46F5F23F" w14:textId="77777777" w:rsidR="006138D4" w:rsidRDefault="00000000">
            <w:r>
              <w:rPr>
                <w:sz w:val="21"/>
                <w:szCs w:val="21"/>
              </w:rPr>
              <w:t>Computational efficiency</w:t>
            </w:r>
          </w:p>
        </w:tc>
        <w:tc>
          <w:tcPr>
            <w:tcW w:w="3600" w:type="dxa"/>
            <w:tcMar>
              <w:top w:w="100" w:type="dxa"/>
              <w:left w:w="120" w:type="dxa"/>
              <w:bottom w:w="100" w:type="dxa"/>
              <w:right w:w="120" w:type="dxa"/>
            </w:tcMar>
          </w:tcPr>
          <w:p w14:paraId="645B2F8E" w14:textId="77777777" w:rsidR="006138D4" w:rsidRDefault="00000000">
            <w:r>
              <w:rPr>
                <w:sz w:val="21"/>
                <w:szCs w:val="21"/>
              </w:rPr>
              <w:t>Very fast to train (closed-form probability estimation) and predict — scales linearly with data size and vocabulary; ideal for very large text corpora.</w:t>
            </w:r>
          </w:p>
        </w:tc>
        <w:tc>
          <w:tcPr>
            <w:tcW w:w="3600" w:type="dxa"/>
            <w:tcMar>
              <w:top w:w="100" w:type="dxa"/>
              <w:left w:w="120" w:type="dxa"/>
              <w:bottom w:w="100" w:type="dxa"/>
              <w:right w:w="120" w:type="dxa"/>
            </w:tcMar>
          </w:tcPr>
          <w:p w14:paraId="193C3E2B" w14:textId="77777777" w:rsidR="006138D4" w:rsidRDefault="00000000">
            <w:r>
              <w:rPr>
                <w:sz w:val="21"/>
                <w:szCs w:val="21"/>
              </w:rPr>
              <w:t>Slower to train, especially with non-linear kernels, as complexity grows with the number of training samples (kernel matrix computation); prediction cost also grows with the number of support vectors.</w:t>
            </w:r>
          </w:p>
        </w:tc>
      </w:tr>
      <w:tr w:rsidR="006138D4" w14:paraId="039C83C2" w14:textId="77777777">
        <w:tblPrEx>
          <w:tblCellMar>
            <w:top w:w="0" w:type="dxa"/>
            <w:bottom w:w="0" w:type="dxa"/>
          </w:tblCellMar>
        </w:tblPrEx>
        <w:tc>
          <w:tcPr>
            <w:tcW w:w="2000" w:type="dxa"/>
            <w:tcMar>
              <w:top w:w="100" w:type="dxa"/>
              <w:left w:w="120" w:type="dxa"/>
              <w:bottom w:w="100" w:type="dxa"/>
              <w:right w:w="120" w:type="dxa"/>
            </w:tcMar>
          </w:tcPr>
          <w:p w14:paraId="56E2F53E" w14:textId="77777777" w:rsidR="006138D4" w:rsidRDefault="00000000">
            <w:r>
              <w:rPr>
                <w:sz w:val="21"/>
                <w:szCs w:val="21"/>
              </w:rPr>
              <w:t>Performance on high-dimensional data</w:t>
            </w:r>
          </w:p>
        </w:tc>
        <w:tc>
          <w:tcPr>
            <w:tcW w:w="3600" w:type="dxa"/>
            <w:tcMar>
              <w:top w:w="100" w:type="dxa"/>
              <w:left w:w="120" w:type="dxa"/>
              <w:bottom w:w="100" w:type="dxa"/>
              <w:right w:w="120" w:type="dxa"/>
            </w:tcMar>
          </w:tcPr>
          <w:p w14:paraId="5BE72416" w14:textId="77777777" w:rsidR="006138D4" w:rsidRDefault="00000000">
            <w:r>
              <w:rPr>
                <w:sz w:val="21"/>
                <w:szCs w:val="21"/>
              </w:rPr>
              <w:t>Performs very well on high-dimensional sparse data like text/bag-of-words (thousands of features), since it needs only per-feature statistics.</w:t>
            </w:r>
          </w:p>
        </w:tc>
        <w:tc>
          <w:tcPr>
            <w:tcW w:w="3600" w:type="dxa"/>
            <w:tcMar>
              <w:top w:w="100" w:type="dxa"/>
              <w:left w:w="120" w:type="dxa"/>
              <w:bottom w:w="100" w:type="dxa"/>
              <w:right w:w="120" w:type="dxa"/>
            </w:tcMar>
          </w:tcPr>
          <w:p w14:paraId="4D6054A8" w14:textId="77777777" w:rsidR="006138D4" w:rsidRDefault="00000000">
            <w:r>
              <w:rPr>
                <w:sz w:val="21"/>
                <w:szCs w:val="21"/>
              </w:rPr>
              <w:t>Also performs well in high dimensions (effective for text with linear kernel), but non-linear kernels can become expensive and harder to tune as dimensionality grows.</w:t>
            </w:r>
          </w:p>
        </w:tc>
      </w:tr>
    </w:tbl>
    <w:p w14:paraId="26774AF9" w14:textId="77777777" w:rsidR="006138D4" w:rsidRDefault="006138D4">
      <w:pPr>
        <w:spacing w:after="160"/>
      </w:pPr>
    </w:p>
    <w:p w14:paraId="4983ED5A" w14:textId="77777777" w:rsidR="006138D4" w:rsidRDefault="00000000">
      <w:pPr>
        <w:spacing w:before="120" w:after="80"/>
      </w:pPr>
      <w:r>
        <w:rPr>
          <w:b/>
          <w:bCs/>
          <w:color w:val="1F4E78"/>
          <w:sz w:val="24"/>
          <w:szCs w:val="24"/>
        </w:rPr>
        <w:t>When Each Method Is Preferable</w:t>
      </w:r>
    </w:p>
    <w:p w14:paraId="653566B1" w14:textId="77777777" w:rsidR="006138D4" w:rsidRDefault="00000000">
      <w:pPr>
        <w:pStyle w:val="ListParagraph"/>
        <w:numPr>
          <w:ilvl w:val="0"/>
          <w:numId w:val="1"/>
        </w:numPr>
        <w:spacing w:after="80"/>
      </w:pPr>
      <w:r>
        <w:t>Naïve Bayes is preferable when training data is limited, when very fast training/inference is required (e.g., real-time spam or sentiment filtering at scale), or as a strong, simple baseline — it often performs surprisingly well on text despite its unrealistic independence assumption.</w:t>
      </w:r>
    </w:p>
    <w:p w14:paraId="4CB17BB4" w14:textId="77777777" w:rsidR="006138D4" w:rsidRDefault="00000000">
      <w:pPr>
        <w:pStyle w:val="ListParagraph"/>
        <w:numPr>
          <w:ilvl w:val="0"/>
          <w:numId w:val="1"/>
        </w:numPr>
        <w:spacing w:after="80"/>
      </w:pPr>
      <w:r>
        <w:t>SVM is preferable when maximum classification accuracy is the priority and enough labeled data and compute are available to tune it properly, since its margin-maximization tends to generalize better on moderately-sized, well-curated datasets, and its kernel trick allows it to handle non-linear class boundaries if a linear separator is insufficient.</w:t>
      </w:r>
    </w:p>
    <w:p w14:paraId="4FE37557" w14:textId="77777777" w:rsidR="006138D4" w:rsidRDefault="00000000">
      <w:pPr>
        <w:pStyle w:val="ListParagraph"/>
        <w:numPr>
          <w:ilvl w:val="0"/>
          <w:numId w:val="1"/>
        </w:numPr>
        <w:spacing w:after="80"/>
      </w:pPr>
      <w:r>
        <w:t>In practice, Naïve Bayes is favored for quick, large-scale, low-latency sentiment pipelines, while SVM (typically with a linear kernel for text) is favored when accuracy is critical and there is time/data to train and tune it properly.</w:t>
      </w:r>
    </w:p>
    <w:sectPr w:rsidR="006138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26815"/>
    <w:multiLevelType w:val="hybridMultilevel"/>
    <w:tmpl w:val="0630AA98"/>
    <w:lvl w:ilvl="0" w:tplc="F62A57EE">
      <w:start w:val="1"/>
      <w:numFmt w:val="bullet"/>
      <w:lvlText w:val="●"/>
      <w:lvlJc w:val="left"/>
      <w:pPr>
        <w:ind w:left="720" w:hanging="360"/>
      </w:pPr>
    </w:lvl>
    <w:lvl w:ilvl="1" w:tplc="BEF07B2C">
      <w:start w:val="1"/>
      <w:numFmt w:val="bullet"/>
      <w:lvlText w:val="○"/>
      <w:lvlJc w:val="left"/>
      <w:pPr>
        <w:ind w:left="1440" w:hanging="360"/>
      </w:pPr>
    </w:lvl>
    <w:lvl w:ilvl="2" w:tplc="CABAF30C">
      <w:start w:val="1"/>
      <w:numFmt w:val="bullet"/>
      <w:lvlText w:val="■"/>
      <w:lvlJc w:val="left"/>
      <w:pPr>
        <w:ind w:left="2160" w:hanging="360"/>
      </w:pPr>
    </w:lvl>
    <w:lvl w:ilvl="3" w:tplc="C7BABEFA">
      <w:start w:val="1"/>
      <w:numFmt w:val="bullet"/>
      <w:lvlText w:val="●"/>
      <w:lvlJc w:val="left"/>
      <w:pPr>
        <w:ind w:left="2880" w:hanging="360"/>
      </w:pPr>
    </w:lvl>
    <w:lvl w:ilvl="4" w:tplc="2292A012">
      <w:start w:val="1"/>
      <w:numFmt w:val="bullet"/>
      <w:lvlText w:val="○"/>
      <w:lvlJc w:val="left"/>
      <w:pPr>
        <w:ind w:left="3600" w:hanging="360"/>
      </w:pPr>
    </w:lvl>
    <w:lvl w:ilvl="5" w:tplc="540E022C">
      <w:start w:val="1"/>
      <w:numFmt w:val="bullet"/>
      <w:lvlText w:val="■"/>
      <w:lvlJc w:val="left"/>
      <w:pPr>
        <w:ind w:left="4320" w:hanging="360"/>
      </w:pPr>
    </w:lvl>
    <w:lvl w:ilvl="6" w:tplc="CCFA366A">
      <w:start w:val="1"/>
      <w:numFmt w:val="bullet"/>
      <w:lvlText w:val="●"/>
      <w:lvlJc w:val="left"/>
      <w:pPr>
        <w:ind w:left="5040" w:hanging="360"/>
      </w:pPr>
    </w:lvl>
    <w:lvl w:ilvl="7" w:tplc="D8FA896C">
      <w:start w:val="1"/>
      <w:numFmt w:val="bullet"/>
      <w:lvlText w:val="●"/>
      <w:lvlJc w:val="left"/>
      <w:pPr>
        <w:ind w:left="5760" w:hanging="360"/>
      </w:pPr>
    </w:lvl>
    <w:lvl w:ilvl="8" w:tplc="9976DC7C">
      <w:start w:val="1"/>
      <w:numFmt w:val="bullet"/>
      <w:lvlText w:val="●"/>
      <w:lvlJc w:val="left"/>
      <w:pPr>
        <w:ind w:left="6480" w:hanging="360"/>
      </w:pPr>
    </w:lvl>
  </w:abstractNum>
  <w:num w:numId="1" w16cid:durableId="53356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8D4"/>
    <w:rsid w:val="0058581E"/>
    <w:rsid w:val="00601C9C"/>
    <w:rsid w:val="00613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AA66"/>
  <w15:docId w15:val="{2768A7EB-4B47-4F9C-89F3-A5FA27659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VAMSI KUMAR REDDY KOTHAREDDYGARI</cp:lastModifiedBy>
  <cp:revision>2</cp:revision>
  <dcterms:created xsi:type="dcterms:W3CDTF">2026-08-12T07:41:00Z</dcterms:created>
  <dcterms:modified xsi:type="dcterms:W3CDTF">2026-08-17T03:20:00Z</dcterms:modified>
</cp:coreProperties>
</file>