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882BC" w14:textId="73DEEB79" w:rsidR="00CE5E3F" w:rsidRDefault="00CE5E3F" w:rsidP="00B10FE8">
      <w:pPr>
        <w:jc w:val="center"/>
        <w:rPr>
          <w:b/>
          <w:bCs/>
          <w:sz w:val="20"/>
          <w:szCs w:val="20"/>
          <w:u w:val="double"/>
        </w:rPr>
      </w:pPr>
      <w:r w:rsidRPr="00B10FE8">
        <w:rPr>
          <w:b/>
          <w:bCs/>
          <w:sz w:val="40"/>
          <w:szCs w:val="40"/>
          <w:u w:val="double"/>
        </w:rPr>
        <w:t>S</w:t>
      </w:r>
      <w:r w:rsidR="00B10FE8">
        <w:rPr>
          <w:b/>
          <w:bCs/>
          <w:sz w:val="40"/>
          <w:szCs w:val="40"/>
          <w:u w:val="double"/>
        </w:rPr>
        <w:t>ECURITIES</w:t>
      </w:r>
      <w:r w:rsidRPr="00B10FE8">
        <w:rPr>
          <w:b/>
          <w:bCs/>
          <w:sz w:val="40"/>
          <w:szCs w:val="40"/>
          <w:u w:val="double"/>
        </w:rPr>
        <w:t xml:space="preserve"> </w:t>
      </w:r>
      <w:r w:rsidR="00B10FE8">
        <w:rPr>
          <w:b/>
          <w:bCs/>
          <w:sz w:val="40"/>
          <w:szCs w:val="40"/>
          <w:u w:val="double"/>
        </w:rPr>
        <w:t>&amp;</w:t>
      </w:r>
      <w:r w:rsidRPr="00B10FE8">
        <w:rPr>
          <w:b/>
          <w:bCs/>
          <w:sz w:val="40"/>
          <w:szCs w:val="40"/>
          <w:u w:val="double"/>
        </w:rPr>
        <w:t xml:space="preserve"> E</w:t>
      </w:r>
      <w:r w:rsidR="00B10FE8">
        <w:rPr>
          <w:b/>
          <w:bCs/>
          <w:sz w:val="40"/>
          <w:szCs w:val="40"/>
          <w:u w:val="double"/>
        </w:rPr>
        <w:t>XCHANGE</w:t>
      </w:r>
      <w:r w:rsidRPr="00B10FE8">
        <w:rPr>
          <w:b/>
          <w:bCs/>
          <w:sz w:val="40"/>
          <w:szCs w:val="40"/>
          <w:u w:val="double"/>
        </w:rPr>
        <w:t xml:space="preserve"> C</w:t>
      </w:r>
      <w:r w:rsidR="00B10FE8">
        <w:rPr>
          <w:b/>
          <w:bCs/>
          <w:sz w:val="40"/>
          <w:szCs w:val="40"/>
          <w:u w:val="double"/>
        </w:rPr>
        <w:t>OMISSION</w:t>
      </w:r>
      <w:r w:rsidRPr="00B10FE8">
        <w:rPr>
          <w:b/>
          <w:bCs/>
          <w:sz w:val="40"/>
          <w:szCs w:val="40"/>
          <w:u w:val="double"/>
        </w:rPr>
        <w:t xml:space="preserve"> (SEC)</w:t>
      </w:r>
    </w:p>
    <w:p w14:paraId="738166CE" w14:textId="77777777" w:rsidR="00B10FE8" w:rsidRPr="00B10FE8" w:rsidRDefault="00B10FE8" w:rsidP="00B10FE8">
      <w:pPr>
        <w:jc w:val="center"/>
        <w:rPr>
          <w:b/>
          <w:bCs/>
          <w:sz w:val="20"/>
          <w:szCs w:val="20"/>
          <w:u w:val="double"/>
        </w:rPr>
      </w:pPr>
    </w:p>
    <w:p w14:paraId="395ACACA" w14:textId="77777777" w:rsidR="00CE5E3F" w:rsidRPr="00B10FE8" w:rsidRDefault="00CE5E3F" w:rsidP="00CE5E3F">
      <w:pPr>
        <w:rPr>
          <w:b/>
          <w:bCs/>
          <w:sz w:val="36"/>
          <w:szCs w:val="36"/>
        </w:rPr>
      </w:pPr>
      <w:proofErr w:type="gramStart"/>
      <w:r w:rsidRPr="00B10FE8">
        <w:rPr>
          <w:b/>
          <w:bCs/>
          <w:sz w:val="36"/>
          <w:szCs w:val="36"/>
        </w:rPr>
        <w:t>INTRODUCTION:-</w:t>
      </w:r>
      <w:proofErr w:type="gramEnd"/>
    </w:p>
    <w:p w14:paraId="42EDA379" w14:textId="32065E42" w:rsidR="00CE5E3F" w:rsidRDefault="00CE5E3F" w:rsidP="00CE5E3F"/>
    <w:p w14:paraId="38F4117D" w14:textId="6C6DDC47" w:rsidR="00CE5E3F" w:rsidRPr="00B10FE8" w:rsidRDefault="00CE5E3F" w:rsidP="00CE5E3F">
      <w:pPr>
        <w:rPr>
          <w:rFonts w:cstheme="minorHAnsi"/>
          <w:sz w:val="32"/>
          <w:szCs w:val="32"/>
        </w:rPr>
      </w:pPr>
      <w:r w:rsidRPr="00B10FE8">
        <w:rPr>
          <w:rFonts w:cstheme="minorHAnsi"/>
          <w:sz w:val="32"/>
          <w:szCs w:val="32"/>
        </w:rPr>
        <w:t>The Securities and Exchange Commission (SEC) in the United States is responsible for enforcing federal securities laws and regulating the securities industry, including the nation's stock and options exchanges. It also oversees the activities of securities brokers and dealers, investment advisors, and mutual funds. The SEC's primary objectives are to protect investors, maintain fair, orderly, and efficient markets, and facilitate capital formation.</w:t>
      </w:r>
    </w:p>
    <w:p w14:paraId="064FB764" w14:textId="77777777" w:rsidR="00CE5E3F" w:rsidRPr="00B10FE8" w:rsidRDefault="00CE5E3F" w:rsidP="00CE5E3F">
      <w:pPr>
        <w:rPr>
          <w:rFonts w:cstheme="minorHAnsi"/>
          <w:sz w:val="32"/>
          <w:szCs w:val="32"/>
        </w:rPr>
      </w:pPr>
    </w:p>
    <w:p w14:paraId="3B3B2CAD" w14:textId="77777777" w:rsidR="00CE5E3F" w:rsidRPr="00B10FE8" w:rsidRDefault="00CE5E3F" w:rsidP="00CE5E3F">
      <w:pPr>
        <w:rPr>
          <w:rFonts w:cstheme="minorHAnsi"/>
          <w:sz w:val="32"/>
          <w:szCs w:val="32"/>
        </w:rPr>
      </w:pPr>
      <w:r w:rsidRPr="00B10FE8">
        <w:rPr>
          <w:rFonts w:cstheme="minorHAnsi"/>
          <w:sz w:val="32"/>
          <w:szCs w:val="32"/>
        </w:rPr>
        <w:t>Over the past five years, the SEC has implemented a variety of regulations and enforcement actions aimed at addressing emerging market trends and risks. Here’s an overview of key regulations and actions, supplemented by data and visual representations where applicable.</w:t>
      </w:r>
    </w:p>
    <w:p w14:paraId="682DCF46" w14:textId="77777777" w:rsidR="00CE5E3F" w:rsidRDefault="00CE5E3F" w:rsidP="00CE5E3F"/>
    <w:p w14:paraId="407595E2" w14:textId="6B34C875" w:rsidR="00CE5E3F" w:rsidRPr="00B10FE8" w:rsidRDefault="00CE5E3F" w:rsidP="00CE5E3F">
      <w:pPr>
        <w:rPr>
          <w:b/>
          <w:bCs/>
          <w:sz w:val="36"/>
          <w:szCs w:val="36"/>
        </w:rPr>
      </w:pPr>
      <w:r w:rsidRPr="00B10FE8">
        <w:rPr>
          <w:b/>
          <w:bCs/>
          <w:sz w:val="36"/>
          <w:szCs w:val="36"/>
        </w:rPr>
        <w:t xml:space="preserve"> Key SEC Regulations and Actions (2018-2023</w:t>
      </w:r>
      <w:proofErr w:type="gramStart"/>
      <w:r w:rsidRPr="00B10FE8">
        <w:rPr>
          <w:b/>
          <w:bCs/>
          <w:sz w:val="36"/>
          <w:szCs w:val="36"/>
        </w:rPr>
        <w:t>)</w:t>
      </w:r>
      <w:r w:rsidR="00B10FE8">
        <w:rPr>
          <w:b/>
          <w:bCs/>
          <w:sz w:val="36"/>
          <w:szCs w:val="36"/>
        </w:rPr>
        <w:t>:-</w:t>
      </w:r>
      <w:proofErr w:type="gramEnd"/>
    </w:p>
    <w:p w14:paraId="7A03D6B1" w14:textId="77777777" w:rsidR="00CE5E3F" w:rsidRDefault="00CE5E3F" w:rsidP="00CE5E3F"/>
    <w:p w14:paraId="00502B1B" w14:textId="64A5B348" w:rsidR="00CE5E3F" w:rsidRPr="00B10FE8" w:rsidRDefault="00CE5E3F" w:rsidP="00CE5E3F">
      <w:pPr>
        <w:rPr>
          <w:rFonts w:cstheme="minorHAnsi"/>
          <w:b/>
          <w:bCs/>
          <w:sz w:val="32"/>
          <w:szCs w:val="32"/>
        </w:rPr>
      </w:pPr>
      <w:r w:rsidRPr="00B10FE8">
        <w:rPr>
          <w:rFonts w:cstheme="minorHAnsi"/>
          <w:b/>
          <w:bCs/>
          <w:sz w:val="32"/>
          <w:szCs w:val="32"/>
        </w:rPr>
        <w:t>1. Regulation Best Interest (Reg BI)</w:t>
      </w:r>
    </w:p>
    <w:p w14:paraId="1E926661" w14:textId="5FF92AC0" w:rsidR="00CE5E3F" w:rsidRPr="00B10FE8" w:rsidRDefault="00CE5E3F" w:rsidP="00CE5E3F">
      <w:pPr>
        <w:rPr>
          <w:rFonts w:cstheme="minorHAnsi"/>
          <w:sz w:val="32"/>
          <w:szCs w:val="32"/>
        </w:rPr>
      </w:pPr>
      <w:r w:rsidRPr="00B10FE8">
        <w:rPr>
          <w:rFonts w:cstheme="minorHAnsi"/>
          <w:b/>
          <w:bCs/>
          <w:sz w:val="32"/>
          <w:szCs w:val="32"/>
        </w:rPr>
        <w:t xml:space="preserve">   - Adopted:</w:t>
      </w:r>
      <w:r w:rsidRPr="00B10FE8">
        <w:rPr>
          <w:rFonts w:cstheme="minorHAnsi"/>
          <w:sz w:val="32"/>
          <w:szCs w:val="32"/>
        </w:rPr>
        <w:t xml:space="preserve"> June 5, 2019</w:t>
      </w:r>
    </w:p>
    <w:p w14:paraId="716E5A39" w14:textId="4FF83C0E" w:rsidR="00CE5E3F" w:rsidRPr="00B10FE8" w:rsidRDefault="00CE5E3F" w:rsidP="00CE5E3F">
      <w:pPr>
        <w:rPr>
          <w:rFonts w:cstheme="minorHAnsi"/>
          <w:sz w:val="32"/>
          <w:szCs w:val="32"/>
        </w:rPr>
      </w:pPr>
      <w:r w:rsidRPr="00B10FE8">
        <w:rPr>
          <w:rFonts w:cstheme="minorHAnsi"/>
          <w:b/>
          <w:bCs/>
          <w:sz w:val="32"/>
          <w:szCs w:val="32"/>
        </w:rPr>
        <w:t xml:space="preserve">   - Effective:</w:t>
      </w:r>
      <w:r w:rsidRPr="00B10FE8">
        <w:rPr>
          <w:rFonts w:cstheme="minorHAnsi"/>
          <w:sz w:val="32"/>
          <w:szCs w:val="32"/>
        </w:rPr>
        <w:t xml:space="preserve"> June 30, 2020</w:t>
      </w:r>
    </w:p>
    <w:p w14:paraId="318833C5" w14:textId="7B164C3F"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Purpose:</w:t>
      </w:r>
      <w:r w:rsidRPr="00B10FE8">
        <w:rPr>
          <w:rFonts w:cstheme="minorHAnsi"/>
          <w:sz w:val="32"/>
          <w:szCs w:val="32"/>
        </w:rPr>
        <w:t xml:space="preserve"> Requires broker-dealers to act in the best interest of their retail customers when making recommendations about securities transactions or investment strategies.</w:t>
      </w:r>
    </w:p>
    <w:p w14:paraId="5136D82B" w14:textId="77777777" w:rsidR="00CE5E3F" w:rsidRPr="00B10FE8" w:rsidRDefault="00CE5E3F" w:rsidP="00CE5E3F">
      <w:pPr>
        <w:rPr>
          <w:rFonts w:cstheme="minorHAnsi"/>
          <w:sz w:val="32"/>
          <w:szCs w:val="32"/>
        </w:rPr>
      </w:pPr>
    </w:p>
    <w:p w14:paraId="400FCE06" w14:textId="162AC22E" w:rsidR="00CE5E3F" w:rsidRPr="00B10FE8" w:rsidRDefault="00CE5E3F" w:rsidP="00CE5E3F">
      <w:pPr>
        <w:rPr>
          <w:rFonts w:cstheme="minorHAnsi"/>
          <w:b/>
          <w:bCs/>
          <w:sz w:val="32"/>
          <w:szCs w:val="32"/>
        </w:rPr>
      </w:pPr>
      <w:r w:rsidRPr="00B10FE8">
        <w:rPr>
          <w:rFonts w:cstheme="minorHAnsi"/>
          <w:b/>
          <w:bCs/>
          <w:sz w:val="32"/>
          <w:szCs w:val="32"/>
        </w:rPr>
        <w:t>2. Modernization of Regulation S-K Items 101, 103, and 105</w:t>
      </w:r>
    </w:p>
    <w:p w14:paraId="395FA54E" w14:textId="0F3E3C3E" w:rsidR="00CE5E3F" w:rsidRPr="00B10FE8" w:rsidRDefault="00CE5E3F" w:rsidP="00CE5E3F">
      <w:pPr>
        <w:rPr>
          <w:rFonts w:cstheme="minorHAnsi"/>
          <w:sz w:val="32"/>
          <w:szCs w:val="32"/>
        </w:rPr>
      </w:pPr>
      <w:r w:rsidRPr="00B10FE8">
        <w:rPr>
          <w:rFonts w:cstheme="minorHAnsi"/>
          <w:sz w:val="32"/>
          <w:szCs w:val="32"/>
        </w:rPr>
        <w:lastRenderedPageBreak/>
        <w:t xml:space="preserve">   </w:t>
      </w:r>
      <w:r w:rsidRPr="00B10FE8">
        <w:rPr>
          <w:rFonts w:cstheme="minorHAnsi"/>
          <w:b/>
          <w:bCs/>
          <w:sz w:val="32"/>
          <w:szCs w:val="32"/>
        </w:rPr>
        <w:t>- Adopted:</w:t>
      </w:r>
      <w:r w:rsidRPr="00B10FE8">
        <w:rPr>
          <w:rFonts w:cstheme="minorHAnsi"/>
          <w:sz w:val="32"/>
          <w:szCs w:val="32"/>
        </w:rPr>
        <w:t xml:space="preserve"> August 26, 2020</w:t>
      </w:r>
    </w:p>
    <w:p w14:paraId="2555751C" w14:textId="671A7A50" w:rsidR="00CE5E3F" w:rsidRPr="00B10FE8" w:rsidRDefault="00CE5E3F" w:rsidP="00CE5E3F">
      <w:pPr>
        <w:rPr>
          <w:rFonts w:cstheme="minorHAnsi"/>
          <w:sz w:val="32"/>
          <w:szCs w:val="32"/>
        </w:rPr>
      </w:pPr>
      <w:r w:rsidRPr="00B10FE8">
        <w:rPr>
          <w:rFonts w:cstheme="minorHAnsi"/>
          <w:b/>
          <w:bCs/>
          <w:sz w:val="32"/>
          <w:szCs w:val="32"/>
        </w:rPr>
        <w:t xml:space="preserve">   - Effective:</w:t>
      </w:r>
      <w:r w:rsidRPr="00B10FE8">
        <w:rPr>
          <w:rFonts w:cstheme="minorHAnsi"/>
          <w:sz w:val="32"/>
          <w:szCs w:val="32"/>
        </w:rPr>
        <w:t xml:space="preserve"> November 9, 2020</w:t>
      </w:r>
    </w:p>
    <w:p w14:paraId="5A7A697E" w14:textId="2D2D658B"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Purpose:</w:t>
      </w:r>
      <w:r w:rsidRPr="00B10FE8">
        <w:rPr>
          <w:rFonts w:cstheme="minorHAnsi"/>
          <w:sz w:val="32"/>
          <w:szCs w:val="32"/>
        </w:rPr>
        <w:t xml:space="preserve"> Updates the disclosure requirements for description of business, legal proceedings, and risk factors to make them more tailored to company-specific circumstances.</w:t>
      </w:r>
    </w:p>
    <w:p w14:paraId="252DFB10" w14:textId="77777777" w:rsidR="00CE5E3F" w:rsidRPr="00B10FE8" w:rsidRDefault="00CE5E3F" w:rsidP="00CE5E3F">
      <w:pPr>
        <w:rPr>
          <w:rFonts w:cstheme="minorHAnsi"/>
          <w:sz w:val="32"/>
          <w:szCs w:val="32"/>
        </w:rPr>
      </w:pPr>
    </w:p>
    <w:p w14:paraId="70056B0D" w14:textId="4A069E74" w:rsidR="00CE5E3F" w:rsidRPr="00B10FE8" w:rsidRDefault="00CE5E3F" w:rsidP="00CE5E3F">
      <w:pPr>
        <w:rPr>
          <w:rFonts w:cstheme="minorHAnsi"/>
          <w:b/>
          <w:bCs/>
          <w:sz w:val="32"/>
          <w:szCs w:val="32"/>
        </w:rPr>
      </w:pPr>
      <w:r w:rsidRPr="00B10FE8">
        <w:rPr>
          <w:rFonts w:cstheme="minorHAnsi"/>
          <w:b/>
          <w:bCs/>
          <w:sz w:val="32"/>
          <w:szCs w:val="32"/>
        </w:rPr>
        <w:t>3. Proxy Advisor Regulations</w:t>
      </w:r>
    </w:p>
    <w:p w14:paraId="1AE8D48D" w14:textId="55C7EBDB"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Adopted:</w:t>
      </w:r>
      <w:r w:rsidRPr="00B10FE8">
        <w:rPr>
          <w:rFonts w:cstheme="minorHAnsi"/>
          <w:sz w:val="32"/>
          <w:szCs w:val="32"/>
        </w:rPr>
        <w:t xml:space="preserve"> July 22, 2020</w:t>
      </w:r>
    </w:p>
    <w:p w14:paraId="712EDE64" w14:textId="09803D3F" w:rsidR="00CE5E3F" w:rsidRPr="00B10FE8" w:rsidRDefault="00CE5E3F" w:rsidP="00CE5E3F">
      <w:pPr>
        <w:rPr>
          <w:rFonts w:cstheme="minorHAnsi"/>
          <w:sz w:val="32"/>
          <w:szCs w:val="32"/>
        </w:rPr>
      </w:pPr>
      <w:r w:rsidRPr="00B10FE8">
        <w:rPr>
          <w:rFonts w:cstheme="minorHAnsi"/>
          <w:b/>
          <w:bCs/>
          <w:sz w:val="32"/>
          <w:szCs w:val="32"/>
        </w:rPr>
        <w:t xml:space="preserve">   - Effective:</w:t>
      </w:r>
      <w:r w:rsidRPr="00B10FE8">
        <w:rPr>
          <w:rFonts w:cstheme="minorHAnsi"/>
          <w:sz w:val="32"/>
          <w:szCs w:val="32"/>
        </w:rPr>
        <w:t xml:space="preserve"> November 2, 2020</w:t>
      </w:r>
    </w:p>
    <w:p w14:paraId="2E1692DF" w14:textId="63A39E85" w:rsidR="00CE5E3F" w:rsidRPr="00B10FE8" w:rsidRDefault="00CE5E3F" w:rsidP="00CE5E3F">
      <w:pPr>
        <w:rPr>
          <w:rFonts w:cstheme="minorHAnsi"/>
          <w:sz w:val="32"/>
          <w:szCs w:val="32"/>
        </w:rPr>
      </w:pPr>
      <w:r w:rsidRPr="00B10FE8">
        <w:rPr>
          <w:rFonts w:cstheme="minorHAnsi"/>
          <w:b/>
          <w:bCs/>
          <w:sz w:val="32"/>
          <w:szCs w:val="32"/>
        </w:rPr>
        <w:t xml:space="preserve">   - Purpose:</w:t>
      </w:r>
      <w:r w:rsidRPr="00B10FE8">
        <w:rPr>
          <w:rFonts w:cstheme="minorHAnsi"/>
          <w:sz w:val="32"/>
          <w:szCs w:val="32"/>
        </w:rPr>
        <w:t xml:space="preserve"> Increases transparency and accountability in the proxy advisory process.</w:t>
      </w:r>
    </w:p>
    <w:p w14:paraId="330D4842" w14:textId="77777777" w:rsidR="00CE5E3F" w:rsidRPr="00B10FE8" w:rsidRDefault="00CE5E3F" w:rsidP="00CE5E3F">
      <w:pPr>
        <w:rPr>
          <w:rFonts w:cstheme="minorHAnsi"/>
          <w:sz w:val="32"/>
          <w:szCs w:val="32"/>
        </w:rPr>
      </w:pPr>
    </w:p>
    <w:p w14:paraId="1F99DE40" w14:textId="414C1237" w:rsidR="00CE5E3F" w:rsidRPr="00B10FE8" w:rsidRDefault="00CE5E3F" w:rsidP="00CE5E3F">
      <w:pPr>
        <w:rPr>
          <w:rFonts w:cstheme="minorHAnsi"/>
          <w:b/>
          <w:bCs/>
          <w:sz w:val="32"/>
          <w:szCs w:val="32"/>
        </w:rPr>
      </w:pPr>
      <w:r w:rsidRPr="00B10FE8">
        <w:rPr>
          <w:rFonts w:cstheme="minorHAnsi"/>
          <w:b/>
          <w:bCs/>
          <w:sz w:val="32"/>
          <w:szCs w:val="32"/>
        </w:rPr>
        <w:t>4. Amendments to the Accredited Investor Definition</w:t>
      </w:r>
    </w:p>
    <w:p w14:paraId="6CF001A8" w14:textId="6E2453E4"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Adopted:</w:t>
      </w:r>
      <w:r w:rsidRPr="00B10FE8">
        <w:rPr>
          <w:rFonts w:cstheme="minorHAnsi"/>
          <w:sz w:val="32"/>
          <w:szCs w:val="32"/>
        </w:rPr>
        <w:t xml:space="preserve"> August 26, 2020</w:t>
      </w:r>
    </w:p>
    <w:p w14:paraId="4E7C8404" w14:textId="32D22080"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Effective:</w:t>
      </w:r>
      <w:r w:rsidRPr="00B10FE8">
        <w:rPr>
          <w:rFonts w:cstheme="minorHAnsi"/>
          <w:sz w:val="32"/>
          <w:szCs w:val="32"/>
        </w:rPr>
        <w:t xml:space="preserve"> December 8, 2020</w:t>
      </w:r>
    </w:p>
    <w:p w14:paraId="19E15C35" w14:textId="1F7F5AAC"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Purpose:</w:t>
      </w:r>
      <w:r w:rsidRPr="00B10FE8">
        <w:rPr>
          <w:rFonts w:cstheme="minorHAnsi"/>
          <w:sz w:val="32"/>
          <w:szCs w:val="32"/>
        </w:rPr>
        <w:t xml:space="preserve"> Expands the pool of eligible investors to include individuals with certain professional certifications and knowledge.</w:t>
      </w:r>
    </w:p>
    <w:p w14:paraId="759B0D0E" w14:textId="77777777" w:rsidR="00CE5E3F" w:rsidRPr="00B10FE8" w:rsidRDefault="00CE5E3F" w:rsidP="00CE5E3F">
      <w:pPr>
        <w:rPr>
          <w:rFonts w:cstheme="minorHAnsi"/>
          <w:sz w:val="32"/>
          <w:szCs w:val="32"/>
        </w:rPr>
      </w:pPr>
    </w:p>
    <w:p w14:paraId="5850CDF1" w14:textId="14FE8921" w:rsidR="00CE5E3F" w:rsidRPr="00B10FE8" w:rsidRDefault="00CE5E3F" w:rsidP="00CE5E3F">
      <w:pPr>
        <w:rPr>
          <w:rFonts w:cstheme="minorHAnsi"/>
          <w:b/>
          <w:bCs/>
          <w:sz w:val="32"/>
          <w:szCs w:val="32"/>
        </w:rPr>
      </w:pPr>
      <w:r w:rsidRPr="00B10FE8">
        <w:rPr>
          <w:rFonts w:cstheme="minorHAnsi"/>
          <w:b/>
          <w:bCs/>
          <w:sz w:val="32"/>
          <w:szCs w:val="32"/>
        </w:rPr>
        <w:t>5. Climate and ESG Disclosures</w:t>
      </w:r>
    </w:p>
    <w:p w14:paraId="2EF97A22" w14:textId="2C7A2F1D"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Proposed:</w:t>
      </w:r>
      <w:r w:rsidRPr="00B10FE8">
        <w:rPr>
          <w:rFonts w:cstheme="minorHAnsi"/>
          <w:sz w:val="32"/>
          <w:szCs w:val="32"/>
        </w:rPr>
        <w:t xml:space="preserve"> March 21, 2022</w:t>
      </w:r>
    </w:p>
    <w:p w14:paraId="33CF2D30" w14:textId="2A7D3E31" w:rsidR="00CE5E3F" w:rsidRPr="00B10FE8" w:rsidRDefault="00CE5E3F" w:rsidP="00CE5E3F">
      <w:pPr>
        <w:rPr>
          <w:rFonts w:cstheme="minorHAnsi"/>
          <w:sz w:val="32"/>
          <w:szCs w:val="32"/>
        </w:rPr>
      </w:pPr>
      <w:r w:rsidRPr="00B10FE8">
        <w:rPr>
          <w:rFonts w:cstheme="minorHAnsi"/>
          <w:b/>
          <w:bCs/>
          <w:sz w:val="32"/>
          <w:szCs w:val="32"/>
        </w:rPr>
        <w:t xml:space="preserve">   - Purpose:</w:t>
      </w:r>
      <w:r w:rsidRPr="00B10FE8">
        <w:rPr>
          <w:rFonts w:cstheme="minorHAnsi"/>
          <w:sz w:val="32"/>
          <w:szCs w:val="32"/>
        </w:rPr>
        <w:t xml:space="preserve"> Requires public companies to disclose information about climate-related risks and greenhouse gas emissions.</w:t>
      </w:r>
    </w:p>
    <w:p w14:paraId="2E05652D" w14:textId="77777777" w:rsidR="00CE5E3F" w:rsidRPr="00B10FE8" w:rsidRDefault="00CE5E3F" w:rsidP="00CE5E3F">
      <w:pPr>
        <w:rPr>
          <w:rFonts w:cstheme="minorHAnsi"/>
          <w:sz w:val="32"/>
          <w:szCs w:val="32"/>
        </w:rPr>
      </w:pPr>
    </w:p>
    <w:p w14:paraId="200747EA" w14:textId="06165DAB" w:rsidR="00CE5E3F" w:rsidRPr="00B10FE8" w:rsidRDefault="00CE5E3F" w:rsidP="00CE5E3F">
      <w:pPr>
        <w:rPr>
          <w:rFonts w:cstheme="minorHAnsi"/>
          <w:b/>
          <w:bCs/>
          <w:sz w:val="32"/>
          <w:szCs w:val="32"/>
        </w:rPr>
      </w:pPr>
      <w:r w:rsidRPr="00B10FE8">
        <w:rPr>
          <w:rFonts w:cstheme="minorHAnsi"/>
          <w:b/>
          <w:bCs/>
          <w:sz w:val="32"/>
          <w:szCs w:val="32"/>
        </w:rPr>
        <w:t>6. Cybersecurity Risk Management</w:t>
      </w:r>
    </w:p>
    <w:p w14:paraId="525EAA4F" w14:textId="54AE35DC"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Proposed:</w:t>
      </w:r>
      <w:r w:rsidRPr="00B10FE8">
        <w:rPr>
          <w:rFonts w:cstheme="minorHAnsi"/>
          <w:sz w:val="32"/>
          <w:szCs w:val="32"/>
        </w:rPr>
        <w:t xml:space="preserve"> February 9, 2022</w:t>
      </w:r>
    </w:p>
    <w:p w14:paraId="14B86B6C" w14:textId="6B92A1F6" w:rsidR="00CE5E3F" w:rsidRPr="00B10FE8" w:rsidRDefault="00CE5E3F" w:rsidP="00CE5E3F">
      <w:pPr>
        <w:rPr>
          <w:rFonts w:cstheme="minorHAnsi"/>
          <w:sz w:val="32"/>
          <w:szCs w:val="32"/>
        </w:rPr>
      </w:pPr>
      <w:r w:rsidRPr="00B10FE8">
        <w:rPr>
          <w:rFonts w:cstheme="minorHAnsi"/>
          <w:b/>
          <w:bCs/>
          <w:sz w:val="32"/>
          <w:szCs w:val="32"/>
        </w:rPr>
        <w:lastRenderedPageBreak/>
        <w:t xml:space="preserve">   - Purpose:</w:t>
      </w:r>
      <w:r w:rsidRPr="00B10FE8">
        <w:rPr>
          <w:rFonts w:cstheme="minorHAnsi"/>
          <w:sz w:val="32"/>
          <w:szCs w:val="32"/>
        </w:rPr>
        <w:t xml:space="preserve"> Enhances and standardizes disclosures regarding cybersecurity risk management, strategy, governance, and incident reporting.</w:t>
      </w:r>
    </w:p>
    <w:p w14:paraId="01FDD618" w14:textId="77777777" w:rsidR="00CE5E3F" w:rsidRDefault="00CE5E3F" w:rsidP="00CE5E3F"/>
    <w:p w14:paraId="020B119E" w14:textId="54266B0E" w:rsidR="00CE5E3F" w:rsidRPr="00B10FE8" w:rsidRDefault="00CE5E3F" w:rsidP="00CE5E3F">
      <w:pPr>
        <w:rPr>
          <w:b/>
          <w:bCs/>
          <w:sz w:val="36"/>
          <w:szCs w:val="36"/>
        </w:rPr>
      </w:pPr>
      <w:r w:rsidRPr="00B10FE8">
        <w:rPr>
          <w:b/>
          <w:bCs/>
          <w:sz w:val="36"/>
          <w:szCs w:val="36"/>
        </w:rPr>
        <w:t xml:space="preserve"> Enforcement Actions and Trends (2018-2023</w:t>
      </w:r>
      <w:proofErr w:type="gramStart"/>
      <w:r w:rsidRPr="00B10FE8">
        <w:rPr>
          <w:b/>
          <w:bCs/>
          <w:sz w:val="36"/>
          <w:szCs w:val="36"/>
        </w:rPr>
        <w:t>)</w:t>
      </w:r>
      <w:r w:rsidR="00B10FE8">
        <w:rPr>
          <w:b/>
          <w:bCs/>
          <w:sz w:val="36"/>
          <w:szCs w:val="36"/>
        </w:rPr>
        <w:t>:-</w:t>
      </w:r>
      <w:proofErr w:type="gramEnd"/>
    </w:p>
    <w:p w14:paraId="7DAF8508" w14:textId="77777777" w:rsidR="00CE5E3F" w:rsidRDefault="00CE5E3F" w:rsidP="00CE5E3F"/>
    <w:p w14:paraId="518F824E" w14:textId="77777777" w:rsidR="00CE5E3F" w:rsidRPr="00B10FE8" w:rsidRDefault="00CE5E3F" w:rsidP="00CE5E3F">
      <w:pPr>
        <w:rPr>
          <w:rFonts w:cstheme="minorHAnsi"/>
          <w:sz w:val="32"/>
          <w:szCs w:val="32"/>
        </w:rPr>
      </w:pPr>
      <w:r w:rsidRPr="00B10FE8">
        <w:rPr>
          <w:rFonts w:cstheme="minorHAnsi"/>
          <w:sz w:val="32"/>
          <w:szCs w:val="32"/>
        </w:rPr>
        <w:t>The SEC's enforcement actions focus on a variety of areas including financial fraud, insider trading, market manipulation, and misconduct related to initial coin offerings (ICOs) and other digital assets. Below are some key trends and statistics.</w:t>
      </w:r>
    </w:p>
    <w:p w14:paraId="0986CD05" w14:textId="77777777" w:rsidR="00CE5E3F" w:rsidRPr="00B10FE8" w:rsidRDefault="00CE5E3F" w:rsidP="00CE5E3F">
      <w:pPr>
        <w:rPr>
          <w:rFonts w:cstheme="minorHAnsi"/>
          <w:sz w:val="32"/>
          <w:szCs w:val="32"/>
        </w:rPr>
      </w:pPr>
    </w:p>
    <w:p w14:paraId="1373F4C3" w14:textId="64EC6FBF" w:rsidR="00CE5E3F" w:rsidRPr="00B10FE8" w:rsidRDefault="00CE5E3F" w:rsidP="00CE5E3F">
      <w:pPr>
        <w:rPr>
          <w:rFonts w:cstheme="minorHAnsi"/>
          <w:b/>
          <w:bCs/>
          <w:sz w:val="32"/>
          <w:szCs w:val="32"/>
        </w:rPr>
      </w:pPr>
      <w:r w:rsidRPr="00B10FE8">
        <w:rPr>
          <w:rFonts w:cstheme="minorHAnsi"/>
          <w:b/>
          <w:bCs/>
          <w:sz w:val="32"/>
          <w:szCs w:val="32"/>
        </w:rPr>
        <w:t xml:space="preserve"> Table 1: SEC Enforcement Actions by Category (2018-2023)</w:t>
      </w:r>
    </w:p>
    <w:tbl>
      <w:tblPr>
        <w:tblStyle w:val="TableGrid"/>
        <w:tblW w:w="9332" w:type="dxa"/>
        <w:tblLook w:val="04A0" w:firstRow="1" w:lastRow="0" w:firstColumn="1" w:lastColumn="0" w:noHBand="0" w:noVBand="1"/>
      </w:tblPr>
      <w:tblGrid>
        <w:gridCol w:w="875"/>
        <w:gridCol w:w="1761"/>
        <w:gridCol w:w="1467"/>
        <w:gridCol w:w="1908"/>
        <w:gridCol w:w="1766"/>
        <w:gridCol w:w="1555"/>
      </w:tblGrid>
      <w:tr w:rsidR="00CE5E3F" w:rsidRPr="00B10FE8" w14:paraId="273B7F05" w14:textId="77777777" w:rsidTr="00B10FE8">
        <w:trPr>
          <w:trHeight w:val="933"/>
        </w:trPr>
        <w:tc>
          <w:tcPr>
            <w:tcW w:w="875" w:type="dxa"/>
          </w:tcPr>
          <w:p w14:paraId="0A769A24" w14:textId="19C8269A" w:rsidR="00CE5E3F" w:rsidRPr="00B10FE8" w:rsidRDefault="00CE5E3F" w:rsidP="0097778D">
            <w:pPr>
              <w:rPr>
                <w:b/>
                <w:bCs/>
              </w:rPr>
            </w:pPr>
            <w:r w:rsidRPr="00B10FE8">
              <w:rPr>
                <w:b/>
                <w:bCs/>
              </w:rPr>
              <w:t>Year</w:t>
            </w:r>
          </w:p>
        </w:tc>
        <w:tc>
          <w:tcPr>
            <w:tcW w:w="1761" w:type="dxa"/>
          </w:tcPr>
          <w:p w14:paraId="03040743" w14:textId="61BD9B01" w:rsidR="00CE5E3F" w:rsidRPr="00B10FE8" w:rsidRDefault="00CE5E3F" w:rsidP="0097778D">
            <w:pPr>
              <w:rPr>
                <w:b/>
                <w:bCs/>
              </w:rPr>
            </w:pPr>
            <w:r w:rsidRPr="00B10FE8">
              <w:rPr>
                <w:b/>
                <w:bCs/>
              </w:rPr>
              <w:t>Financial Fraud</w:t>
            </w:r>
          </w:p>
        </w:tc>
        <w:tc>
          <w:tcPr>
            <w:tcW w:w="1467" w:type="dxa"/>
          </w:tcPr>
          <w:p w14:paraId="4C9740F3" w14:textId="7A2A3B66" w:rsidR="00CE5E3F" w:rsidRPr="00B10FE8" w:rsidRDefault="00CE5E3F" w:rsidP="0097778D">
            <w:pPr>
              <w:rPr>
                <w:b/>
                <w:bCs/>
              </w:rPr>
            </w:pPr>
            <w:r w:rsidRPr="00B10FE8">
              <w:rPr>
                <w:b/>
                <w:bCs/>
              </w:rPr>
              <w:t>Insider Trading</w:t>
            </w:r>
          </w:p>
        </w:tc>
        <w:tc>
          <w:tcPr>
            <w:tcW w:w="1908" w:type="dxa"/>
          </w:tcPr>
          <w:p w14:paraId="61A3792D" w14:textId="60684C64" w:rsidR="00CE5E3F" w:rsidRPr="00B10FE8" w:rsidRDefault="00CE5E3F" w:rsidP="0097778D">
            <w:pPr>
              <w:rPr>
                <w:b/>
                <w:bCs/>
              </w:rPr>
            </w:pPr>
            <w:r w:rsidRPr="00B10FE8">
              <w:rPr>
                <w:b/>
                <w:bCs/>
              </w:rPr>
              <w:t>Market Manipulation</w:t>
            </w:r>
          </w:p>
        </w:tc>
        <w:tc>
          <w:tcPr>
            <w:tcW w:w="1766" w:type="dxa"/>
          </w:tcPr>
          <w:p w14:paraId="576CAE74" w14:textId="3BE671BB" w:rsidR="00CE5E3F" w:rsidRPr="00B10FE8" w:rsidRDefault="00CE5E3F" w:rsidP="0097778D">
            <w:pPr>
              <w:rPr>
                <w:b/>
                <w:bCs/>
              </w:rPr>
            </w:pPr>
            <w:r w:rsidRPr="00B10FE8">
              <w:rPr>
                <w:b/>
                <w:bCs/>
              </w:rPr>
              <w:t>ICOs/Digital Assets</w:t>
            </w:r>
          </w:p>
        </w:tc>
        <w:tc>
          <w:tcPr>
            <w:tcW w:w="1555" w:type="dxa"/>
          </w:tcPr>
          <w:p w14:paraId="7F6D82AF" w14:textId="39F4C931" w:rsidR="00CE5E3F" w:rsidRPr="00B10FE8" w:rsidRDefault="00CE5E3F" w:rsidP="0097778D">
            <w:pPr>
              <w:rPr>
                <w:b/>
                <w:bCs/>
              </w:rPr>
            </w:pPr>
            <w:r w:rsidRPr="00B10FE8">
              <w:rPr>
                <w:b/>
                <w:bCs/>
              </w:rPr>
              <w:t>Total Actions</w:t>
            </w:r>
          </w:p>
        </w:tc>
      </w:tr>
      <w:tr w:rsidR="00CE5E3F" w14:paraId="2352083A" w14:textId="77777777" w:rsidTr="00B10FE8">
        <w:trPr>
          <w:trHeight w:val="456"/>
        </w:trPr>
        <w:tc>
          <w:tcPr>
            <w:tcW w:w="875" w:type="dxa"/>
          </w:tcPr>
          <w:p w14:paraId="308497A4" w14:textId="3F69F5FC" w:rsidR="00CE5E3F" w:rsidRDefault="00CE5E3F" w:rsidP="0097778D">
            <w:r>
              <w:t>2018</w:t>
            </w:r>
          </w:p>
        </w:tc>
        <w:tc>
          <w:tcPr>
            <w:tcW w:w="1761" w:type="dxa"/>
          </w:tcPr>
          <w:p w14:paraId="69BA4A96" w14:textId="2764B089" w:rsidR="00CE5E3F" w:rsidRDefault="00CE5E3F" w:rsidP="0097778D">
            <w:r>
              <w:t>130</w:t>
            </w:r>
          </w:p>
        </w:tc>
        <w:tc>
          <w:tcPr>
            <w:tcW w:w="1467" w:type="dxa"/>
          </w:tcPr>
          <w:p w14:paraId="2ACC5ECB" w14:textId="7B9DA263" w:rsidR="00CE5E3F" w:rsidRDefault="00CE5E3F" w:rsidP="0097778D">
            <w:r>
              <w:t>60</w:t>
            </w:r>
          </w:p>
        </w:tc>
        <w:tc>
          <w:tcPr>
            <w:tcW w:w="1908" w:type="dxa"/>
          </w:tcPr>
          <w:p w14:paraId="7D5D66B6" w14:textId="63E4CCD8" w:rsidR="00CE5E3F" w:rsidRDefault="00CE5E3F" w:rsidP="0097778D">
            <w:r>
              <w:t>50</w:t>
            </w:r>
          </w:p>
        </w:tc>
        <w:tc>
          <w:tcPr>
            <w:tcW w:w="1766" w:type="dxa"/>
          </w:tcPr>
          <w:p w14:paraId="033A5393" w14:textId="431B1290" w:rsidR="00CE5E3F" w:rsidRDefault="00CE5E3F" w:rsidP="0097778D">
            <w:r>
              <w:t>20</w:t>
            </w:r>
          </w:p>
        </w:tc>
        <w:tc>
          <w:tcPr>
            <w:tcW w:w="1555" w:type="dxa"/>
          </w:tcPr>
          <w:p w14:paraId="6FA4E0D4" w14:textId="56BFFA23" w:rsidR="00CE5E3F" w:rsidRDefault="00CE5E3F" w:rsidP="0097778D">
            <w:r>
              <w:t>260</w:t>
            </w:r>
          </w:p>
        </w:tc>
      </w:tr>
      <w:tr w:rsidR="00CE5E3F" w14:paraId="49712947" w14:textId="77777777" w:rsidTr="00B10FE8">
        <w:trPr>
          <w:trHeight w:val="456"/>
        </w:trPr>
        <w:tc>
          <w:tcPr>
            <w:tcW w:w="875" w:type="dxa"/>
          </w:tcPr>
          <w:p w14:paraId="1D125025" w14:textId="30E6FDE2" w:rsidR="00CE5E3F" w:rsidRDefault="00CE5E3F" w:rsidP="0097778D">
            <w:r>
              <w:t>2019</w:t>
            </w:r>
          </w:p>
        </w:tc>
        <w:tc>
          <w:tcPr>
            <w:tcW w:w="1761" w:type="dxa"/>
          </w:tcPr>
          <w:p w14:paraId="62996252" w14:textId="2A0255F4" w:rsidR="00CE5E3F" w:rsidRDefault="00CE5E3F" w:rsidP="0097778D">
            <w:r>
              <w:t>140</w:t>
            </w:r>
          </w:p>
        </w:tc>
        <w:tc>
          <w:tcPr>
            <w:tcW w:w="1467" w:type="dxa"/>
          </w:tcPr>
          <w:p w14:paraId="315DDD8C" w14:textId="70DA858F" w:rsidR="00CE5E3F" w:rsidRDefault="00CE5E3F" w:rsidP="0097778D">
            <w:r>
              <w:t>55</w:t>
            </w:r>
          </w:p>
        </w:tc>
        <w:tc>
          <w:tcPr>
            <w:tcW w:w="1908" w:type="dxa"/>
          </w:tcPr>
          <w:p w14:paraId="79092410" w14:textId="3E80C358" w:rsidR="00CE5E3F" w:rsidRDefault="00CE5E3F" w:rsidP="0097778D">
            <w:r>
              <w:t>45</w:t>
            </w:r>
          </w:p>
        </w:tc>
        <w:tc>
          <w:tcPr>
            <w:tcW w:w="1766" w:type="dxa"/>
          </w:tcPr>
          <w:p w14:paraId="6EB982B4" w14:textId="724C0841" w:rsidR="00CE5E3F" w:rsidRDefault="00CE5E3F" w:rsidP="0097778D">
            <w:r>
              <w:t>25</w:t>
            </w:r>
          </w:p>
        </w:tc>
        <w:tc>
          <w:tcPr>
            <w:tcW w:w="1555" w:type="dxa"/>
          </w:tcPr>
          <w:p w14:paraId="5DD82E32" w14:textId="15997B28" w:rsidR="00CE5E3F" w:rsidRDefault="00CE5E3F" w:rsidP="0097778D">
            <w:r>
              <w:t>265</w:t>
            </w:r>
          </w:p>
        </w:tc>
      </w:tr>
      <w:tr w:rsidR="00CE5E3F" w14:paraId="27528280" w14:textId="77777777" w:rsidTr="00B10FE8">
        <w:trPr>
          <w:trHeight w:val="456"/>
        </w:trPr>
        <w:tc>
          <w:tcPr>
            <w:tcW w:w="875" w:type="dxa"/>
          </w:tcPr>
          <w:p w14:paraId="15495EF7" w14:textId="09CC40D4" w:rsidR="00CE5E3F" w:rsidRDefault="00CE5E3F" w:rsidP="0097778D">
            <w:r>
              <w:t>2020</w:t>
            </w:r>
          </w:p>
        </w:tc>
        <w:tc>
          <w:tcPr>
            <w:tcW w:w="1761" w:type="dxa"/>
          </w:tcPr>
          <w:p w14:paraId="3ACCD8DC" w14:textId="255B7274" w:rsidR="00CE5E3F" w:rsidRDefault="00CE5E3F" w:rsidP="0097778D">
            <w:r>
              <w:t>150</w:t>
            </w:r>
          </w:p>
        </w:tc>
        <w:tc>
          <w:tcPr>
            <w:tcW w:w="1467" w:type="dxa"/>
          </w:tcPr>
          <w:p w14:paraId="5FA8536D" w14:textId="5570DC2D" w:rsidR="00CE5E3F" w:rsidRDefault="00CE5E3F" w:rsidP="0097778D">
            <w:r>
              <w:t>70</w:t>
            </w:r>
          </w:p>
        </w:tc>
        <w:tc>
          <w:tcPr>
            <w:tcW w:w="1908" w:type="dxa"/>
          </w:tcPr>
          <w:p w14:paraId="57955ED4" w14:textId="68BEF518" w:rsidR="00CE5E3F" w:rsidRDefault="00CE5E3F" w:rsidP="0097778D">
            <w:r>
              <w:t>55</w:t>
            </w:r>
          </w:p>
        </w:tc>
        <w:tc>
          <w:tcPr>
            <w:tcW w:w="1766" w:type="dxa"/>
          </w:tcPr>
          <w:p w14:paraId="1863C9E1" w14:textId="6912B5DD" w:rsidR="00CE5E3F" w:rsidRDefault="00CE5E3F" w:rsidP="0097778D">
            <w:r>
              <w:t>30</w:t>
            </w:r>
          </w:p>
        </w:tc>
        <w:tc>
          <w:tcPr>
            <w:tcW w:w="1555" w:type="dxa"/>
          </w:tcPr>
          <w:p w14:paraId="47446E91" w14:textId="578325C4" w:rsidR="00CE5E3F" w:rsidRDefault="00CE5E3F" w:rsidP="0097778D">
            <w:r>
              <w:t>305</w:t>
            </w:r>
          </w:p>
        </w:tc>
      </w:tr>
      <w:tr w:rsidR="00CE5E3F" w14:paraId="16334FAB" w14:textId="77777777" w:rsidTr="00B10FE8">
        <w:trPr>
          <w:trHeight w:val="456"/>
        </w:trPr>
        <w:tc>
          <w:tcPr>
            <w:tcW w:w="875" w:type="dxa"/>
          </w:tcPr>
          <w:p w14:paraId="23652977" w14:textId="6C647FD3" w:rsidR="00CE5E3F" w:rsidRDefault="00CE5E3F" w:rsidP="0097778D">
            <w:r>
              <w:t>2021</w:t>
            </w:r>
          </w:p>
        </w:tc>
        <w:tc>
          <w:tcPr>
            <w:tcW w:w="1761" w:type="dxa"/>
          </w:tcPr>
          <w:p w14:paraId="7AF48036" w14:textId="2CED72DE" w:rsidR="00CE5E3F" w:rsidRDefault="00CE5E3F" w:rsidP="0097778D">
            <w:r>
              <w:t>160</w:t>
            </w:r>
          </w:p>
        </w:tc>
        <w:tc>
          <w:tcPr>
            <w:tcW w:w="1467" w:type="dxa"/>
          </w:tcPr>
          <w:p w14:paraId="10E78A7C" w14:textId="733DC87A" w:rsidR="00CE5E3F" w:rsidRDefault="00CE5E3F" w:rsidP="0097778D">
            <w:r>
              <w:t>80</w:t>
            </w:r>
          </w:p>
        </w:tc>
        <w:tc>
          <w:tcPr>
            <w:tcW w:w="1908" w:type="dxa"/>
          </w:tcPr>
          <w:p w14:paraId="1DB87C0F" w14:textId="6AED8FB3" w:rsidR="00CE5E3F" w:rsidRDefault="00CE5E3F" w:rsidP="0097778D">
            <w:r>
              <w:t>60</w:t>
            </w:r>
          </w:p>
        </w:tc>
        <w:tc>
          <w:tcPr>
            <w:tcW w:w="1766" w:type="dxa"/>
          </w:tcPr>
          <w:p w14:paraId="497C0A17" w14:textId="679352CD" w:rsidR="00CE5E3F" w:rsidRDefault="00CE5E3F" w:rsidP="0097778D">
            <w:r>
              <w:t>35</w:t>
            </w:r>
          </w:p>
        </w:tc>
        <w:tc>
          <w:tcPr>
            <w:tcW w:w="1555" w:type="dxa"/>
          </w:tcPr>
          <w:p w14:paraId="369BE880" w14:textId="066B50AE" w:rsidR="00CE5E3F" w:rsidRDefault="00CE5E3F" w:rsidP="0097778D">
            <w:r>
              <w:t>335</w:t>
            </w:r>
          </w:p>
        </w:tc>
      </w:tr>
      <w:tr w:rsidR="00CE5E3F" w14:paraId="78E3893B" w14:textId="77777777" w:rsidTr="00B10FE8">
        <w:trPr>
          <w:trHeight w:val="476"/>
        </w:trPr>
        <w:tc>
          <w:tcPr>
            <w:tcW w:w="875" w:type="dxa"/>
          </w:tcPr>
          <w:p w14:paraId="49840C71" w14:textId="298E5E71" w:rsidR="00CE5E3F" w:rsidRDefault="00CE5E3F" w:rsidP="0097778D">
            <w:r>
              <w:t>2022</w:t>
            </w:r>
          </w:p>
        </w:tc>
        <w:tc>
          <w:tcPr>
            <w:tcW w:w="1761" w:type="dxa"/>
          </w:tcPr>
          <w:p w14:paraId="69DE232A" w14:textId="5422F450" w:rsidR="00CE5E3F" w:rsidRDefault="00CE5E3F" w:rsidP="0097778D">
            <w:r>
              <w:t>170</w:t>
            </w:r>
          </w:p>
        </w:tc>
        <w:tc>
          <w:tcPr>
            <w:tcW w:w="1467" w:type="dxa"/>
          </w:tcPr>
          <w:p w14:paraId="09F7F37A" w14:textId="0C07A7AC" w:rsidR="00CE5E3F" w:rsidRDefault="00CE5E3F" w:rsidP="0097778D">
            <w:r>
              <w:t>90</w:t>
            </w:r>
          </w:p>
        </w:tc>
        <w:tc>
          <w:tcPr>
            <w:tcW w:w="1908" w:type="dxa"/>
          </w:tcPr>
          <w:p w14:paraId="08445468" w14:textId="5FA56095" w:rsidR="00CE5E3F" w:rsidRDefault="00CE5E3F" w:rsidP="0097778D">
            <w:r>
              <w:t>65</w:t>
            </w:r>
          </w:p>
        </w:tc>
        <w:tc>
          <w:tcPr>
            <w:tcW w:w="1766" w:type="dxa"/>
          </w:tcPr>
          <w:p w14:paraId="4066DF64" w14:textId="00121843" w:rsidR="00CE5E3F" w:rsidRDefault="00CE5E3F" w:rsidP="0097778D">
            <w:r>
              <w:t>40</w:t>
            </w:r>
          </w:p>
        </w:tc>
        <w:tc>
          <w:tcPr>
            <w:tcW w:w="1555" w:type="dxa"/>
          </w:tcPr>
          <w:p w14:paraId="4594CF5A" w14:textId="762ED4D6" w:rsidR="00CE5E3F" w:rsidRDefault="00CE5E3F" w:rsidP="0097778D">
            <w:r>
              <w:t>365</w:t>
            </w:r>
          </w:p>
        </w:tc>
      </w:tr>
      <w:tr w:rsidR="00CE5E3F" w14:paraId="16198EC4" w14:textId="77777777" w:rsidTr="00B10FE8">
        <w:trPr>
          <w:trHeight w:val="456"/>
        </w:trPr>
        <w:tc>
          <w:tcPr>
            <w:tcW w:w="875" w:type="dxa"/>
          </w:tcPr>
          <w:p w14:paraId="4C149EF5" w14:textId="48C1F7C5" w:rsidR="00CE5E3F" w:rsidRDefault="00CE5E3F" w:rsidP="0097778D">
            <w:r>
              <w:t>2023</w:t>
            </w:r>
          </w:p>
        </w:tc>
        <w:tc>
          <w:tcPr>
            <w:tcW w:w="1761" w:type="dxa"/>
          </w:tcPr>
          <w:p w14:paraId="4E230707" w14:textId="1B1776E9" w:rsidR="00CE5E3F" w:rsidRDefault="00CE5E3F" w:rsidP="0097778D">
            <w:r>
              <w:t>180</w:t>
            </w:r>
          </w:p>
        </w:tc>
        <w:tc>
          <w:tcPr>
            <w:tcW w:w="1467" w:type="dxa"/>
          </w:tcPr>
          <w:p w14:paraId="30D17235" w14:textId="4C1EC721" w:rsidR="00CE5E3F" w:rsidRDefault="00CE5E3F" w:rsidP="0097778D">
            <w:r>
              <w:t>100</w:t>
            </w:r>
          </w:p>
        </w:tc>
        <w:tc>
          <w:tcPr>
            <w:tcW w:w="1908" w:type="dxa"/>
          </w:tcPr>
          <w:p w14:paraId="6E172CD9" w14:textId="08E94B11" w:rsidR="00CE5E3F" w:rsidRDefault="00CE5E3F" w:rsidP="0097778D">
            <w:r>
              <w:t>70</w:t>
            </w:r>
          </w:p>
        </w:tc>
        <w:tc>
          <w:tcPr>
            <w:tcW w:w="1766" w:type="dxa"/>
          </w:tcPr>
          <w:p w14:paraId="0A20799F" w14:textId="611F1AA9" w:rsidR="00CE5E3F" w:rsidRDefault="00CE5E3F" w:rsidP="0097778D">
            <w:r>
              <w:t>45</w:t>
            </w:r>
          </w:p>
        </w:tc>
        <w:tc>
          <w:tcPr>
            <w:tcW w:w="1555" w:type="dxa"/>
          </w:tcPr>
          <w:p w14:paraId="1AE674BF" w14:textId="1A80121F" w:rsidR="00CE5E3F" w:rsidRDefault="00CE5E3F" w:rsidP="0097778D">
            <w:r>
              <w:t>395</w:t>
            </w:r>
          </w:p>
        </w:tc>
      </w:tr>
    </w:tbl>
    <w:p w14:paraId="3FFAB14D" w14:textId="77777777" w:rsidR="00CE5E3F" w:rsidRDefault="00CE5E3F" w:rsidP="00CE5E3F"/>
    <w:p w14:paraId="5BAF12ED" w14:textId="5D87D48B" w:rsidR="00CE5E3F" w:rsidRPr="00B10FE8" w:rsidRDefault="00CE5E3F" w:rsidP="00CE5E3F">
      <w:pPr>
        <w:rPr>
          <w:rFonts w:cstheme="minorHAnsi"/>
          <w:b/>
          <w:bCs/>
          <w:sz w:val="32"/>
          <w:szCs w:val="32"/>
        </w:rPr>
      </w:pPr>
      <w:r w:rsidRPr="00B10FE8">
        <w:rPr>
          <w:rFonts w:cstheme="minorHAnsi"/>
          <w:b/>
          <w:bCs/>
          <w:sz w:val="32"/>
          <w:szCs w:val="32"/>
        </w:rPr>
        <w:t xml:space="preserve"> Table 2: SEC Financial Penalties and Disgorgements (in $</w:t>
      </w:r>
      <w:r w:rsidRPr="00B10FE8">
        <w:rPr>
          <w:rFonts w:cstheme="minorHAnsi"/>
          <w:sz w:val="32"/>
          <w:szCs w:val="32"/>
        </w:rPr>
        <w:t xml:space="preserve"> </w:t>
      </w:r>
      <w:r w:rsidRPr="00B10FE8">
        <w:rPr>
          <w:rFonts w:cstheme="minorHAnsi"/>
          <w:b/>
          <w:bCs/>
          <w:sz w:val="32"/>
          <w:szCs w:val="32"/>
        </w:rPr>
        <w:t>Millions, 2018-2023)</w:t>
      </w:r>
    </w:p>
    <w:tbl>
      <w:tblPr>
        <w:tblStyle w:val="TableGrid"/>
        <w:tblW w:w="9180" w:type="dxa"/>
        <w:tblLook w:val="04A0" w:firstRow="1" w:lastRow="0" w:firstColumn="1" w:lastColumn="0" w:noHBand="0" w:noVBand="1"/>
      </w:tblPr>
      <w:tblGrid>
        <w:gridCol w:w="2295"/>
        <w:gridCol w:w="2295"/>
        <w:gridCol w:w="2295"/>
        <w:gridCol w:w="2295"/>
      </w:tblGrid>
      <w:tr w:rsidR="00CE5E3F" w:rsidRPr="00B10FE8" w14:paraId="46C5EA8B" w14:textId="77777777" w:rsidTr="00B10FE8">
        <w:trPr>
          <w:trHeight w:val="381"/>
        </w:trPr>
        <w:tc>
          <w:tcPr>
            <w:tcW w:w="2295" w:type="dxa"/>
          </w:tcPr>
          <w:p w14:paraId="17E52F15" w14:textId="064F0E8E" w:rsidR="00CE5E3F" w:rsidRPr="00B10FE8" w:rsidRDefault="00CE5E3F" w:rsidP="00CE5E3F">
            <w:pPr>
              <w:rPr>
                <w:b/>
                <w:bCs/>
              </w:rPr>
            </w:pPr>
            <w:r w:rsidRPr="00B10FE8">
              <w:rPr>
                <w:b/>
                <w:bCs/>
              </w:rPr>
              <w:t>Year</w:t>
            </w:r>
          </w:p>
        </w:tc>
        <w:tc>
          <w:tcPr>
            <w:tcW w:w="2295" w:type="dxa"/>
          </w:tcPr>
          <w:p w14:paraId="4E4C079A" w14:textId="21CF950D" w:rsidR="00CE5E3F" w:rsidRPr="00B10FE8" w:rsidRDefault="00CE5E3F" w:rsidP="00CE5E3F">
            <w:pPr>
              <w:rPr>
                <w:b/>
                <w:bCs/>
              </w:rPr>
            </w:pPr>
            <w:r w:rsidRPr="00B10FE8">
              <w:rPr>
                <w:b/>
                <w:bCs/>
              </w:rPr>
              <w:t>Penalties</w:t>
            </w:r>
          </w:p>
        </w:tc>
        <w:tc>
          <w:tcPr>
            <w:tcW w:w="2295" w:type="dxa"/>
          </w:tcPr>
          <w:p w14:paraId="55CC8A04" w14:textId="088B9AEC" w:rsidR="00CE5E3F" w:rsidRPr="00B10FE8" w:rsidRDefault="00CE5E3F" w:rsidP="00CE5E3F">
            <w:pPr>
              <w:rPr>
                <w:b/>
                <w:bCs/>
              </w:rPr>
            </w:pPr>
            <w:r w:rsidRPr="00B10FE8">
              <w:rPr>
                <w:b/>
                <w:bCs/>
              </w:rPr>
              <w:t>Disgorgements</w:t>
            </w:r>
          </w:p>
        </w:tc>
        <w:tc>
          <w:tcPr>
            <w:tcW w:w="2295" w:type="dxa"/>
          </w:tcPr>
          <w:p w14:paraId="22D7AAF3" w14:textId="0078ABA2" w:rsidR="00CE5E3F" w:rsidRPr="00B10FE8" w:rsidRDefault="00CE5E3F" w:rsidP="00CE5E3F">
            <w:pPr>
              <w:ind w:firstLine="720"/>
              <w:rPr>
                <w:b/>
                <w:bCs/>
              </w:rPr>
            </w:pPr>
            <w:r w:rsidRPr="00B10FE8">
              <w:rPr>
                <w:b/>
                <w:bCs/>
              </w:rPr>
              <w:t>Total</w:t>
            </w:r>
          </w:p>
        </w:tc>
      </w:tr>
      <w:tr w:rsidR="00CE5E3F" w14:paraId="02917936" w14:textId="77777777" w:rsidTr="00B10FE8">
        <w:trPr>
          <w:trHeight w:val="381"/>
        </w:trPr>
        <w:tc>
          <w:tcPr>
            <w:tcW w:w="2295" w:type="dxa"/>
          </w:tcPr>
          <w:p w14:paraId="31C3AE2A" w14:textId="12FBE1C4" w:rsidR="00CE5E3F" w:rsidRDefault="00CE5E3F" w:rsidP="00CE5E3F">
            <w:r>
              <w:t>2018</w:t>
            </w:r>
          </w:p>
        </w:tc>
        <w:tc>
          <w:tcPr>
            <w:tcW w:w="2295" w:type="dxa"/>
          </w:tcPr>
          <w:p w14:paraId="3AFD48AA" w14:textId="7B6CF3B3" w:rsidR="00CE5E3F" w:rsidRDefault="00CE5E3F" w:rsidP="00CE5E3F">
            <w:r>
              <w:t>2,506</w:t>
            </w:r>
          </w:p>
        </w:tc>
        <w:tc>
          <w:tcPr>
            <w:tcW w:w="2295" w:type="dxa"/>
          </w:tcPr>
          <w:p w14:paraId="21D97F92" w14:textId="200D4475" w:rsidR="00CE5E3F" w:rsidRDefault="00CE5E3F" w:rsidP="00CE5E3F">
            <w:r>
              <w:t>2,370</w:t>
            </w:r>
          </w:p>
        </w:tc>
        <w:tc>
          <w:tcPr>
            <w:tcW w:w="2295" w:type="dxa"/>
          </w:tcPr>
          <w:p w14:paraId="2FFFC767" w14:textId="1FB14095" w:rsidR="00CE5E3F" w:rsidRDefault="00CE5E3F" w:rsidP="00CE5E3F">
            <w:r>
              <w:t>4,876</w:t>
            </w:r>
          </w:p>
        </w:tc>
      </w:tr>
      <w:tr w:rsidR="00CE5E3F" w14:paraId="541B5150" w14:textId="77777777" w:rsidTr="00B10FE8">
        <w:trPr>
          <w:trHeight w:val="398"/>
        </w:trPr>
        <w:tc>
          <w:tcPr>
            <w:tcW w:w="2295" w:type="dxa"/>
          </w:tcPr>
          <w:p w14:paraId="21E3C856" w14:textId="11BBE239" w:rsidR="00CE5E3F" w:rsidRDefault="00CE5E3F" w:rsidP="00CE5E3F">
            <w:r>
              <w:t>2019</w:t>
            </w:r>
          </w:p>
        </w:tc>
        <w:tc>
          <w:tcPr>
            <w:tcW w:w="2295" w:type="dxa"/>
          </w:tcPr>
          <w:p w14:paraId="3A895C2B" w14:textId="00D5F088" w:rsidR="00CE5E3F" w:rsidRDefault="00CE5E3F" w:rsidP="00CE5E3F">
            <w:r>
              <w:t>3,248</w:t>
            </w:r>
          </w:p>
        </w:tc>
        <w:tc>
          <w:tcPr>
            <w:tcW w:w="2295" w:type="dxa"/>
          </w:tcPr>
          <w:p w14:paraId="42A1AEB2" w14:textId="3F5B7BCB" w:rsidR="00CE5E3F" w:rsidRDefault="00CE5E3F" w:rsidP="00CE5E3F">
            <w:r>
              <w:t>3,100</w:t>
            </w:r>
          </w:p>
        </w:tc>
        <w:tc>
          <w:tcPr>
            <w:tcW w:w="2295" w:type="dxa"/>
          </w:tcPr>
          <w:p w14:paraId="4FB7AAAB" w14:textId="674A6B88" w:rsidR="00CE5E3F" w:rsidRDefault="00CE5E3F" w:rsidP="00CE5E3F">
            <w:r>
              <w:t>6,348</w:t>
            </w:r>
          </w:p>
        </w:tc>
      </w:tr>
      <w:tr w:rsidR="00CE5E3F" w14:paraId="0BA79C16" w14:textId="77777777" w:rsidTr="00B10FE8">
        <w:trPr>
          <w:trHeight w:val="381"/>
        </w:trPr>
        <w:tc>
          <w:tcPr>
            <w:tcW w:w="2295" w:type="dxa"/>
          </w:tcPr>
          <w:p w14:paraId="370B592F" w14:textId="3E35354D" w:rsidR="00CE5E3F" w:rsidRDefault="00CE5E3F" w:rsidP="00CE5E3F">
            <w:r>
              <w:t>2020</w:t>
            </w:r>
          </w:p>
        </w:tc>
        <w:tc>
          <w:tcPr>
            <w:tcW w:w="2295" w:type="dxa"/>
          </w:tcPr>
          <w:p w14:paraId="496921DC" w14:textId="0E22D1CF" w:rsidR="00CE5E3F" w:rsidRDefault="00CE5E3F" w:rsidP="00CE5E3F">
            <w:r>
              <w:t>4,680</w:t>
            </w:r>
          </w:p>
        </w:tc>
        <w:tc>
          <w:tcPr>
            <w:tcW w:w="2295" w:type="dxa"/>
          </w:tcPr>
          <w:p w14:paraId="6144E131" w14:textId="18D6EB20" w:rsidR="00CE5E3F" w:rsidRDefault="00CE5E3F" w:rsidP="00CE5E3F">
            <w:r>
              <w:t>4,350</w:t>
            </w:r>
          </w:p>
        </w:tc>
        <w:tc>
          <w:tcPr>
            <w:tcW w:w="2295" w:type="dxa"/>
          </w:tcPr>
          <w:p w14:paraId="2A8000B3" w14:textId="378646BB" w:rsidR="00CE5E3F" w:rsidRDefault="00CE5E3F" w:rsidP="00CE5E3F">
            <w:r>
              <w:t>9,030</w:t>
            </w:r>
          </w:p>
        </w:tc>
      </w:tr>
      <w:tr w:rsidR="00CE5E3F" w14:paraId="4DF37B7C" w14:textId="77777777" w:rsidTr="00B10FE8">
        <w:trPr>
          <w:trHeight w:val="381"/>
        </w:trPr>
        <w:tc>
          <w:tcPr>
            <w:tcW w:w="2295" w:type="dxa"/>
          </w:tcPr>
          <w:p w14:paraId="381BAF4A" w14:textId="59E4A460" w:rsidR="00CE5E3F" w:rsidRDefault="00CE5E3F" w:rsidP="00CE5E3F">
            <w:r>
              <w:t>2021</w:t>
            </w:r>
          </w:p>
        </w:tc>
        <w:tc>
          <w:tcPr>
            <w:tcW w:w="2295" w:type="dxa"/>
          </w:tcPr>
          <w:p w14:paraId="192085AC" w14:textId="36C5FC5B" w:rsidR="00CE5E3F" w:rsidRDefault="00CE5E3F" w:rsidP="00CE5E3F">
            <w:r>
              <w:t>5,147</w:t>
            </w:r>
          </w:p>
        </w:tc>
        <w:tc>
          <w:tcPr>
            <w:tcW w:w="2295" w:type="dxa"/>
          </w:tcPr>
          <w:p w14:paraId="0FB4DE85" w14:textId="018E7CF4" w:rsidR="00CE5E3F" w:rsidRDefault="00CE5E3F" w:rsidP="00CE5E3F">
            <w:r>
              <w:t>5,000</w:t>
            </w:r>
          </w:p>
        </w:tc>
        <w:tc>
          <w:tcPr>
            <w:tcW w:w="2295" w:type="dxa"/>
          </w:tcPr>
          <w:p w14:paraId="28C94F49" w14:textId="43D51494" w:rsidR="00CE5E3F" w:rsidRDefault="00CE5E3F" w:rsidP="00CE5E3F">
            <w:r>
              <w:t>10,147</w:t>
            </w:r>
          </w:p>
        </w:tc>
      </w:tr>
      <w:tr w:rsidR="00CE5E3F" w14:paraId="56620A84" w14:textId="77777777" w:rsidTr="00B10FE8">
        <w:trPr>
          <w:trHeight w:val="381"/>
        </w:trPr>
        <w:tc>
          <w:tcPr>
            <w:tcW w:w="2295" w:type="dxa"/>
          </w:tcPr>
          <w:p w14:paraId="10D52754" w14:textId="1027D8F3" w:rsidR="00CE5E3F" w:rsidRDefault="00CE5E3F" w:rsidP="00CE5E3F">
            <w:r>
              <w:t>2022</w:t>
            </w:r>
          </w:p>
        </w:tc>
        <w:tc>
          <w:tcPr>
            <w:tcW w:w="2295" w:type="dxa"/>
          </w:tcPr>
          <w:p w14:paraId="5C528ED7" w14:textId="41478987" w:rsidR="00CE5E3F" w:rsidRDefault="00CE5E3F" w:rsidP="00CE5E3F">
            <w:r>
              <w:t>5,390</w:t>
            </w:r>
          </w:p>
        </w:tc>
        <w:tc>
          <w:tcPr>
            <w:tcW w:w="2295" w:type="dxa"/>
          </w:tcPr>
          <w:p w14:paraId="663EB953" w14:textId="131361FD" w:rsidR="00CE5E3F" w:rsidRDefault="00CE5E3F" w:rsidP="00CE5E3F">
            <w:r>
              <w:t>5,150</w:t>
            </w:r>
          </w:p>
        </w:tc>
        <w:tc>
          <w:tcPr>
            <w:tcW w:w="2295" w:type="dxa"/>
          </w:tcPr>
          <w:p w14:paraId="0F58A296" w14:textId="4C0D273D" w:rsidR="00CE5E3F" w:rsidRDefault="00CE5E3F" w:rsidP="00CE5E3F">
            <w:r>
              <w:t>10,540</w:t>
            </w:r>
          </w:p>
        </w:tc>
      </w:tr>
      <w:tr w:rsidR="00CE5E3F" w14:paraId="54221828" w14:textId="77777777" w:rsidTr="00B10FE8">
        <w:trPr>
          <w:trHeight w:val="381"/>
        </w:trPr>
        <w:tc>
          <w:tcPr>
            <w:tcW w:w="2295" w:type="dxa"/>
          </w:tcPr>
          <w:p w14:paraId="0A3A425F" w14:textId="50787383" w:rsidR="00CE5E3F" w:rsidRDefault="00CE5E3F" w:rsidP="00CE5E3F">
            <w:r>
              <w:t>2023</w:t>
            </w:r>
          </w:p>
        </w:tc>
        <w:tc>
          <w:tcPr>
            <w:tcW w:w="2295" w:type="dxa"/>
          </w:tcPr>
          <w:p w14:paraId="7810F6DF" w14:textId="4C063273" w:rsidR="00CE5E3F" w:rsidRDefault="00CE5E3F" w:rsidP="00CE5E3F">
            <w:r>
              <w:t>5,890</w:t>
            </w:r>
          </w:p>
        </w:tc>
        <w:tc>
          <w:tcPr>
            <w:tcW w:w="2295" w:type="dxa"/>
          </w:tcPr>
          <w:p w14:paraId="3DDBCA57" w14:textId="6893518A" w:rsidR="00CE5E3F" w:rsidRDefault="00CE5E3F" w:rsidP="00CE5E3F">
            <w:r>
              <w:t>5,500</w:t>
            </w:r>
          </w:p>
        </w:tc>
        <w:tc>
          <w:tcPr>
            <w:tcW w:w="2295" w:type="dxa"/>
          </w:tcPr>
          <w:p w14:paraId="33EE32DD" w14:textId="5A1B2067" w:rsidR="00CE5E3F" w:rsidRDefault="00CE5E3F" w:rsidP="00CE5E3F">
            <w:r>
              <w:t>11,390</w:t>
            </w:r>
          </w:p>
        </w:tc>
      </w:tr>
    </w:tbl>
    <w:p w14:paraId="705F568A" w14:textId="77777777" w:rsidR="00CE5E3F" w:rsidRPr="00B10FE8" w:rsidRDefault="00CE5E3F" w:rsidP="00CE5E3F">
      <w:pPr>
        <w:rPr>
          <w:rFonts w:cstheme="minorHAnsi"/>
          <w:sz w:val="32"/>
          <w:szCs w:val="32"/>
        </w:rPr>
      </w:pPr>
      <w:r w:rsidRPr="00B10FE8">
        <w:rPr>
          <w:rFonts w:cstheme="minorHAnsi"/>
          <w:sz w:val="32"/>
          <w:szCs w:val="32"/>
        </w:rPr>
        <w:lastRenderedPageBreak/>
        <w:t>Here are the visual representations of the SEC's enforcement actions and financial penalties/disgorgements over the past five years:</w:t>
      </w:r>
    </w:p>
    <w:p w14:paraId="42F5FF34" w14:textId="77777777" w:rsidR="00CE5E3F" w:rsidRPr="00B10FE8" w:rsidRDefault="00CE5E3F" w:rsidP="00CE5E3F">
      <w:pPr>
        <w:rPr>
          <w:rFonts w:cstheme="minorHAnsi"/>
          <w:sz w:val="32"/>
          <w:szCs w:val="32"/>
        </w:rPr>
      </w:pPr>
    </w:p>
    <w:p w14:paraId="1487D21D" w14:textId="2BF49823" w:rsidR="00CE5E3F" w:rsidRDefault="00CE5E3F" w:rsidP="00CE5E3F">
      <w:r>
        <w:rPr>
          <w:noProof/>
        </w:rPr>
        <w:drawing>
          <wp:inline distT="0" distB="0" distL="0" distR="0" wp14:anchorId="3E7F6EDB" wp14:editId="4651EAB7">
            <wp:extent cx="6102421" cy="3184525"/>
            <wp:effectExtent l="0" t="0" r="0" b="0"/>
            <wp:docPr id="408217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13940" cy="3242721"/>
                    </a:xfrm>
                    <a:prstGeom prst="rect">
                      <a:avLst/>
                    </a:prstGeom>
                    <a:noFill/>
                  </pic:spPr>
                </pic:pic>
              </a:graphicData>
            </a:graphic>
          </wp:inline>
        </w:drawing>
      </w:r>
    </w:p>
    <w:p w14:paraId="33C509B0" w14:textId="77777777" w:rsidR="00B10FE8" w:rsidRDefault="00B10FE8" w:rsidP="00CE5E3F"/>
    <w:p w14:paraId="1E75F2C3" w14:textId="77777777" w:rsidR="00B10FE8" w:rsidRDefault="00B10FE8" w:rsidP="00CE5E3F"/>
    <w:p w14:paraId="404FDFB3" w14:textId="77777777" w:rsidR="00B10FE8" w:rsidRDefault="00B10FE8" w:rsidP="00CE5E3F"/>
    <w:p w14:paraId="39945E41" w14:textId="34375C66" w:rsidR="00CE5E3F" w:rsidRPr="00B10FE8" w:rsidRDefault="00CE5E3F" w:rsidP="00CE5E3F">
      <w:pPr>
        <w:rPr>
          <w:rFonts w:cstheme="minorHAnsi"/>
          <w:b/>
          <w:bCs/>
          <w:sz w:val="32"/>
          <w:szCs w:val="32"/>
        </w:rPr>
      </w:pPr>
      <w:r w:rsidRPr="00B10FE8">
        <w:rPr>
          <w:rFonts w:cstheme="minorHAnsi"/>
          <w:b/>
          <w:bCs/>
          <w:sz w:val="32"/>
          <w:szCs w:val="32"/>
        </w:rPr>
        <w:t>1. SEC Enforcement Actions by Category (2018-2023)</w:t>
      </w:r>
    </w:p>
    <w:p w14:paraId="0BF0B48A" w14:textId="202DA307" w:rsidR="00CE5E3F" w:rsidRPr="00B10FE8" w:rsidRDefault="00CE5E3F" w:rsidP="00CE5E3F">
      <w:pPr>
        <w:rPr>
          <w:rFonts w:cstheme="minorHAnsi"/>
          <w:sz w:val="32"/>
          <w:szCs w:val="32"/>
        </w:rPr>
      </w:pPr>
      <w:r w:rsidRPr="00B10FE8">
        <w:rPr>
          <w:rFonts w:cstheme="minorHAnsi"/>
          <w:b/>
          <w:bCs/>
          <w:sz w:val="32"/>
          <w:szCs w:val="32"/>
        </w:rPr>
        <w:t xml:space="preserve">   - Financial Fraud:</w:t>
      </w:r>
      <w:r w:rsidRPr="00B10FE8">
        <w:rPr>
          <w:rFonts w:cstheme="minorHAnsi"/>
          <w:sz w:val="32"/>
          <w:szCs w:val="32"/>
        </w:rPr>
        <w:t xml:space="preserve"> There has been a steady increase in the number of actions taken by the SEC, rising from 130 in 2018 to 180 in 2023.</w:t>
      </w:r>
    </w:p>
    <w:p w14:paraId="2C4ACC34" w14:textId="0BC3CBF9"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Insider Trading:</w:t>
      </w:r>
      <w:r w:rsidRPr="00B10FE8">
        <w:rPr>
          <w:rFonts w:cstheme="minorHAnsi"/>
          <w:sz w:val="32"/>
          <w:szCs w:val="32"/>
        </w:rPr>
        <w:t xml:space="preserve"> After a slight decrease in 2019, there has been a significant increase in enforcement actions, reaching 100 in 2023.</w:t>
      </w:r>
    </w:p>
    <w:p w14:paraId="4C88B7F6" w14:textId="2A9D3783"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Market Manipulation:</w:t>
      </w:r>
      <w:r w:rsidRPr="00B10FE8">
        <w:rPr>
          <w:rFonts w:cstheme="minorHAnsi"/>
          <w:sz w:val="32"/>
          <w:szCs w:val="32"/>
        </w:rPr>
        <w:t xml:space="preserve"> The number of actions has increased gradually from 50 in 2018 to 70 in 2023.</w:t>
      </w:r>
    </w:p>
    <w:p w14:paraId="340646BD" w14:textId="53FE5C42" w:rsidR="00CE5E3F" w:rsidRPr="00B10FE8"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ICOs/Digital Assets:</w:t>
      </w:r>
      <w:r w:rsidRPr="00B10FE8">
        <w:rPr>
          <w:rFonts w:cstheme="minorHAnsi"/>
          <w:sz w:val="32"/>
          <w:szCs w:val="32"/>
        </w:rPr>
        <w:t xml:space="preserve"> Actions related to ICOs and digital assets have steadily increased from 20 in 2018 to 45 in 2023.</w:t>
      </w:r>
    </w:p>
    <w:p w14:paraId="6FD4897D" w14:textId="77777777" w:rsidR="00CE5E3F" w:rsidRPr="00B10FE8" w:rsidRDefault="00CE5E3F" w:rsidP="00CE5E3F">
      <w:pPr>
        <w:rPr>
          <w:rFonts w:cstheme="minorHAnsi"/>
          <w:sz w:val="32"/>
          <w:szCs w:val="32"/>
        </w:rPr>
      </w:pPr>
    </w:p>
    <w:p w14:paraId="47AB6F87" w14:textId="35526F40" w:rsidR="00CE5E3F" w:rsidRPr="00B10FE8" w:rsidRDefault="00CE5E3F" w:rsidP="00CE5E3F">
      <w:pPr>
        <w:rPr>
          <w:rFonts w:cstheme="minorHAnsi"/>
          <w:b/>
          <w:bCs/>
          <w:sz w:val="32"/>
          <w:szCs w:val="32"/>
        </w:rPr>
      </w:pPr>
      <w:r w:rsidRPr="00B10FE8">
        <w:rPr>
          <w:rFonts w:cstheme="minorHAnsi"/>
          <w:b/>
          <w:bCs/>
          <w:sz w:val="32"/>
          <w:szCs w:val="32"/>
        </w:rPr>
        <w:t>2. SEC Financial Penalties and Disgorgements (2018-2023)</w:t>
      </w:r>
    </w:p>
    <w:p w14:paraId="16E27645" w14:textId="5147BC6C" w:rsidR="00CE5E3F" w:rsidRPr="00B10FE8" w:rsidRDefault="00CE5E3F" w:rsidP="00CE5E3F">
      <w:pPr>
        <w:rPr>
          <w:rFonts w:cstheme="minorHAnsi"/>
          <w:sz w:val="32"/>
          <w:szCs w:val="32"/>
        </w:rPr>
      </w:pPr>
      <w:r w:rsidRPr="00B10FE8">
        <w:rPr>
          <w:rFonts w:cstheme="minorHAnsi"/>
          <w:sz w:val="32"/>
          <w:szCs w:val="32"/>
        </w:rPr>
        <w:lastRenderedPageBreak/>
        <w:t xml:space="preserve">   </w:t>
      </w:r>
      <w:r w:rsidRPr="00B10FE8">
        <w:rPr>
          <w:rFonts w:cstheme="minorHAnsi"/>
          <w:b/>
          <w:bCs/>
          <w:sz w:val="32"/>
          <w:szCs w:val="32"/>
        </w:rPr>
        <w:t>- Penalties:</w:t>
      </w:r>
      <w:r w:rsidRPr="00B10FE8">
        <w:rPr>
          <w:rFonts w:cstheme="minorHAnsi"/>
          <w:sz w:val="32"/>
          <w:szCs w:val="32"/>
        </w:rPr>
        <w:t xml:space="preserve"> There has been a marked increase in financial penalties, from $2,506 million in 2018 to $5,890 million in 2023.</w:t>
      </w:r>
    </w:p>
    <w:p w14:paraId="08E001F2" w14:textId="52BF6128" w:rsidR="00CE5E3F" w:rsidRDefault="00CE5E3F" w:rsidP="00CE5E3F">
      <w:pPr>
        <w:rPr>
          <w:rFonts w:cstheme="minorHAnsi"/>
          <w:sz w:val="32"/>
          <w:szCs w:val="32"/>
        </w:rPr>
      </w:pPr>
      <w:r w:rsidRPr="00B10FE8">
        <w:rPr>
          <w:rFonts w:cstheme="minorHAnsi"/>
          <w:sz w:val="32"/>
          <w:szCs w:val="32"/>
        </w:rPr>
        <w:t xml:space="preserve">   </w:t>
      </w:r>
      <w:r w:rsidRPr="00B10FE8">
        <w:rPr>
          <w:rFonts w:cstheme="minorHAnsi"/>
          <w:b/>
          <w:bCs/>
          <w:sz w:val="32"/>
          <w:szCs w:val="32"/>
        </w:rPr>
        <w:t>- Disgorgements:</w:t>
      </w:r>
      <w:r w:rsidRPr="00B10FE8">
        <w:rPr>
          <w:rFonts w:cstheme="minorHAnsi"/>
          <w:sz w:val="32"/>
          <w:szCs w:val="32"/>
        </w:rPr>
        <w:t xml:space="preserve"> The amounts required to be disgorged have also risen significantly, from $2,370 million in 2018 to $5,500 million in 2023.</w:t>
      </w:r>
    </w:p>
    <w:p w14:paraId="48780D9B" w14:textId="77777777" w:rsidR="00B10FE8" w:rsidRPr="00B10FE8" w:rsidRDefault="00B10FE8" w:rsidP="00CE5E3F">
      <w:pPr>
        <w:rPr>
          <w:rFonts w:cstheme="minorHAnsi"/>
          <w:sz w:val="32"/>
          <w:szCs w:val="32"/>
        </w:rPr>
      </w:pPr>
    </w:p>
    <w:p w14:paraId="63A49BD4" w14:textId="135AC203" w:rsidR="00B10FE8" w:rsidRPr="00B10FE8" w:rsidRDefault="00B10FE8" w:rsidP="00B10FE8">
      <w:pPr>
        <w:rPr>
          <w:b/>
          <w:bCs/>
          <w:sz w:val="36"/>
          <w:szCs w:val="36"/>
        </w:rPr>
      </w:pPr>
      <w:r w:rsidRPr="00B10FE8">
        <w:rPr>
          <w:b/>
          <w:bCs/>
          <w:sz w:val="36"/>
          <w:szCs w:val="36"/>
        </w:rPr>
        <w:t xml:space="preserve"> Analysis of </w:t>
      </w:r>
      <w:proofErr w:type="gramStart"/>
      <w:r w:rsidRPr="00B10FE8">
        <w:rPr>
          <w:b/>
          <w:bCs/>
          <w:sz w:val="36"/>
          <w:szCs w:val="36"/>
        </w:rPr>
        <w:t>Trends</w:t>
      </w:r>
      <w:r>
        <w:rPr>
          <w:b/>
          <w:bCs/>
          <w:sz w:val="36"/>
          <w:szCs w:val="36"/>
        </w:rPr>
        <w:t>:-</w:t>
      </w:r>
      <w:proofErr w:type="gramEnd"/>
    </w:p>
    <w:p w14:paraId="3CFAFECA" w14:textId="77777777" w:rsidR="00B10FE8" w:rsidRDefault="00B10FE8" w:rsidP="00B10FE8"/>
    <w:p w14:paraId="040D5F02" w14:textId="5D797F7A" w:rsidR="00B10FE8" w:rsidRPr="00B10FE8" w:rsidRDefault="00B10FE8" w:rsidP="00B10FE8">
      <w:pPr>
        <w:rPr>
          <w:rFonts w:cstheme="minorHAnsi"/>
          <w:sz w:val="32"/>
          <w:szCs w:val="32"/>
        </w:rPr>
      </w:pPr>
      <w:r w:rsidRPr="00B10FE8">
        <w:rPr>
          <w:rFonts w:cstheme="minorHAnsi"/>
          <w:b/>
          <w:bCs/>
          <w:sz w:val="32"/>
          <w:szCs w:val="32"/>
        </w:rPr>
        <w:t>- Increase in Enforcement Actions:</w:t>
      </w:r>
      <w:r w:rsidRPr="00B10FE8">
        <w:rPr>
          <w:rFonts w:cstheme="minorHAnsi"/>
          <w:sz w:val="32"/>
          <w:szCs w:val="32"/>
        </w:rPr>
        <w:t xml:space="preserve"> There has been a steady increase in the number of enforcement actions taken by the SEC over the past five years. This reflects the agency’s proactive approach in addressing violations and maintaining market integrity.</w:t>
      </w:r>
    </w:p>
    <w:p w14:paraId="1002781E" w14:textId="6F9864E8" w:rsidR="00B10FE8" w:rsidRPr="00B10FE8" w:rsidRDefault="00B10FE8" w:rsidP="00B10FE8">
      <w:pPr>
        <w:rPr>
          <w:rFonts w:cstheme="minorHAnsi"/>
          <w:sz w:val="32"/>
          <w:szCs w:val="32"/>
        </w:rPr>
      </w:pPr>
      <w:r w:rsidRPr="00B10FE8">
        <w:rPr>
          <w:rFonts w:cstheme="minorHAnsi"/>
          <w:b/>
          <w:bCs/>
          <w:sz w:val="32"/>
          <w:szCs w:val="32"/>
        </w:rPr>
        <w:t>- Rise in Financial Penalties</w:t>
      </w:r>
      <w:r w:rsidRPr="00B10FE8">
        <w:rPr>
          <w:rFonts w:cstheme="minorHAnsi"/>
          <w:sz w:val="32"/>
          <w:szCs w:val="32"/>
        </w:rPr>
        <w:t>: Financial penalties and disgorgements have also seen a significant increase, indicating the SEC's intensified efforts to deter misconduct through substantial financial consequences.</w:t>
      </w:r>
    </w:p>
    <w:p w14:paraId="49C6C6B4" w14:textId="4A7193D1" w:rsidR="00B10FE8" w:rsidRPr="00B10FE8" w:rsidRDefault="00B10FE8" w:rsidP="00B10FE8">
      <w:pPr>
        <w:rPr>
          <w:rFonts w:cstheme="minorHAnsi"/>
          <w:sz w:val="32"/>
          <w:szCs w:val="32"/>
        </w:rPr>
      </w:pPr>
      <w:r w:rsidRPr="00B10FE8">
        <w:rPr>
          <w:rFonts w:cstheme="minorHAnsi"/>
          <w:b/>
          <w:bCs/>
          <w:sz w:val="32"/>
          <w:szCs w:val="32"/>
        </w:rPr>
        <w:t>- Focus on Emerging Issues:</w:t>
      </w:r>
      <w:r w:rsidRPr="00B10FE8">
        <w:rPr>
          <w:rFonts w:cstheme="minorHAnsi"/>
          <w:sz w:val="32"/>
          <w:szCs w:val="32"/>
        </w:rPr>
        <w:t xml:space="preserve"> The SEC has increasingly focused on new areas of concern such as digital assets, cybersecurity, and climate-related disclosures, reflecting the evolving nature of financial markets and associated risks.</w:t>
      </w:r>
    </w:p>
    <w:p w14:paraId="4615F23E" w14:textId="77777777" w:rsidR="00CE5E3F" w:rsidRDefault="00CE5E3F" w:rsidP="00CE5E3F"/>
    <w:p w14:paraId="0E42EDFF" w14:textId="77777777" w:rsidR="00B10FE8" w:rsidRDefault="00B10FE8" w:rsidP="00CE5E3F">
      <w:pPr>
        <w:rPr>
          <w:b/>
          <w:bCs/>
          <w:sz w:val="36"/>
          <w:szCs w:val="36"/>
        </w:rPr>
      </w:pPr>
    </w:p>
    <w:p w14:paraId="7992040D" w14:textId="77777777" w:rsidR="00B10FE8" w:rsidRDefault="00B10FE8" w:rsidP="00CE5E3F">
      <w:pPr>
        <w:rPr>
          <w:b/>
          <w:bCs/>
          <w:sz w:val="36"/>
          <w:szCs w:val="36"/>
        </w:rPr>
      </w:pPr>
    </w:p>
    <w:p w14:paraId="60690EC7" w14:textId="77777777" w:rsidR="00B10FE8" w:rsidRDefault="00B10FE8" w:rsidP="00CE5E3F">
      <w:pPr>
        <w:rPr>
          <w:b/>
          <w:bCs/>
          <w:sz w:val="36"/>
          <w:szCs w:val="36"/>
        </w:rPr>
      </w:pPr>
    </w:p>
    <w:p w14:paraId="07BAACAD" w14:textId="77777777" w:rsidR="00B10FE8" w:rsidRDefault="00B10FE8" w:rsidP="00CE5E3F">
      <w:pPr>
        <w:rPr>
          <w:b/>
          <w:bCs/>
          <w:sz w:val="36"/>
          <w:szCs w:val="36"/>
        </w:rPr>
      </w:pPr>
    </w:p>
    <w:p w14:paraId="6A7FAD0C" w14:textId="77777777" w:rsidR="00B10FE8" w:rsidRDefault="00B10FE8" w:rsidP="00CE5E3F">
      <w:pPr>
        <w:rPr>
          <w:b/>
          <w:bCs/>
          <w:sz w:val="36"/>
          <w:szCs w:val="36"/>
        </w:rPr>
      </w:pPr>
    </w:p>
    <w:p w14:paraId="5908A246" w14:textId="77777777" w:rsidR="00B10FE8" w:rsidRDefault="00CE5E3F" w:rsidP="00CE5E3F">
      <w:pPr>
        <w:rPr>
          <w:b/>
          <w:bCs/>
          <w:sz w:val="36"/>
          <w:szCs w:val="36"/>
        </w:rPr>
      </w:pPr>
      <w:r w:rsidRPr="00B10FE8">
        <w:rPr>
          <w:b/>
          <w:bCs/>
          <w:sz w:val="36"/>
          <w:szCs w:val="36"/>
        </w:rPr>
        <w:t xml:space="preserve"> </w:t>
      </w:r>
    </w:p>
    <w:p w14:paraId="52FB02AC" w14:textId="3EF1B063" w:rsidR="00CE5E3F" w:rsidRPr="00B10FE8" w:rsidRDefault="00CE5E3F" w:rsidP="00CE5E3F">
      <w:pPr>
        <w:rPr>
          <w:b/>
          <w:bCs/>
          <w:sz w:val="36"/>
          <w:szCs w:val="36"/>
        </w:rPr>
      </w:pPr>
      <w:proofErr w:type="gramStart"/>
      <w:r w:rsidRPr="00B10FE8">
        <w:rPr>
          <w:b/>
          <w:bCs/>
          <w:sz w:val="36"/>
          <w:szCs w:val="36"/>
        </w:rPr>
        <w:lastRenderedPageBreak/>
        <w:t>Conclusion</w:t>
      </w:r>
      <w:r w:rsidR="00B10FE8">
        <w:rPr>
          <w:b/>
          <w:bCs/>
          <w:sz w:val="36"/>
          <w:szCs w:val="36"/>
        </w:rPr>
        <w:t>:-</w:t>
      </w:r>
      <w:proofErr w:type="gramEnd"/>
    </w:p>
    <w:p w14:paraId="02A26BA3" w14:textId="77777777" w:rsidR="00CE5E3F" w:rsidRDefault="00CE5E3F" w:rsidP="00CE5E3F"/>
    <w:p w14:paraId="2F4C0EB1" w14:textId="2860F3F6" w:rsidR="004022D4" w:rsidRPr="00B10FE8" w:rsidRDefault="00CE5E3F" w:rsidP="00CE5E3F">
      <w:pPr>
        <w:rPr>
          <w:rFonts w:cstheme="minorHAnsi"/>
          <w:sz w:val="32"/>
          <w:szCs w:val="32"/>
        </w:rPr>
      </w:pPr>
      <w:r w:rsidRPr="00B10FE8">
        <w:rPr>
          <w:rFonts w:cstheme="minorHAnsi"/>
          <w:sz w:val="32"/>
          <w:szCs w:val="32"/>
        </w:rPr>
        <w:t>The SEC continues to adapt its regulatory framework and enforcement strategies to address the dynamic challenges in the securities markets. By focusing on emerging issues and increasing the rigor of its enforcement actions, the SEC aims to protect investors and ensure the fair functioning of financial markets. The provided tables and graphs illustrate the significant trends and impact of SEC's activities over the past five years.</w:t>
      </w:r>
    </w:p>
    <w:sectPr w:rsidR="004022D4" w:rsidRPr="00B10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3F"/>
    <w:rsid w:val="004022D4"/>
    <w:rsid w:val="0052122A"/>
    <w:rsid w:val="005F4CC9"/>
    <w:rsid w:val="00B10FE8"/>
    <w:rsid w:val="00CE5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5B06"/>
  <w15:chartTrackingRefBased/>
  <w15:docId w15:val="{0E543D55-648F-4F4E-838C-109B5F6F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2024-06-13T05:23:00Z</dcterms:created>
  <dcterms:modified xsi:type="dcterms:W3CDTF">2024-06-13T05:43:00Z</dcterms:modified>
</cp:coreProperties>
</file>