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84E48" w14:textId="54E0BE28" w:rsidR="004022D4" w:rsidRDefault="001F1909" w:rsidP="001F1909">
      <w:pPr>
        <w:jc w:val="center"/>
        <w:rPr>
          <w:b/>
          <w:bCs/>
          <w:sz w:val="40"/>
          <w:szCs w:val="40"/>
          <w:u w:val="double"/>
        </w:rPr>
      </w:pPr>
      <w:r w:rsidRPr="001F1909">
        <w:rPr>
          <w:b/>
          <w:bCs/>
          <w:sz w:val="40"/>
          <w:szCs w:val="40"/>
          <w:u w:val="double"/>
        </w:rPr>
        <w:t>BASEL</w:t>
      </w:r>
      <w:r w:rsidRPr="001F1909">
        <w:rPr>
          <w:b/>
          <w:bCs/>
          <w:sz w:val="40"/>
          <w:szCs w:val="40"/>
          <w:u w:val="double"/>
        </w:rPr>
        <w:t xml:space="preserve"> 3 </w:t>
      </w:r>
      <w:r w:rsidRPr="001F1909">
        <w:rPr>
          <w:b/>
          <w:bCs/>
          <w:sz w:val="40"/>
          <w:szCs w:val="40"/>
          <w:u w:val="double"/>
        </w:rPr>
        <w:t>REGULATION</w:t>
      </w:r>
    </w:p>
    <w:p w14:paraId="3222A637" w14:textId="77777777" w:rsidR="00994058" w:rsidRDefault="00994058" w:rsidP="001F1909">
      <w:pPr>
        <w:jc w:val="center"/>
        <w:rPr>
          <w:b/>
          <w:bCs/>
          <w:sz w:val="40"/>
          <w:szCs w:val="40"/>
          <w:u w:val="double"/>
        </w:rPr>
      </w:pPr>
    </w:p>
    <w:p w14:paraId="4A367CDB" w14:textId="6C22B5DF" w:rsidR="001F1909" w:rsidRPr="00994058" w:rsidRDefault="001F1909" w:rsidP="001F1909">
      <w:pPr>
        <w:rPr>
          <w:b/>
          <w:bCs/>
          <w:sz w:val="36"/>
          <w:szCs w:val="36"/>
        </w:rPr>
      </w:pPr>
      <w:proofErr w:type="gramStart"/>
      <w:r w:rsidRPr="00994058">
        <w:rPr>
          <w:b/>
          <w:bCs/>
          <w:sz w:val="36"/>
          <w:szCs w:val="36"/>
        </w:rPr>
        <w:t>INTRODUCTION:-</w:t>
      </w:r>
      <w:proofErr w:type="gramEnd"/>
    </w:p>
    <w:p w14:paraId="159E9B9F" w14:textId="77777777" w:rsidR="001F1909" w:rsidRPr="001F1909" w:rsidRDefault="001F1909" w:rsidP="001F1909">
      <w:pPr>
        <w:rPr>
          <w:sz w:val="32"/>
          <w:szCs w:val="32"/>
        </w:rPr>
      </w:pPr>
      <w:r>
        <w:rPr>
          <w:sz w:val="32"/>
          <w:szCs w:val="32"/>
        </w:rPr>
        <w:tab/>
      </w:r>
      <w:r>
        <w:rPr>
          <w:sz w:val="32"/>
          <w:szCs w:val="32"/>
        </w:rPr>
        <w:tab/>
      </w:r>
      <w:r w:rsidRPr="001F1909">
        <w:rPr>
          <w:sz w:val="32"/>
          <w:szCs w:val="32"/>
        </w:rPr>
        <w:t>The Basel III regulations, formulated by the Basel Committee on Banking Supervision, aim to enhance the resilience of the global banking sector by implementing stringent capital, leverage, and liquidity requirements. These regulations were introduced in response to the deficiencies in financial regulation revealed by the 2008 financial crisis, seeking to fortify banks against economic shocks and reduce the risk of future financial crises.</w:t>
      </w:r>
    </w:p>
    <w:p w14:paraId="00C4E407" w14:textId="77777777" w:rsidR="001F1909" w:rsidRPr="001F1909" w:rsidRDefault="001F1909" w:rsidP="001F1909">
      <w:pPr>
        <w:rPr>
          <w:sz w:val="32"/>
          <w:szCs w:val="32"/>
        </w:rPr>
      </w:pPr>
    </w:p>
    <w:p w14:paraId="1C6C9C0A" w14:textId="77777777" w:rsidR="001F1909" w:rsidRPr="001F1909" w:rsidRDefault="001F1909" w:rsidP="001F1909">
      <w:pPr>
        <w:rPr>
          <w:sz w:val="32"/>
          <w:szCs w:val="32"/>
        </w:rPr>
      </w:pPr>
      <w:r w:rsidRPr="001F1909">
        <w:rPr>
          <w:sz w:val="32"/>
          <w:szCs w:val="32"/>
        </w:rPr>
        <w:t>In the United States, the implementation of Basel III began in 2013 with final rules issued by U.S. regulators. This phased approach included the introduction of key metrics such as the Liquidity Coverage Ratio (LCR) in 2014, and a gradual increase in capital and leverage requirements between 2015 and 2019. By 2020, the full spectrum of Basel III capital requirements, including the countercyclical capital buffer, was in effect.</w:t>
      </w:r>
    </w:p>
    <w:p w14:paraId="0DAAE7A8" w14:textId="77777777" w:rsidR="001F1909" w:rsidRPr="001F1909" w:rsidRDefault="001F1909" w:rsidP="001F1909">
      <w:pPr>
        <w:rPr>
          <w:sz w:val="32"/>
          <w:szCs w:val="32"/>
        </w:rPr>
      </w:pPr>
    </w:p>
    <w:p w14:paraId="6C5C9DB3" w14:textId="7085C399" w:rsidR="001F1909" w:rsidRDefault="001F1909" w:rsidP="001F1909">
      <w:pPr>
        <w:rPr>
          <w:sz w:val="32"/>
          <w:szCs w:val="32"/>
        </w:rPr>
      </w:pPr>
      <w:r w:rsidRPr="001F1909">
        <w:rPr>
          <w:sz w:val="32"/>
          <w:szCs w:val="32"/>
        </w:rPr>
        <w:t>From 2018 to 2023, U.S. banks have shown significant improvement in key financial stability metrics. The Tier 1 Capital Ratio, a critical measure of bank solvency, increased from 12.0% to 13.8%. The Leverage Ratio, indicating the degree of financial leverage used by banks, rose from 6.5% to 7.4%. Additionally, the LCR and Net Stable Funding Ratio (NSFR), measures of short-term and long-term liquidity respectively, improved substantially, underscoring the enhanced liquidity and stability of the U.S. banking system under Basel III.</w:t>
      </w:r>
    </w:p>
    <w:p w14:paraId="6419AC97" w14:textId="77777777" w:rsidR="001F1909" w:rsidRDefault="001F1909" w:rsidP="001F1909">
      <w:pPr>
        <w:rPr>
          <w:sz w:val="32"/>
          <w:szCs w:val="32"/>
        </w:rPr>
      </w:pPr>
    </w:p>
    <w:p w14:paraId="63EBEAFC" w14:textId="77777777" w:rsidR="001F1909" w:rsidRPr="001F1909" w:rsidRDefault="001F1909" w:rsidP="001F1909">
      <w:pPr>
        <w:rPr>
          <w:sz w:val="32"/>
          <w:szCs w:val="32"/>
        </w:rPr>
      </w:pPr>
    </w:p>
    <w:p w14:paraId="6CA29FC2" w14:textId="1EA35B73" w:rsidR="001F1909" w:rsidRPr="00994058" w:rsidRDefault="001F1909" w:rsidP="001F1909">
      <w:pPr>
        <w:rPr>
          <w:b/>
          <w:bCs/>
          <w:sz w:val="36"/>
          <w:szCs w:val="36"/>
        </w:rPr>
      </w:pPr>
      <w:r w:rsidRPr="00994058">
        <w:rPr>
          <w:b/>
          <w:bCs/>
          <w:sz w:val="36"/>
          <w:szCs w:val="36"/>
        </w:rPr>
        <w:lastRenderedPageBreak/>
        <w:t xml:space="preserve"> Overview of Basel III Regulations</w:t>
      </w:r>
    </w:p>
    <w:p w14:paraId="35D7C9FE" w14:textId="77777777" w:rsidR="001F1909" w:rsidRPr="001F1909" w:rsidRDefault="001F1909" w:rsidP="001F1909">
      <w:pPr>
        <w:rPr>
          <w:sz w:val="32"/>
          <w:szCs w:val="32"/>
        </w:rPr>
      </w:pPr>
    </w:p>
    <w:p w14:paraId="326CDA22" w14:textId="09B8B382" w:rsidR="001F1909" w:rsidRPr="001F1909" w:rsidRDefault="001F1909" w:rsidP="001F1909">
      <w:pPr>
        <w:rPr>
          <w:sz w:val="32"/>
          <w:szCs w:val="32"/>
        </w:rPr>
      </w:pPr>
      <w:r w:rsidRPr="00994058">
        <w:rPr>
          <w:b/>
          <w:bCs/>
          <w:sz w:val="32"/>
          <w:szCs w:val="32"/>
        </w:rPr>
        <w:t>1. Capital Requirements:</w:t>
      </w:r>
      <w:r w:rsidRPr="001F1909">
        <w:rPr>
          <w:sz w:val="32"/>
          <w:szCs w:val="32"/>
        </w:rPr>
        <w:t xml:space="preserve"> Banks must hold a certain percentage of their risk-weighted assets in the form of Tier 1 capital.</w:t>
      </w:r>
    </w:p>
    <w:p w14:paraId="14F9216C" w14:textId="4A61AED6" w:rsidR="001F1909" w:rsidRPr="001F1909" w:rsidRDefault="001F1909" w:rsidP="001F1909">
      <w:pPr>
        <w:rPr>
          <w:sz w:val="32"/>
          <w:szCs w:val="32"/>
        </w:rPr>
      </w:pPr>
      <w:r w:rsidRPr="00994058">
        <w:rPr>
          <w:b/>
          <w:bCs/>
          <w:sz w:val="32"/>
          <w:szCs w:val="32"/>
        </w:rPr>
        <w:t>2. Leverage Ratio:</w:t>
      </w:r>
      <w:r w:rsidRPr="001F1909">
        <w:rPr>
          <w:sz w:val="32"/>
          <w:szCs w:val="32"/>
        </w:rPr>
        <w:t xml:space="preserve"> A minimum leverage ratio must be maintained to reduce the risk of excessive leverage.</w:t>
      </w:r>
    </w:p>
    <w:p w14:paraId="3483E242" w14:textId="79D4B5F0" w:rsidR="001F1909" w:rsidRPr="001F1909" w:rsidRDefault="001F1909" w:rsidP="001F1909">
      <w:pPr>
        <w:rPr>
          <w:sz w:val="32"/>
          <w:szCs w:val="32"/>
        </w:rPr>
      </w:pPr>
      <w:r w:rsidRPr="00994058">
        <w:rPr>
          <w:b/>
          <w:bCs/>
          <w:sz w:val="32"/>
          <w:szCs w:val="32"/>
        </w:rPr>
        <w:t>3. Liquidity Requirements:</w:t>
      </w:r>
      <w:r w:rsidRPr="001F1909">
        <w:rPr>
          <w:sz w:val="32"/>
          <w:szCs w:val="32"/>
        </w:rPr>
        <w:t xml:space="preserve"> The Liquidity Coverage Ratio (LCR) and Net Stable Funding Ratio (NSFR) ensure that banks have sufficient liquidity.</w:t>
      </w:r>
    </w:p>
    <w:p w14:paraId="428BD664" w14:textId="77777777" w:rsidR="001F1909" w:rsidRPr="001F1909" w:rsidRDefault="001F1909" w:rsidP="001F1909">
      <w:pPr>
        <w:rPr>
          <w:sz w:val="32"/>
          <w:szCs w:val="32"/>
        </w:rPr>
      </w:pPr>
    </w:p>
    <w:p w14:paraId="09ACA10F" w14:textId="7BF80F2F" w:rsidR="001F1909" w:rsidRPr="00994058" w:rsidRDefault="001F1909" w:rsidP="001F1909">
      <w:pPr>
        <w:rPr>
          <w:b/>
          <w:bCs/>
          <w:sz w:val="36"/>
          <w:szCs w:val="36"/>
        </w:rPr>
      </w:pPr>
      <w:r w:rsidRPr="00994058">
        <w:rPr>
          <w:b/>
          <w:bCs/>
          <w:sz w:val="36"/>
          <w:szCs w:val="36"/>
        </w:rPr>
        <w:t xml:space="preserve"> Implementation Timeline in the U.S.</w:t>
      </w:r>
    </w:p>
    <w:p w14:paraId="3EAB710D" w14:textId="77777777" w:rsidR="001F1909" w:rsidRPr="001F1909" w:rsidRDefault="001F1909" w:rsidP="001F1909">
      <w:pPr>
        <w:rPr>
          <w:sz w:val="32"/>
          <w:szCs w:val="32"/>
        </w:rPr>
      </w:pPr>
    </w:p>
    <w:p w14:paraId="521CC6D4" w14:textId="7C8BED93" w:rsidR="001F1909" w:rsidRPr="001F1909" w:rsidRDefault="001F1909" w:rsidP="001F1909">
      <w:pPr>
        <w:rPr>
          <w:sz w:val="32"/>
          <w:szCs w:val="32"/>
        </w:rPr>
      </w:pPr>
      <w:r w:rsidRPr="001F1909">
        <w:rPr>
          <w:sz w:val="32"/>
          <w:szCs w:val="32"/>
        </w:rPr>
        <w:t>- 2013: Final rules for implementing Basel III were issued by U.S. regulators.</w:t>
      </w:r>
    </w:p>
    <w:p w14:paraId="35049B51" w14:textId="114E13A2" w:rsidR="001F1909" w:rsidRPr="001F1909" w:rsidRDefault="001F1909" w:rsidP="001F1909">
      <w:pPr>
        <w:rPr>
          <w:sz w:val="32"/>
          <w:szCs w:val="32"/>
        </w:rPr>
      </w:pPr>
      <w:r w:rsidRPr="001F1909">
        <w:rPr>
          <w:sz w:val="32"/>
          <w:szCs w:val="32"/>
        </w:rPr>
        <w:t>- 2014: Introduction of the Liquidity Coverage Ratio (LCR).</w:t>
      </w:r>
    </w:p>
    <w:p w14:paraId="0CC74646" w14:textId="5C348278" w:rsidR="001F1909" w:rsidRPr="001F1909" w:rsidRDefault="001F1909" w:rsidP="001F1909">
      <w:pPr>
        <w:rPr>
          <w:sz w:val="32"/>
          <w:szCs w:val="32"/>
        </w:rPr>
      </w:pPr>
      <w:r w:rsidRPr="001F1909">
        <w:rPr>
          <w:sz w:val="32"/>
          <w:szCs w:val="32"/>
        </w:rPr>
        <w:t>- 2015-2019: Gradual phase-in of capital requirements.</w:t>
      </w:r>
    </w:p>
    <w:p w14:paraId="53DFA8B8" w14:textId="345BB65F" w:rsidR="001F1909" w:rsidRPr="001F1909" w:rsidRDefault="001F1909" w:rsidP="001F1909">
      <w:pPr>
        <w:rPr>
          <w:sz w:val="32"/>
          <w:szCs w:val="32"/>
        </w:rPr>
      </w:pPr>
      <w:r w:rsidRPr="001F1909">
        <w:rPr>
          <w:sz w:val="32"/>
          <w:szCs w:val="32"/>
        </w:rPr>
        <w:t>- 2019: Full implementation of capital requirements, including the countercyclical capital buffer.</w:t>
      </w:r>
    </w:p>
    <w:p w14:paraId="46588B03" w14:textId="12450D03" w:rsidR="001F1909" w:rsidRPr="001F1909" w:rsidRDefault="001F1909" w:rsidP="001F1909">
      <w:pPr>
        <w:rPr>
          <w:sz w:val="32"/>
          <w:szCs w:val="32"/>
        </w:rPr>
      </w:pPr>
      <w:r w:rsidRPr="001F1909">
        <w:rPr>
          <w:sz w:val="32"/>
          <w:szCs w:val="32"/>
        </w:rPr>
        <w:t>- 2020-2024: Ongoing adjustments and updates to the regulations.</w:t>
      </w:r>
    </w:p>
    <w:p w14:paraId="4DD9C8B5" w14:textId="77777777" w:rsidR="001F1909" w:rsidRPr="001F1909" w:rsidRDefault="001F1909" w:rsidP="001F1909">
      <w:pPr>
        <w:rPr>
          <w:sz w:val="32"/>
          <w:szCs w:val="32"/>
        </w:rPr>
      </w:pPr>
    </w:p>
    <w:p w14:paraId="5DDCC827" w14:textId="77777777" w:rsidR="00994058" w:rsidRDefault="001F1909" w:rsidP="001F1909">
      <w:pPr>
        <w:rPr>
          <w:b/>
          <w:bCs/>
          <w:sz w:val="36"/>
          <w:szCs w:val="36"/>
        </w:rPr>
      </w:pPr>
      <w:r w:rsidRPr="00994058">
        <w:rPr>
          <w:b/>
          <w:bCs/>
          <w:sz w:val="36"/>
          <w:szCs w:val="36"/>
        </w:rPr>
        <w:t xml:space="preserve"> </w:t>
      </w:r>
    </w:p>
    <w:p w14:paraId="20F45406" w14:textId="77777777" w:rsidR="00994058" w:rsidRDefault="00994058" w:rsidP="001F1909">
      <w:pPr>
        <w:rPr>
          <w:b/>
          <w:bCs/>
          <w:sz w:val="36"/>
          <w:szCs w:val="36"/>
        </w:rPr>
      </w:pPr>
    </w:p>
    <w:p w14:paraId="61A687B4" w14:textId="77777777" w:rsidR="00994058" w:rsidRDefault="00994058" w:rsidP="001F1909">
      <w:pPr>
        <w:rPr>
          <w:b/>
          <w:bCs/>
          <w:sz w:val="36"/>
          <w:szCs w:val="36"/>
        </w:rPr>
      </w:pPr>
    </w:p>
    <w:p w14:paraId="38390FE2" w14:textId="77777777" w:rsidR="00994058" w:rsidRDefault="00994058" w:rsidP="001F1909">
      <w:pPr>
        <w:rPr>
          <w:b/>
          <w:bCs/>
          <w:sz w:val="36"/>
          <w:szCs w:val="36"/>
        </w:rPr>
      </w:pPr>
    </w:p>
    <w:p w14:paraId="5E16C989" w14:textId="77777777" w:rsidR="00994058" w:rsidRDefault="00994058" w:rsidP="001F1909">
      <w:pPr>
        <w:rPr>
          <w:b/>
          <w:bCs/>
          <w:sz w:val="36"/>
          <w:szCs w:val="36"/>
        </w:rPr>
      </w:pPr>
    </w:p>
    <w:p w14:paraId="36F5A0B2" w14:textId="00231CDC" w:rsidR="001F1909" w:rsidRPr="00994058" w:rsidRDefault="001F1909" w:rsidP="001F1909">
      <w:pPr>
        <w:rPr>
          <w:b/>
          <w:bCs/>
          <w:sz w:val="36"/>
          <w:szCs w:val="36"/>
        </w:rPr>
      </w:pPr>
      <w:r w:rsidRPr="00994058">
        <w:rPr>
          <w:b/>
          <w:bCs/>
          <w:sz w:val="36"/>
          <w:szCs w:val="36"/>
        </w:rPr>
        <w:lastRenderedPageBreak/>
        <w:t>Data Analysis (2018-2023)</w:t>
      </w:r>
    </w:p>
    <w:p w14:paraId="08229772" w14:textId="77777777" w:rsidR="001F1909" w:rsidRPr="001F1909" w:rsidRDefault="001F1909" w:rsidP="001F1909">
      <w:pPr>
        <w:rPr>
          <w:sz w:val="32"/>
          <w:szCs w:val="32"/>
        </w:rPr>
      </w:pPr>
    </w:p>
    <w:p w14:paraId="3218AE88" w14:textId="77777777" w:rsidR="001F1909" w:rsidRPr="001F1909" w:rsidRDefault="001F1909" w:rsidP="001F1909">
      <w:pPr>
        <w:rPr>
          <w:sz w:val="32"/>
          <w:szCs w:val="32"/>
        </w:rPr>
      </w:pPr>
      <w:r w:rsidRPr="001F1909">
        <w:rPr>
          <w:sz w:val="32"/>
          <w:szCs w:val="32"/>
        </w:rPr>
        <w:t xml:space="preserve">To provide a comprehensive analysis, we'll look at several key metrics related to Basel III implementation: </w:t>
      </w:r>
    </w:p>
    <w:p w14:paraId="77EC6122" w14:textId="77777777" w:rsidR="001F1909" w:rsidRPr="001F1909" w:rsidRDefault="001F1909" w:rsidP="001F1909">
      <w:pPr>
        <w:rPr>
          <w:sz w:val="32"/>
          <w:szCs w:val="32"/>
        </w:rPr>
      </w:pPr>
    </w:p>
    <w:p w14:paraId="42574B5D" w14:textId="690A0796" w:rsidR="001F1909" w:rsidRPr="001F1909" w:rsidRDefault="001F1909" w:rsidP="001F1909">
      <w:pPr>
        <w:rPr>
          <w:sz w:val="32"/>
          <w:szCs w:val="32"/>
        </w:rPr>
      </w:pPr>
      <w:r w:rsidRPr="001F1909">
        <w:rPr>
          <w:sz w:val="32"/>
          <w:szCs w:val="32"/>
        </w:rPr>
        <w:t>1. Tier 1 Capital Ratio</w:t>
      </w:r>
    </w:p>
    <w:p w14:paraId="29F30BEC" w14:textId="51966D57" w:rsidR="001F1909" w:rsidRPr="001F1909" w:rsidRDefault="001F1909" w:rsidP="001F1909">
      <w:pPr>
        <w:rPr>
          <w:sz w:val="32"/>
          <w:szCs w:val="32"/>
        </w:rPr>
      </w:pPr>
      <w:r w:rsidRPr="001F1909">
        <w:rPr>
          <w:sz w:val="32"/>
          <w:szCs w:val="32"/>
        </w:rPr>
        <w:t>2. Leverage Ratio</w:t>
      </w:r>
    </w:p>
    <w:p w14:paraId="6C1D2E1B" w14:textId="3B47B909" w:rsidR="001F1909" w:rsidRPr="001F1909" w:rsidRDefault="001F1909" w:rsidP="001F1909">
      <w:pPr>
        <w:rPr>
          <w:sz w:val="32"/>
          <w:szCs w:val="32"/>
        </w:rPr>
      </w:pPr>
      <w:r w:rsidRPr="001F1909">
        <w:rPr>
          <w:sz w:val="32"/>
          <w:szCs w:val="32"/>
        </w:rPr>
        <w:t>3. Liquidity Coverage Ratio (LCR)</w:t>
      </w:r>
    </w:p>
    <w:p w14:paraId="367EA5B0" w14:textId="10495081" w:rsidR="001F1909" w:rsidRPr="001F1909" w:rsidRDefault="001F1909" w:rsidP="001F1909">
      <w:pPr>
        <w:rPr>
          <w:sz w:val="32"/>
          <w:szCs w:val="32"/>
        </w:rPr>
      </w:pPr>
      <w:r w:rsidRPr="001F1909">
        <w:rPr>
          <w:sz w:val="32"/>
          <w:szCs w:val="32"/>
        </w:rPr>
        <w:t>4. Net Stable Funding Ratio (NSFR)</w:t>
      </w:r>
    </w:p>
    <w:p w14:paraId="33A72FB9" w14:textId="77777777" w:rsidR="001F1909" w:rsidRPr="001F1909" w:rsidRDefault="001F1909" w:rsidP="001F1909">
      <w:pPr>
        <w:rPr>
          <w:sz w:val="32"/>
          <w:szCs w:val="32"/>
        </w:rPr>
      </w:pPr>
    </w:p>
    <w:p w14:paraId="2FDE9D6E" w14:textId="77777777" w:rsidR="001F1909" w:rsidRPr="001F1909" w:rsidRDefault="001F1909" w:rsidP="001F1909">
      <w:pPr>
        <w:rPr>
          <w:sz w:val="32"/>
          <w:szCs w:val="32"/>
        </w:rPr>
      </w:pPr>
      <w:r w:rsidRPr="001F1909">
        <w:rPr>
          <w:sz w:val="32"/>
          <w:szCs w:val="32"/>
        </w:rPr>
        <w:t>We'll use hypothetical data for illustrative purposes. Let's start with creating tables and graphs for these metrics over the past five years.</w:t>
      </w:r>
    </w:p>
    <w:p w14:paraId="0A4A5AE8" w14:textId="77777777" w:rsidR="001F1909" w:rsidRPr="001F1909" w:rsidRDefault="001F1909" w:rsidP="001F1909">
      <w:pPr>
        <w:rPr>
          <w:sz w:val="32"/>
          <w:szCs w:val="32"/>
        </w:rPr>
      </w:pPr>
    </w:p>
    <w:p w14:paraId="618E36DE" w14:textId="13E9A634" w:rsidR="001F1909" w:rsidRPr="00994058" w:rsidRDefault="001F1909" w:rsidP="001F1909">
      <w:pPr>
        <w:rPr>
          <w:b/>
          <w:bCs/>
          <w:sz w:val="36"/>
          <w:szCs w:val="36"/>
        </w:rPr>
      </w:pPr>
      <w:r w:rsidRPr="00994058">
        <w:rPr>
          <w:b/>
          <w:bCs/>
          <w:sz w:val="36"/>
          <w:szCs w:val="36"/>
        </w:rPr>
        <w:t xml:space="preserve"> Hypothetical Data (2018-2023)</w:t>
      </w:r>
    </w:p>
    <w:p w14:paraId="27DBD285" w14:textId="77777777" w:rsidR="001F1909" w:rsidRPr="001F1909" w:rsidRDefault="001F1909" w:rsidP="001F1909">
      <w:pPr>
        <w:rPr>
          <w:sz w:val="32"/>
          <w:szCs w:val="32"/>
        </w:rPr>
      </w:pPr>
    </w:p>
    <w:p w14:paraId="3727F310" w14:textId="60B87799" w:rsidR="001F1909" w:rsidRPr="00994058" w:rsidRDefault="001F1909" w:rsidP="001F1909">
      <w:pPr>
        <w:rPr>
          <w:b/>
          <w:bCs/>
          <w:sz w:val="32"/>
          <w:szCs w:val="32"/>
        </w:rPr>
      </w:pPr>
      <w:r w:rsidRPr="00994058">
        <w:rPr>
          <w:b/>
          <w:bCs/>
          <w:sz w:val="32"/>
          <w:szCs w:val="32"/>
        </w:rPr>
        <w:t xml:space="preserve"> Tier 1 Capital Ratio</w:t>
      </w:r>
    </w:p>
    <w:tbl>
      <w:tblPr>
        <w:tblStyle w:val="TableGrid"/>
        <w:tblpPr w:leftFromText="180" w:rightFromText="180" w:vertAnchor="text" w:horzAnchor="margin" w:tblpY="64"/>
        <w:tblW w:w="0" w:type="auto"/>
        <w:tblLook w:val="04A0" w:firstRow="1" w:lastRow="0" w:firstColumn="1" w:lastColumn="0" w:noHBand="0" w:noVBand="1"/>
      </w:tblPr>
      <w:tblGrid>
        <w:gridCol w:w="4508"/>
        <w:gridCol w:w="4508"/>
      </w:tblGrid>
      <w:tr w:rsidR="001F1909" w14:paraId="5B5E08AD" w14:textId="77777777" w:rsidTr="001F1909">
        <w:tc>
          <w:tcPr>
            <w:tcW w:w="4508" w:type="dxa"/>
          </w:tcPr>
          <w:p w14:paraId="4E423612" w14:textId="7F1468AD" w:rsidR="001F1909" w:rsidRPr="00994058" w:rsidRDefault="001F1909" w:rsidP="001F1909">
            <w:pPr>
              <w:rPr>
                <w:b/>
                <w:bCs/>
                <w:sz w:val="32"/>
                <w:szCs w:val="32"/>
              </w:rPr>
            </w:pPr>
            <w:r w:rsidRPr="00994058">
              <w:rPr>
                <w:b/>
                <w:bCs/>
                <w:sz w:val="32"/>
                <w:szCs w:val="32"/>
              </w:rPr>
              <w:t>Year</w:t>
            </w:r>
          </w:p>
        </w:tc>
        <w:tc>
          <w:tcPr>
            <w:tcW w:w="4508" w:type="dxa"/>
          </w:tcPr>
          <w:p w14:paraId="5D21238F" w14:textId="5ECC97BF" w:rsidR="001F1909" w:rsidRPr="00994058" w:rsidRDefault="001F1909" w:rsidP="001F1909">
            <w:pPr>
              <w:rPr>
                <w:b/>
                <w:bCs/>
                <w:sz w:val="32"/>
                <w:szCs w:val="32"/>
              </w:rPr>
            </w:pPr>
            <w:r w:rsidRPr="00994058">
              <w:rPr>
                <w:b/>
                <w:bCs/>
                <w:sz w:val="32"/>
                <w:szCs w:val="32"/>
              </w:rPr>
              <w:t>Tier 1 Capital Ratio (%)</w:t>
            </w:r>
          </w:p>
        </w:tc>
      </w:tr>
      <w:tr w:rsidR="001F1909" w14:paraId="39E86050" w14:textId="77777777" w:rsidTr="001F1909">
        <w:tc>
          <w:tcPr>
            <w:tcW w:w="4508" w:type="dxa"/>
          </w:tcPr>
          <w:p w14:paraId="417FCBFC" w14:textId="07264907" w:rsidR="001F1909" w:rsidRDefault="001F1909" w:rsidP="001F1909">
            <w:pPr>
              <w:rPr>
                <w:sz w:val="32"/>
                <w:szCs w:val="32"/>
              </w:rPr>
            </w:pPr>
            <w:r w:rsidRPr="001F1909">
              <w:rPr>
                <w:sz w:val="32"/>
                <w:szCs w:val="32"/>
              </w:rPr>
              <w:t>2018</w:t>
            </w:r>
          </w:p>
        </w:tc>
        <w:tc>
          <w:tcPr>
            <w:tcW w:w="4508" w:type="dxa"/>
          </w:tcPr>
          <w:p w14:paraId="5EC1550B" w14:textId="453E7BD5" w:rsidR="001F1909" w:rsidRDefault="001F1909" w:rsidP="001F1909">
            <w:pPr>
              <w:rPr>
                <w:sz w:val="32"/>
                <w:szCs w:val="32"/>
              </w:rPr>
            </w:pPr>
            <w:r>
              <w:rPr>
                <w:sz w:val="32"/>
                <w:szCs w:val="32"/>
              </w:rPr>
              <w:t>12.0</w:t>
            </w:r>
          </w:p>
        </w:tc>
      </w:tr>
      <w:tr w:rsidR="001F1909" w14:paraId="44AA1E5C" w14:textId="77777777" w:rsidTr="001F1909">
        <w:tc>
          <w:tcPr>
            <w:tcW w:w="4508" w:type="dxa"/>
          </w:tcPr>
          <w:p w14:paraId="22C3A452" w14:textId="4E556A10" w:rsidR="001F1909" w:rsidRDefault="001F1909" w:rsidP="001F1909">
            <w:pPr>
              <w:rPr>
                <w:sz w:val="32"/>
                <w:szCs w:val="32"/>
              </w:rPr>
            </w:pPr>
            <w:r>
              <w:rPr>
                <w:sz w:val="32"/>
                <w:szCs w:val="32"/>
              </w:rPr>
              <w:t>2019</w:t>
            </w:r>
          </w:p>
        </w:tc>
        <w:tc>
          <w:tcPr>
            <w:tcW w:w="4508" w:type="dxa"/>
          </w:tcPr>
          <w:p w14:paraId="4683ADAA" w14:textId="494E9363" w:rsidR="001F1909" w:rsidRDefault="001F1909" w:rsidP="001F1909">
            <w:pPr>
              <w:rPr>
                <w:sz w:val="32"/>
                <w:szCs w:val="32"/>
              </w:rPr>
            </w:pPr>
            <w:r>
              <w:rPr>
                <w:sz w:val="32"/>
                <w:szCs w:val="32"/>
              </w:rPr>
              <w:t>12.5</w:t>
            </w:r>
          </w:p>
        </w:tc>
      </w:tr>
      <w:tr w:rsidR="001F1909" w14:paraId="1BCF1C11" w14:textId="77777777" w:rsidTr="001F1909">
        <w:tc>
          <w:tcPr>
            <w:tcW w:w="4508" w:type="dxa"/>
          </w:tcPr>
          <w:p w14:paraId="4D5B93D3" w14:textId="7DB299D0" w:rsidR="001F1909" w:rsidRDefault="001F1909" w:rsidP="001F1909">
            <w:pPr>
              <w:rPr>
                <w:sz w:val="32"/>
                <w:szCs w:val="32"/>
              </w:rPr>
            </w:pPr>
            <w:r>
              <w:rPr>
                <w:sz w:val="32"/>
                <w:szCs w:val="32"/>
              </w:rPr>
              <w:t>2020</w:t>
            </w:r>
          </w:p>
        </w:tc>
        <w:tc>
          <w:tcPr>
            <w:tcW w:w="4508" w:type="dxa"/>
          </w:tcPr>
          <w:p w14:paraId="4D42EEC7" w14:textId="4DDADCC6" w:rsidR="001F1909" w:rsidRDefault="001F1909" w:rsidP="001F1909">
            <w:pPr>
              <w:rPr>
                <w:sz w:val="32"/>
                <w:szCs w:val="32"/>
              </w:rPr>
            </w:pPr>
            <w:r>
              <w:rPr>
                <w:sz w:val="32"/>
                <w:szCs w:val="32"/>
              </w:rPr>
              <w:t>13.0</w:t>
            </w:r>
          </w:p>
        </w:tc>
      </w:tr>
      <w:tr w:rsidR="001F1909" w14:paraId="62C415D7" w14:textId="77777777" w:rsidTr="001F1909">
        <w:tc>
          <w:tcPr>
            <w:tcW w:w="4508" w:type="dxa"/>
          </w:tcPr>
          <w:p w14:paraId="73746E7F" w14:textId="4C964EBB" w:rsidR="001F1909" w:rsidRDefault="001F1909" w:rsidP="001F1909">
            <w:pPr>
              <w:rPr>
                <w:sz w:val="32"/>
                <w:szCs w:val="32"/>
              </w:rPr>
            </w:pPr>
            <w:r>
              <w:rPr>
                <w:sz w:val="32"/>
                <w:szCs w:val="32"/>
              </w:rPr>
              <w:t>2021</w:t>
            </w:r>
          </w:p>
        </w:tc>
        <w:tc>
          <w:tcPr>
            <w:tcW w:w="4508" w:type="dxa"/>
          </w:tcPr>
          <w:p w14:paraId="54BFF26D" w14:textId="0B95D12C" w:rsidR="001F1909" w:rsidRDefault="001F1909" w:rsidP="001F1909">
            <w:pPr>
              <w:rPr>
                <w:sz w:val="32"/>
                <w:szCs w:val="32"/>
              </w:rPr>
            </w:pPr>
            <w:r>
              <w:rPr>
                <w:sz w:val="32"/>
                <w:szCs w:val="32"/>
              </w:rPr>
              <w:t>13.2</w:t>
            </w:r>
          </w:p>
        </w:tc>
      </w:tr>
      <w:tr w:rsidR="001F1909" w14:paraId="10E2310F" w14:textId="77777777" w:rsidTr="001F1909">
        <w:tc>
          <w:tcPr>
            <w:tcW w:w="4508" w:type="dxa"/>
          </w:tcPr>
          <w:p w14:paraId="1786B592" w14:textId="4475C08F" w:rsidR="001F1909" w:rsidRDefault="001F1909" w:rsidP="001F1909">
            <w:pPr>
              <w:rPr>
                <w:sz w:val="32"/>
                <w:szCs w:val="32"/>
              </w:rPr>
            </w:pPr>
            <w:r>
              <w:rPr>
                <w:sz w:val="32"/>
                <w:szCs w:val="32"/>
              </w:rPr>
              <w:t>2022</w:t>
            </w:r>
          </w:p>
        </w:tc>
        <w:tc>
          <w:tcPr>
            <w:tcW w:w="4508" w:type="dxa"/>
          </w:tcPr>
          <w:p w14:paraId="25F05B10" w14:textId="7B64EDA5" w:rsidR="001F1909" w:rsidRDefault="001F1909" w:rsidP="001F1909">
            <w:pPr>
              <w:rPr>
                <w:sz w:val="32"/>
                <w:szCs w:val="32"/>
              </w:rPr>
            </w:pPr>
            <w:r>
              <w:rPr>
                <w:sz w:val="32"/>
                <w:szCs w:val="32"/>
              </w:rPr>
              <w:t>13.5</w:t>
            </w:r>
          </w:p>
        </w:tc>
      </w:tr>
      <w:tr w:rsidR="001F1909" w14:paraId="08F07CC6" w14:textId="77777777" w:rsidTr="001F1909">
        <w:tc>
          <w:tcPr>
            <w:tcW w:w="4508" w:type="dxa"/>
          </w:tcPr>
          <w:p w14:paraId="5080C16C" w14:textId="754F3897" w:rsidR="001F1909" w:rsidRDefault="001F1909" w:rsidP="001F1909">
            <w:pPr>
              <w:rPr>
                <w:sz w:val="32"/>
                <w:szCs w:val="32"/>
              </w:rPr>
            </w:pPr>
            <w:r>
              <w:rPr>
                <w:sz w:val="32"/>
                <w:szCs w:val="32"/>
              </w:rPr>
              <w:t>2023</w:t>
            </w:r>
          </w:p>
        </w:tc>
        <w:tc>
          <w:tcPr>
            <w:tcW w:w="4508" w:type="dxa"/>
          </w:tcPr>
          <w:p w14:paraId="7689362E" w14:textId="59A701AE" w:rsidR="001F1909" w:rsidRDefault="001F1909" w:rsidP="001F1909">
            <w:pPr>
              <w:rPr>
                <w:sz w:val="32"/>
                <w:szCs w:val="32"/>
              </w:rPr>
            </w:pPr>
            <w:r>
              <w:rPr>
                <w:sz w:val="32"/>
                <w:szCs w:val="32"/>
              </w:rPr>
              <w:t>13.8</w:t>
            </w:r>
          </w:p>
        </w:tc>
      </w:tr>
    </w:tbl>
    <w:p w14:paraId="706B4CB1" w14:textId="77777777" w:rsidR="001F1909" w:rsidRPr="001F1909" w:rsidRDefault="001F1909" w:rsidP="001F1909">
      <w:pPr>
        <w:rPr>
          <w:sz w:val="32"/>
          <w:szCs w:val="32"/>
        </w:rPr>
      </w:pPr>
    </w:p>
    <w:p w14:paraId="15018294" w14:textId="77777777" w:rsidR="00994058" w:rsidRDefault="00994058" w:rsidP="001F1909">
      <w:pPr>
        <w:rPr>
          <w:b/>
          <w:bCs/>
          <w:sz w:val="32"/>
          <w:szCs w:val="32"/>
        </w:rPr>
      </w:pPr>
    </w:p>
    <w:p w14:paraId="3BF7FAB7" w14:textId="77777777" w:rsidR="00994058" w:rsidRDefault="00994058" w:rsidP="001F1909">
      <w:pPr>
        <w:rPr>
          <w:b/>
          <w:bCs/>
          <w:sz w:val="32"/>
          <w:szCs w:val="32"/>
        </w:rPr>
      </w:pPr>
    </w:p>
    <w:p w14:paraId="5F6A0C19" w14:textId="75FB123F" w:rsidR="001F1909" w:rsidRPr="00994058" w:rsidRDefault="001F1909" w:rsidP="001F1909">
      <w:pPr>
        <w:rPr>
          <w:b/>
          <w:bCs/>
          <w:sz w:val="32"/>
          <w:szCs w:val="32"/>
        </w:rPr>
      </w:pPr>
      <w:r w:rsidRPr="00994058">
        <w:rPr>
          <w:b/>
          <w:bCs/>
          <w:sz w:val="32"/>
          <w:szCs w:val="32"/>
        </w:rPr>
        <w:lastRenderedPageBreak/>
        <w:t xml:space="preserve"> Leverage Ratio</w:t>
      </w:r>
    </w:p>
    <w:tbl>
      <w:tblPr>
        <w:tblStyle w:val="TableGrid"/>
        <w:tblpPr w:leftFromText="180" w:rightFromText="180" w:vertAnchor="text" w:horzAnchor="margin" w:tblpY="64"/>
        <w:tblW w:w="0" w:type="auto"/>
        <w:tblLook w:val="04A0" w:firstRow="1" w:lastRow="0" w:firstColumn="1" w:lastColumn="0" w:noHBand="0" w:noVBand="1"/>
      </w:tblPr>
      <w:tblGrid>
        <w:gridCol w:w="4508"/>
        <w:gridCol w:w="4508"/>
      </w:tblGrid>
      <w:tr w:rsidR="001F1909" w14:paraId="392B6761" w14:textId="77777777" w:rsidTr="005B52F0">
        <w:tc>
          <w:tcPr>
            <w:tcW w:w="4508" w:type="dxa"/>
          </w:tcPr>
          <w:p w14:paraId="4D4EE825" w14:textId="77777777" w:rsidR="001F1909" w:rsidRPr="00994058" w:rsidRDefault="001F1909" w:rsidP="005B52F0">
            <w:pPr>
              <w:rPr>
                <w:b/>
                <w:bCs/>
                <w:sz w:val="32"/>
                <w:szCs w:val="32"/>
              </w:rPr>
            </w:pPr>
            <w:r w:rsidRPr="00994058">
              <w:rPr>
                <w:b/>
                <w:bCs/>
                <w:sz w:val="32"/>
                <w:szCs w:val="32"/>
              </w:rPr>
              <w:t>Year</w:t>
            </w:r>
          </w:p>
        </w:tc>
        <w:tc>
          <w:tcPr>
            <w:tcW w:w="4508" w:type="dxa"/>
          </w:tcPr>
          <w:p w14:paraId="672CB512" w14:textId="2C15403D" w:rsidR="001F1909" w:rsidRPr="00994058" w:rsidRDefault="001F1909" w:rsidP="005B52F0">
            <w:pPr>
              <w:rPr>
                <w:b/>
                <w:bCs/>
                <w:sz w:val="32"/>
                <w:szCs w:val="32"/>
              </w:rPr>
            </w:pPr>
            <w:r w:rsidRPr="00994058">
              <w:rPr>
                <w:b/>
                <w:bCs/>
                <w:sz w:val="32"/>
                <w:szCs w:val="32"/>
              </w:rPr>
              <w:t>Leverage Ratio (%)</w:t>
            </w:r>
          </w:p>
        </w:tc>
      </w:tr>
      <w:tr w:rsidR="001F1909" w14:paraId="13DD3CDC" w14:textId="77777777" w:rsidTr="005B52F0">
        <w:tc>
          <w:tcPr>
            <w:tcW w:w="4508" w:type="dxa"/>
          </w:tcPr>
          <w:p w14:paraId="5129C709" w14:textId="77777777" w:rsidR="001F1909" w:rsidRDefault="001F1909" w:rsidP="005B52F0">
            <w:pPr>
              <w:rPr>
                <w:sz w:val="32"/>
                <w:szCs w:val="32"/>
              </w:rPr>
            </w:pPr>
            <w:r w:rsidRPr="001F1909">
              <w:rPr>
                <w:sz w:val="32"/>
                <w:szCs w:val="32"/>
              </w:rPr>
              <w:t>2018</w:t>
            </w:r>
          </w:p>
        </w:tc>
        <w:tc>
          <w:tcPr>
            <w:tcW w:w="4508" w:type="dxa"/>
          </w:tcPr>
          <w:p w14:paraId="4AC57318" w14:textId="15335BDD" w:rsidR="001F1909" w:rsidRDefault="001F1909" w:rsidP="005B52F0">
            <w:pPr>
              <w:rPr>
                <w:sz w:val="32"/>
                <w:szCs w:val="32"/>
              </w:rPr>
            </w:pPr>
            <w:r>
              <w:rPr>
                <w:sz w:val="32"/>
                <w:szCs w:val="32"/>
              </w:rPr>
              <w:t>6.5</w:t>
            </w:r>
          </w:p>
        </w:tc>
      </w:tr>
      <w:tr w:rsidR="001F1909" w14:paraId="4471DC51" w14:textId="77777777" w:rsidTr="005B52F0">
        <w:tc>
          <w:tcPr>
            <w:tcW w:w="4508" w:type="dxa"/>
          </w:tcPr>
          <w:p w14:paraId="29746EEF" w14:textId="77777777" w:rsidR="001F1909" w:rsidRDefault="001F1909" w:rsidP="005B52F0">
            <w:pPr>
              <w:rPr>
                <w:sz w:val="32"/>
                <w:szCs w:val="32"/>
              </w:rPr>
            </w:pPr>
            <w:r>
              <w:rPr>
                <w:sz w:val="32"/>
                <w:szCs w:val="32"/>
              </w:rPr>
              <w:t>2019</w:t>
            </w:r>
          </w:p>
        </w:tc>
        <w:tc>
          <w:tcPr>
            <w:tcW w:w="4508" w:type="dxa"/>
          </w:tcPr>
          <w:p w14:paraId="72D08456" w14:textId="04CB9F14" w:rsidR="001F1909" w:rsidRDefault="001F1909" w:rsidP="005B52F0">
            <w:pPr>
              <w:rPr>
                <w:sz w:val="32"/>
                <w:szCs w:val="32"/>
              </w:rPr>
            </w:pPr>
            <w:r>
              <w:rPr>
                <w:sz w:val="32"/>
                <w:szCs w:val="32"/>
              </w:rPr>
              <w:t>6.7</w:t>
            </w:r>
          </w:p>
        </w:tc>
      </w:tr>
      <w:tr w:rsidR="001F1909" w14:paraId="5E0DDE01" w14:textId="77777777" w:rsidTr="005B52F0">
        <w:tc>
          <w:tcPr>
            <w:tcW w:w="4508" w:type="dxa"/>
          </w:tcPr>
          <w:p w14:paraId="5F1DD9AE" w14:textId="77777777" w:rsidR="001F1909" w:rsidRDefault="001F1909" w:rsidP="005B52F0">
            <w:pPr>
              <w:rPr>
                <w:sz w:val="32"/>
                <w:szCs w:val="32"/>
              </w:rPr>
            </w:pPr>
            <w:r>
              <w:rPr>
                <w:sz w:val="32"/>
                <w:szCs w:val="32"/>
              </w:rPr>
              <w:t>2020</w:t>
            </w:r>
          </w:p>
        </w:tc>
        <w:tc>
          <w:tcPr>
            <w:tcW w:w="4508" w:type="dxa"/>
          </w:tcPr>
          <w:p w14:paraId="1734C247" w14:textId="0D22C87B" w:rsidR="001F1909" w:rsidRDefault="001F1909" w:rsidP="005B52F0">
            <w:pPr>
              <w:rPr>
                <w:sz w:val="32"/>
                <w:szCs w:val="32"/>
              </w:rPr>
            </w:pPr>
            <w:r>
              <w:rPr>
                <w:sz w:val="32"/>
                <w:szCs w:val="32"/>
              </w:rPr>
              <w:t>6.9</w:t>
            </w:r>
          </w:p>
        </w:tc>
      </w:tr>
      <w:tr w:rsidR="001F1909" w14:paraId="607C7C6B" w14:textId="77777777" w:rsidTr="005B52F0">
        <w:tc>
          <w:tcPr>
            <w:tcW w:w="4508" w:type="dxa"/>
          </w:tcPr>
          <w:p w14:paraId="550ABFC0" w14:textId="77777777" w:rsidR="001F1909" w:rsidRDefault="001F1909" w:rsidP="005B52F0">
            <w:pPr>
              <w:rPr>
                <w:sz w:val="32"/>
                <w:szCs w:val="32"/>
              </w:rPr>
            </w:pPr>
            <w:r>
              <w:rPr>
                <w:sz w:val="32"/>
                <w:szCs w:val="32"/>
              </w:rPr>
              <w:t>2021</w:t>
            </w:r>
          </w:p>
        </w:tc>
        <w:tc>
          <w:tcPr>
            <w:tcW w:w="4508" w:type="dxa"/>
          </w:tcPr>
          <w:p w14:paraId="186B1E77" w14:textId="47FC6B10" w:rsidR="001F1909" w:rsidRDefault="001F1909" w:rsidP="005B52F0">
            <w:pPr>
              <w:rPr>
                <w:sz w:val="32"/>
                <w:szCs w:val="32"/>
              </w:rPr>
            </w:pPr>
            <w:r>
              <w:rPr>
                <w:sz w:val="32"/>
                <w:szCs w:val="32"/>
              </w:rPr>
              <w:t>7.0</w:t>
            </w:r>
          </w:p>
        </w:tc>
      </w:tr>
      <w:tr w:rsidR="001F1909" w14:paraId="05D5223F" w14:textId="77777777" w:rsidTr="005B52F0">
        <w:tc>
          <w:tcPr>
            <w:tcW w:w="4508" w:type="dxa"/>
          </w:tcPr>
          <w:p w14:paraId="22BDEFC3" w14:textId="77777777" w:rsidR="001F1909" w:rsidRDefault="001F1909" w:rsidP="005B52F0">
            <w:pPr>
              <w:rPr>
                <w:sz w:val="32"/>
                <w:szCs w:val="32"/>
              </w:rPr>
            </w:pPr>
            <w:r>
              <w:rPr>
                <w:sz w:val="32"/>
                <w:szCs w:val="32"/>
              </w:rPr>
              <w:t>2022</w:t>
            </w:r>
          </w:p>
        </w:tc>
        <w:tc>
          <w:tcPr>
            <w:tcW w:w="4508" w:type="dxa"/>
          </w:tcPr>
          <w:p w14:paraId="6BA3CBFA" w14:textId="3690F300" w:rsidR="001F1909" w:rsidRDefault="001F1909" w:rsidP="005B52F0">
            <w:pPr>
              <w:rPr>
                <w:sz w:val="32"/>
                <w:szCs w:val="32"/>
              </w:rPr>
            </w:pPr>
            <w:r>
              <w:rPr>
                <w:sz w:val="32"/>
                <w:szCs w:val="32"/>
              </w:rPr>
              <w:t>7.2</w:t>
            </w:r>
          </w:p>
        </w:tc>
      </w:tr>
      <w:tr w:rsidR="001F1909" w14:paraId="5C11AE14" w14:textId="77777777" w:rsidTr="005B52F0">
        <w:tc>
          <w:tcPr>
            <w:tcW w:w="4508" w:type="dxa"/>
          </w:tcPr>
          <w:p w14:paraId="5C8F7811" w14:textId="77777777" w:rsidR="001F1909" w:rsidRDefault="001F1909" w:rsidP="005B52F0">
            <w:pPr>
              <w:rPr>
                <w:sz w:val="32"/>
                <w:szCs w:val="32"/>
              </w:rPr>
            </w:pPr>
            <w:r>
              <w:rPr>
                <w:sz w:val="32"/>
                <w:szCs w:val="32"/>
              </w:rPr>
              <w:t>2023</w:t>
            </w:r>
          </w:p>
        </w:tc>
        <w:tc>
          <w:tcPr>
            <w:tcW w:w="4508" w:type="dxa"/>
          </w:tcPr>
          <w:p w14:paraId="06FE1253" w14:textId="15B87486" w:rsidR="001F1909" w:rsidRDefault="001F1909" w:rsidP="005B52F0">
            <w:pPr>
              <w:rPr>
                <w:sz w:val="32"/>
                <w:szCs w:val="32"/>
              </w:rPr>
            </w:pPr>
            <w:r>
              <w:rPr>
                <w:sz w:val="32"/>
                <w:szCs w:val="32"/>
              </w:rPr>
              <w:t>7.4</w:t>
            </w:r>
          </w:p>
        </w:tc>
      </w:tr>
    </w:tbl>
    <w:p w14:paraId="4FA32FCB" w14:textId="77777777" w:rsidR="001F1909" w:rsidRPr="001F1909" w:rsidRDefault="001F1909" w:rsidP="001F1909">
      <w:pPr>
        <w:rPr>
          <w:sz w:val="32"/>
          <w:szCs w:val="32"/>
        </w:rPr>
      </w:pPr>
    </w:p>
    <w:p w14:paraId="426D5F54" w14:textId="6A658DED" w:rsidR="001F1909" w:rsidRPr="00994058" w:rsidRDefault="001F1909" w:rsidP="001F1909">
      <w:pPr>
        <w:rPr>
          <w:b/>
          <w:bCs/>
          <w:sz w:val="32"/>
          <w:szCs w:val="32"/>
        </w:rPr>
      </w:pPr>
      <w:r w:rsidRPr="00994058">
        <w:rPr>
          <w:b/>
          <w:bCs/>
          <w:sz w:val="32"/>
          <w:szCs w:val="32"/>
        </w:rPr>
        <w:t xml:space="preserve"> Liquidity Coverage Ratio (LCR)</w:t>
      </w:r>
    </w:p>
    <w:tbl>
      <w:tblPr>
        <w:tblStyle w:val="TableGrid"/>
        <w:tblpPr w:leftFromText="180" w:rightFromText="180" w:vertAnchor="text" w:horzAnchor="margin" w:tblpY="64"/>
        <w:tblW w:w="0" w:type="auto"/>
        <w:tblLook w:val="04A0" w:firstRow="1" w:lastRow="0" w:firstColumn="1" w:lastColumn="0" w:noHBand="0" w:noVBand="1"/>
      </w:tblPr>
      <w:tblGrid>
        <w:gridCol w:w="4508"/>
        <w:gridCol w:w="4508"/>
      </w:tblGrid>
      <w:tr w:rsidR="001F1909" w14:paraId="17E3C4BE" w14:textId="77777777" w:rsidTr="005B52F0">
        <w:tc>
          <w:tcPr>
            <w:tcW w:w="4508" w:type="dxa"/>
          </w:tcPr>
          <w:p w14:paraId="54AFCC65" w14:textId="77777777" w:rsidR="001F1909" w:rsidRPr="00994058" w:rsidRDefault="001F1909" w:rsidP="005B52F0">
            <w:pPr>
              <w:rPr>
                <w:b/>
                <w:bCs/>
                <w:sz w:val="32"/>
                <w:szCs w:val="32"/>
              </w:rPr>
            </w:pPr>
            <w:r w:rsidRPr="00994058">
              <w:rPr>
                <w:b/>
                <w:bCs/>
                <w:sz w:val="32"/>
                <w:szCs w:val="32"/>
              </w:rPr>
              <w:t>Year</w:t>
            </w:r>
          </w:p>
        </w:tc>
        <w:tc>
          <w:tcPr>
            <w:tcW w:w="4508" w:type="dxa"/>
          </w:tcPr>
          <w:p w14:paraId="77411C33" w14:textId="489B03A4" w:rsidR="001F1909" w:rsidRPr="00994058" w:rsidRDefault="001F1909" w:rsidP="005B52F0">
            <w:pPr>
              <w:rPr>
                <w:b/>
                <w:bCs/>
                <w:sz w:val="32"/>
                <w:szCs w:val="32"/>
              </w:rPr>
            </w:pPr>
            <w:r w:rsidRPr="00994058">
              <w:rPr>
                <w:b/>
                <w:bCs/>
                <w:sz w:val="32"/>
                <w:szCs w:val="32"/>
              </w:rPr>
              <w:t>LCR (%)</w:t>
            </w:r>
          </w:p>
        </w:tc>
      </w:tr>
      <w:tr w:rsidR="001F1909" w14:paraId="7567B0B3" w14:textId="77777777" w:rsidTr="005B52F0">
        <w:tc>
          <w:tcPr>
            <w:tcW w:w="4508" w:type="dxa"/>
          </w:tcPr>
          <w:p w14:paraId="17FF7C60" w14:textId="77777777" w:rsidR="001F1909" w:rsidRDefault="001F1909" w:rsidP="005B52F0">
            <w:pPr>
              <w:rPr>
                <w:sz w:val="32"/>
                <w:szCs w:val="32"/>
              </w:rPr>
            </w:pPr>
            <w:r w:rsidRPr="001F1909">
              <w:rPr>
                <w:sz w:val="32"/>
                <w:szCs w:val="32"/>
              </w:rPr>
              <w:t>2018</w:t>
            </w:r>
          </w:p>
        </w:tc>
        <w:tc>
          <w:tcPr>
            <w:tcW w:w="4508" w:type="dxa"/>
          </w:tcPr>
          <w:p w14:paraId="3F533010" w14:textId="3BF1F044" w:rsidR="001F1909" w:rsidRDefault="001F1909" w:rsidP="005B52F0">
            <w:pPr>
              <w:rPr>
                <w:sz w:val="32"/>
                <w:szCs w:val="32"/>
              </w:rPr>
            </w:pPr>
            <w:r>
              <w:rPr>
                <w:sz w:val="32"/>
                <w:szCs w:val="32"/>
              </w:rPr>
              <w:t>110</w:t>
            </w:r>
          </w:p>
        </w:tc>
      </w:tr>
      <w:tr w:rsidR="001F1909" w14:paraId="6B3F84B3" w14:textId="77777777" w:rsidTr="005B52F0">
        <w:tc>
          <w:tcPr>
            <w:tcW w:w="4508" w:type="dxa"/>
          </w:tcPr>
          <w:p w14:paraId="25F2A988" w14:textId="77777777" w:rsidR="001F1909" w:rsidRDefault="001F1909" w:rsidP="005B52F0">
            <w:pPr>
              <w:rPr>
                <w:sz w:val="32"/>
                <w:szCs w:val="32"/>
              </w:rPr>
            </w:pPr>
            <w:r>
              <w:rPr>
                <w:sz w:val="32"/>
                <w:szCs w:val="32"/>
              </w:rPr>
              <w:t>2019</w:t>
            </w:r>
          </w:p>
        </w:tc>
        <w:tc>
          <w:tcPr>
            <w:tcW w:w="4508" w:type="dxa"/>
          </w:tcPr>
          <w:p w14:paraId="695E8C76" w14:textId="4EF03010" w:rsidR="001F1909" w:rsidRDefault="001F1909" w:rsidP="005B52F0">
            <w:pPr>
              <w:rPr>
                <w:sz w:val="32"/>
                <w:szCs w:val="32"/>
              </w:rPr>
            </w:pPr>
            <w:r>
              <w:rPr>
                <w:sz w:val="32"/>
                <w:szCs w:val="32"/>
              </w:rPr>
              <w:t>115</w:t>
            </w:r>
          </w:p>
        </w:tc>
      </w:tr>
      <w:tr w:rsidR="001F1909" w14:paraId="729341A9" w14:textId="77777777" w:rsidTr="005B52F0">
        <w:tc>
          <w:tcPr>
            <w:tcW w:w="4508" w:type="dxa"/>
          </w:tcPr>
          <w:p w14:paraId="7ED2AE33" w14:textId="77777777" w:rsidR="001F1909" w:rsidRDefault="001F1909" w:rsidP="005B52F0">
            <w:pPr>
              <w:rPr>
                <w:sz w:val="32"/>
                <w:szCs w:val="32"/>
              </w:rPr>
            </w:pPr>
            <w:r>
              <w:rPr>
                <w:sz w:val="32"/>
                <w:szCs w:val="32"/>
              </w:rPr>
              <w:t>2020</w:t>
            </w:r>
          </w:p>
        </w:tc>
        <w:tc>
          <w:tcPr>
            <w:tcW w:w="4508" w:type="dxa"/>
          </w:tcPr>
          <w:p w14:paraId="7371DF5F" w14:textId="61C9A52B" w:rsidR="001F1909" w:rsidRDefault="001F1909" w:rsidP="005B52F0">
            <w:pPr>
              <w:rPr>
                <w:sz w:val="32"/>
                <w:szCs w:val="32"/>
              </w:rPr>
            </w:pPr>
            <w:r>
              <w:rPr>
                <w:sz w:val="32"/>
                <w:szCs w:val="32"/>
              </w:rPr>
              <w:t>120</w:t>
            </w:r>
          </w:p>
        </w:tc>
      </w:tr>
      <w:tr w:rsidR="001F1909" w14:paraId="78B2E134" w14:textId="77777777" w:rsidTr="005B52F0">
        <w:tc>
          <w:tcPr>
            <w:tcW w:w="4508" w:type="dxa"/>
          </w:tcPr>
          <w:p w14:paraId="164ADDDE" w14:textId="77777777" w:rsidR="001F1909" w:rsidRDefault="001F1909" w:rsidP="005B52F0">
            <w:pPr>
              <w:rPr>
                <w:sz w:val="32"/>
                <w:szCs w:val="32"/>
              </w:rPr>
            </w:pPr>
            <w:r>
              <w:rPr>
                <w:sz w:val="32"/>
                <w:szCs w:val="32"/>
              </w:rPr>
              <w:t>2021</w:t>
            </w:r>
          </w:p>
        </w:tc>
        <w:tc>
          <w:tcPr>
            <w:tcW w:w="4508" w:type="dxa"/>
          </w:tcPr>
          <w:p w14:paraId="512E4FA9" w14:textId="6BBFC395" w:rsidR="001F1909" w:rsidRDefault="001F1909" w:rsidP="005B52F0">
            <w:pPr>
              <w:rPr>
                <w:sz w:val="32"/>
                <w:szCs w:val="32"/>
              </w:rPr>
            </w:pPr>
            <w:r>
              <w:rPr>
                <w:sz w:val="32"/>
                <w:szCs w:val="32"/>
              </w:rPr>
              <w:t>125</w:t>
            </w:r>
          </w:p>
        </w:tc>
      </w:tr>
      <w:tr w:rsidR="001F1909" w14:paraId="3D316F48" w14:textId="77777777" w:rsidTr="005B52F0">
        <w:tc>
          <w:tcPr>
            <w:tcW w:w="4508" w:type="dxa"/>
          </w:tcPr>
          <w:p w14:paraId="01768DCB" w14:textId="77777777" w:rsidR="001F1909" w:rsidRDefault="001F1909" w:rsidP="005B52F0">
            <w:pPr>
              <w:rPr>
                <w:sz w:val="32"/>
                <w:szCs w:val="32"/>
              </w:rPr>
            </w:pPr>
            <w:r>
              <w:rPr>
                <w:sz w:val="32"/>
                <w:szCs w:val="32"/>
              </w:rPr>
              <w:t>2022</w:t>
            </w:r>
          </w:p>
        </w:tc>
        <w:tc>
          <w:tcPr>
            <w:tcW w:w="4508" w:type="dxa"/>
          </w:tcPr>
          <w:p w14:paraId="3C2A48A3" w14:textId="3EED8252" w:rsidR="001F1909" w:rsidRDefault="001F1909" w:rsidP="005B52F0">
            <w:pPr>
              <w:rPr>
                <w:sz w:val="32"/>
                <w:szCs w:val="32"/>
              </w:rPr>
            </w:pPr>
            <w:r>
              <w:rPr>
                <w:sz w:val="32"/>
                <w:szCs w:val="32"/>
              </w:rPr>
              <w:t>130</w:t>
            </w:r>
          </w:p>
        </w:tc>
      </w:tr>
      <w:tr w:rsidR="001F1909" w14:paraId="496B90C1" w14:textId="77777777" w:rsidTr="005B52F0">
        <w:tc>
          <w:tcPr>
            <w:tcW w:w="4508" w:type="dxa"/>
          </w:tcPr>
          <w:p w14:paraId="2C86E8D6" w14:textId="77777777" w:rsidR="001F1909" w:rsidRDefault="001F1909" w:rsidP="005B52F0">
            <w:pPr>
              <w:rPr>
                <w:sz w:val="32"/>
                <w:szCs w:val="32"/>
              </w:rPr>
            </w:pPr>
            <w:r>
              <w:rPr>
                <w:sz w:val="32"/>
                <w:szCs w:val="32"/>
              </w:rPr>
              <w:t>2023</w:t>
            </w:r>
          </w:p>
        </w:tc>
        <w:tc>
          <w:tcPr>
            <w:tcW w:w="4508" w:type="dxa"/>
          </w:tcPr>
          <w:p w14:paraId="4E9F1EC0" w14:textId="7088A638" w:rsidR="001F1909" w:rsidRDefault="001F1909" w:rsidP="005B52F0">
            <w:pPr>
              <w:rPr>
                <w:sz w:val="32"/>
                <w:szCs w:val="32"/>
              </w:rPr>
            </w:pPr>
            <w:r>
              <w:rPr>
                <w:sz w:val="32"/>
                <w:szCs w:val="32"/>
              </w:rPr>
              <w:t>135</w:t>
            </w:r>
          </w:p>
        </w:tc>
      </w:tr>
    </w:tbl>
    <w:p w14:paraId="384A8F24" w14:textId="77777777" w:rsidR="001F1909" w:rsidRPr="001F1909" w:rsidRDefault="001F1909" w:rsidP="001F1909">
      <w:pPr>
        <w:rPr>
          <w:sz w:val="32"/>
          <w:szCs w:val="32"/>
        </w:rPr>
      </w:pPr>
    </w:p>
    <w:p w14:paraId="1F62361E" w14:textId="55029FC7" w:rsidR="001F1909" w:rsidRPr="00994058" w:rsidRDefault="001F1909" w:rsidP="001F1909">
      <w:pPr>
        <w:rPr>
          <w:b/>
          <w:bCs/>
          <w:sz w:val="32"/>
          <w:szCs w:val="32"/>
        </w:rPr>
      </w:pPr>
      <w:r w:rsidRPr="00994058">
        <w:rPr>
          <w:b/>
          <w:bCs/>
          <w:sz w:val="32"/>
          <w:szCs w:val="32"/>
        </w:rPr>
        <w:t xml:space="preserve"> Net Stable Funding Ratio (NSFR)</w:t>
      </w:r>
    </w:p>
    <w:tbl>
      <w:tblPr>
        <w:tblStyle w:val="TableGrid"/>
        <w:tblpPr w:leftFromText="180" w:rightFromText="180" w:vertAnchor="text" w:horzAnchor="margin" w:tblpY="64"/>
        <w:tblW w:w="0" w:type="auto"/>
        <w:tblLook w:val="04A0" w:firstRow="1" w:lastRow="0" w:firstColumn="1" w:lastColumn="0" w:noHBand="0" w:noVBand="1"/>
      </w:tblPr>
      <w:tblGrid>
        <w:gridCol w:w="4508"/>
        <w:gridCol w:w="4508"/>
      </w:tblGrid>
      <w:tr w:rsidR="001F1909" w14:paraId="41DE610E" w14:textId="77777777" w:rsidTr="005B52F0">
        <w:tc>
          <w:tcPr>
            <w:tcW w:w="4508" w:type="dxa"/>
          </w:tcPr>
          <w:p w14:paraId="68883FA6" w14:textId="77777777" w:rsidR="001F1909" w:rsidRPr="00994058" w:rsidRDefault="001F1909" w:rsidP="005B52F0">
            <w:pPr>
              <w:rPr>
                <w:b/>
                <w:bCs/>
                <w:sz w:val="32"/>
                <w:szCs w:val="32"/>
              </w:rPr>
            </w:pPr>
            <w:r w:rsidRPr="00994058">
              <w:rPr>
                <w:b/>
                <w:bCs/>
                <w:sz w:val="32"/>
                <w:szCs w:val="32"/>
              </w:rPr>
              <w:t>Year</w:t>
            </w:r>
          </w:p>
        </w:tc>
        <w:tc>
          <w:tcPr>
            <w:tcW w:w="4508" w:type="dxa"/>
          </w:tcPr>
          <w:p w14:paraId="4DFEC528" w14:textId="2A0A12D5" w:rsidR="001F1909" w:rsidRPr="00994058" w:rsidRDefault="001F1909" w:rsidP="005B52F0">
            <w:pPr>
              <w:rPr>
                <w:b/>
                <w:bCs/>
                <w:sz w:val="32"/>
                <w:szCs w:val="32"/>
              </w:rPr>
            </w:pPr>
            <w:r w:rsidRPr="00994058">
              <w:rPr>
                <w:b/>
                <w:bCs/>
                <w:sz w:val="32"/>
                <w:szCs w:val="32"/>
              </w:rPr>
              <w:t>NSFR (%)</w:t>
            </w:r>
          </w:p>
        </w:tc>
      </w:tr>
      <w:tr w:rsidR="001F1909" w14:paraId="410DBBF3" w14:textId="77777777" w:rsidTr="005B52F0">
        <w:tc>
          <w:tcPr>
            <w:tcW w:w="4508" w:type="dxa"/>
          </w:tcPr>
          <w:p w14:paraId="0B3E218B" w14:textId="77777777" w:rsidR="001F1909" w:rsidRDefault="001F1909" w:rsidP="005B52F0">
            <w:pPr>
              <w:rPr>
                <w:sz w:val="32"/>
                <w:szCs w:val="32"/>
              </w:rPr>
            </w:pPr>
            <w:r w:rsidRPr="001F1909">
              <w:rPr>
                <w:sz w:val="32"/>
                <w:szCs w:val="32"/>
              </w:rPr>
              <w:t>2018</w:t>
            </w:r>
          </w:p>
        </w:tc>
        <w:tc>
          <w:tcPr>
            <w:tcW w:w="4508" w:type="dxa"/>
          </w:tcPr>
          <w:p w14:paraId="69998199" w14:textId="37E6A8FA" w:rsidR="001F1909" w:rsidRDefault="001F1909" w:rsidP="005B52F0">
            <w:pPr>
              <w:rPr>
                <w:sz w:val="32"/>
                <w:szCs w:val="32"/>
              </w:rPr>
            </w:pPr>
            <w:r>
              <w:rPr>
                <w:sz w:val="32"/>
                <w:szCs w:val="32"/>
              </w:rPr>
              <w:t>1</w:t>
            </w:r>
            <w:r>
              <w:rPr>
                <w:sz w:val="32"/>
                <w:szCs w:val="32"/>
              </w:rPr>
              <w:t>05</w:t>
            </w:r>
          </w:p>
        </w:tc>
      </w:tr>
      <w:tr w:rsidR="001F1909" w14:paraId="64843160" w14:textId="77777777" w:rsidTr="005B52F0">
        <w:tc>
          <w:tcPr>
            <w:tcW w:w="4508" w:type="dxa"/>
          </w:tcPr>
          <w:p w14:paraId="46F02C4C" w14:textId="77777777" w:rsidR="001F1909" w:rsidRDefault="001F1909" w:rsidP="005B52F0">
            <w:pPr>
              <w:rPr>
                <w:sz w:val="32"/>
                <w:szCs w:val="32"/>
              </w:rPr>
            </w:pPr>
            <w:r>
              <w:rPr>
                <w:sz w:val="32"/>
                <w:szCs w:val="32"/>
              </w:rPr>
              <w:t>2019</w:t>
            </w:r>
          </w:p>
        </w:tc>
        <w:tc>
          <w:tcPr>
            <w:tcW w:w="4508" w:type="dxa"/>
          </w:tcPr>
          <w:p w14:paraId="06E04358" w14:textId="7727C2D4" w:rsidR="001F1909" w:rsidRDefault="001F1909" w:rsidP="005B52F0">
            <w:pPr>
              <w:rPr>
                <w:sz w:val="32"/>
                <w:szCs w:val="32"/>
              </w:rPr>
            </w:pPr>
            <w:r>
              <w:rPr>
                <w:sz w:val="32"/>
                <w:szCs w:val="32"/>
              </w:rPr>
              <w:t>11</w:t>
            </w:r>
            <w:r>
              <w:rPr>
                <w:sz w:val="32"/>
                <w:szCs w:val="32"/>
              </w:rPr>
              <w:t>0</w:t>
            </w:r>
          </w:p>
        </w:tc>
      </w:tr>
      <w:tr w:rsidR="001F1909" w14:paraId="0F4F874C" w14:textId="77777777" w:rsidTr="005B52F0">
        <w:tc>
          <w:tcPr>
            <w:tcW w:w="4508" w:type="dxa"/>
          </w:tcPr>
          <w:p w14:paraId="3E6728BC" w14:textId="77777777" w:rsidR="001F1909" w:rsidRDefault="001F1909" w:rsidP="005B52F0">
            <w:pPr>
              <w:rPr>
                <w:sz w:val="32"/>
                <w:szCs w:val="32"/>
              </w:rPr>
            </w:pPr>
            <w:r>
              <w:rPr>
                <w:sz w:val="32"/>
                <w:szCs w:val="32"/>
              </w:rPr>
              <w:t>2020</w:t>
            </w:r>
          </w:p>
        </w:tc>
        <w:tc>
          <w:tcPr>
            <w:tcW w:w="4508" w:type="dxa"/>
          </w:tcPr>
          <w:p w14:paraId="16928D9D" w14:textId="39B33EAC" w:rsidR="001F1909" w:rsidRDefault="001F1909" w:rsidP="005B52F0">
            <w:pPr>
              <w:rPr>
                <w:sz w:val="32"/>
                <w:szCs w:val="32"/>
              </w:rPr>
            </w:pPr>
            <w:r>
              <w:rPr>
                <w:sz w:val="32"/>
                <w:szCs w:val="32"/>
              </w:rPr>
              <w:t>1</w:t>
            </w:r>
            <w:r>
              <w:rPr>
                <w:sz w:val="32"/>
                <w:szCs w:val="32"/>
              </w:rPr>
              <w:t>15</w:t>
            </w:r>
          </w:p>
        </w:tc>
      </w:tr>
      <w:tr w:rsidR="001F1909" w14:paraId="74A48AC3" w14:textId="77777777" w:rsidTr="005B52F0">
        <w:tc>
          <w:tcPr>
            <w:tcW w:w="4508" w:type="dxa"/>
          </w:tcPr>
          <w:p w14:paraId="7906181E" w14:textId="77777777" w:rsidR="001F1909" w:rsidRDefault="001F1909" w:rsidP="005B52F0">
            <w:pPr>
              <w:rPr>
                <w:sz w:val="32"/>
                <w:szCs w:val="32"/>
              </w:rPr>
            </w:pPr>
            <w:r>
              <w:rPr>
                <w:sz w:val="32"/>
                <w:szCs w:val="32"/>
              </w:rPr>
              <w:t>2021</w:t>
            </w:r>
          </w:p>
        </w:tc>
        <w:tc>
          <w:tcPr>
            <w:tcW w:w="4508" w:type="dxa"/>
          </w:tcPr>
          <w:p w14:paraId="79D828DC" w14:textId="18043418" w:rsidR="001F1909" w:rsidRDefault="001F1909" w:rsidP="005B52F0">
            <w:pPr>
              <w:rPr>
                <w:sz w:val="32"/>
                <w:szCs w:val="32"/>
              </w:rPr>
            </w:pPr>
            <w:r>
              <w:rPr>
                <w:sz w:val="32"/>
                <w:szCs w:val="32"/>
              </w:rPr>
              <w:t>12</w:t>
            </w:r>
            <w:r>
              <w:rPr>
                <w:sz w:val="32"/>
                <w:szCs w:val="32"/>
              </w:rPr>
              <w:t>0</w:t>
            </w:r>
          </w:p>
        </w:tc>
      </w:tr>
      <w:tr w:rsidR="001F1909" w14:paraId="7E7A82C7" w14:textId="77777777" w:rsidTr="005B52F0">
        <w:tc>
          <w:tcPr>
            <w:tcW w:w="4508" w:type="dxa"/>
          </w:tcPr>
          <w:p w14:paraId="676C4B01" w14:textId="77777777" w:rsidR="001F1909" w:rsidRDefault="001F1909" w:rsidP="005B52F0">
            <w:pPr>
              <w:rPr>
                <w:sz w:val="32"/>
                <w:szCs w:val="32"/>
              </w:rPr>
            </w:pPr>
            <w:r>
              <w:rPr>
                <w:sz w:val="32"/>
                <w:szCs w:val="32"/>
              </w:rPr>
              <w:t>2022</w:t>
            </w:r>
          </w:p>
        </w:tc>
        <w:tc>
          <w:tcPr>
            <w:tcW w:w="4508" w:type="dxa"/>
          </w:tcPr>
          <w:p w14:paraId="4086626B" w14:textId="0EFAA3CE" w:rsidR="001F1909" w:rsidRDefault="001F1909" w:rsidP="005B52F0">
            <w:pPr>
              <w:rPr>
                <w:sz w:val="32"/>
                <w:szCs w:val="32"/>
              </w:rPr>
            </w:pPr>
            <w:r>
              <w:rPr>
                <w:sz w:val="32"/>
                <w:szCs w:val="32"/>
              </w:rPr>
              <w:t>1</w:t>
            </w:r>
            <w:r>
              <w:rPr>
                <w:sz w:val="32"/>
                <w:szCs w:val="32"/>
              </w:rPr>
              <w:t>25</w:t>
            </w:r>
          </w:p>
        </w:tc>
      </w:tr>
      <w:tr w:rsidR="001F1909" w14:paraId="5D2A1B73" w14:textId="77777777" w:rsidTr="005B52F0">
        <w:tc>
          <w:tcPr>
            <w:tcW w:w="4508" w:type="dxa"/>
          </w:tcPr>
          <w:p w14:paraId="3CF7F950" w14:textId="77777777" w:rsidR="001F1909" w:rsidRDefault="001F1909" w:rsidP="005B52F0">
            <w:pPr>
              <w:rPr>
                <w:sz w:val="32"/>
                <w:szCs w:val="32"/>
              </w:rPr>
            </w:pPr>
            <w:r>
              <w:rPr>
                <w:sz w:val="32"/>
                <w:szCs w:val="32"/>
              </w:rPr>
              <w:t>2023</w:t>
            </w:r>
          </w:p>
        </w:tc>
        <w:tc>
          <w:tcPr>
            <w:tcW w:w="4508" w:type="dxa"/>
          </w:tcPr>
          <w:p w14:paraId="102456FF" w14:textId="5E65F4F4" w:rsidR="001F1909" w:rsidRDefault="001F1909" w:rsidP="005B52F0">
            <w:pPr>
              <w:rPr>
                <w:sz w:val="32"/>
                <w:szCs w:val="32"/>
              </w:rPr>
            </w:pPr>
            <w:r>
              <w:rPr>
                <w:sz w:val="32"/>
                <w:szCs w:val="32"/>
              </w:rPr>
              <w:t>13</w:t>
            </w:r>
            <w:r>
              <w:rPr>
                <w:sz w:val="32"/>
                <w:szCs w:val="32"/>
              </w:rPr>
              <w:t>0</w:t>
            </w:r>
          </w:p>
        </w:tc>
      </w:tr>
    </w:tbl>
    <w:p w14:paraId="04010158" w14:textId="77777777" w:rsidR="001F1909" w:rsidRPr="001F1909" w:rsidRDefault="001F1909" w:rsidP="001F1909">
      <w:pPr>
        <w:rPr>
          <w:sz w:val="32"/>
          <w:szCs w:val="32"/>
        </w:rPr>
      </w:pPr>
    </w:p>
    <w:p w14:paraId="2C992D48" w14:textId="77777777" w:rsidR="001F1909" w:rsidRDefault="001F1909" w:rsidP="001F1909">
      <w:pPr>
        <w:rPr>
          <w:sz w:val="32"/>
          <w:szCs w:val="32"/>
        </w:rPr>
      </w:pPr>
    </w:p>
    <w:p w14:paraId="1E23063B" w14:textId="77777777" w:rsidR="001F1909" w:rsidRDefault="001F1909" w:rsidP="001F1909">
      <w:pPr>
        <w:rPr>
          <w:sz w:val="32"/>
          <w:szCs w:val="32"/>
        </w:rPr>
      </w:pPr>
    </w:p>
    <w:p w14:paraId="26077651" w14:textId="77777777" w:rsidR="001F1909" w:rsidRDefault="001F1909" w:rsidP="001F1909">
      <w:pPr>
        <w:rPr>
          <w:sz w:val="32"/>
          <w:szCs w:val="32"/>
        </w:rPr>
      </w:pPr>
    </w:p>
    <w:p w14:paraId="359D4C82" w14:textId="40B2CA4B" w:rsidR="001F1909" w:rsidRDefault="001F1909" w:rsidP="001F1909">
      <w:pPr>
        <w:rPr>
          <w:sz w:val="32"/>
          <w:szCs w:val="32"/>
        </w:rPr>
      </w:pPr>
      <w:r w:rsidRPr="001F1909">
        <w:rPr>
          <w:sz w:val="32"/>
          <w:szCs w:val="32"/>
        </w:rPr>
        <w:lastRenderedPageBreak/>
        <w:t xml:space="preserve">Now, let's </w:t>
      </w:r>
      <w:r>
        <w:rPr>
          <w:sz w:val="32"/>
          <w:szCs w:val="32"/>
        </w:rPr>
        <w:t>Visualise</w:t>
      </w:r>
      <w:r w:rsidRPr="001F1909">
        <w:rPr>
          <w:sz w:val="32"/>
          <w:szCs w:val="32"/>
        </w:rPr>
        <w:t xml:space="preserve"> the</w:t>
      </w:r>
      <w:r>
        <w:rPr>
          <w:sz w:val="32"/>
          <w:szCs w:val="32"/>
        </w:rPr>
        <w:t>se data points in</w:t>
      </w:r>
      <w:r w:rsidRPr="001F1909">
        <w:rPr>
          <w:sz w:val="32"/>
          <w:szCs w:val="32"/>
        </w:rPr>
        <w:t xml:space="preserve"> graphs</w:t>
      </w:r>
      <w:r>
        <w:rPr>
          <w:sz w:val="32"/>
          <w:szCs w:val="32"/>
        </w:rPr>
        <w:t>.</w:t>
      </w:r>
    </w:p>
    <w:p w14:paraId="0B548F32" w14:textId="535A7BC4" w:rsidR="001F1909" w:rsidRPr="001F1909" w:rsidRDefault="001F1909" w:rsidP="001F1909">
      <w:pPr>
        <w:rPr>
          <w:sz w:val="32"/>
          <w:szCs w:val="32"/>
        </w:rPr>
      </w:pPr>
      <w:r>
        <w:rPr>
          <w:noProof/>
          <w:sz w:val="32"/>
          <w:szCs w:val="32"/>
        </w:rPr>
        <w:drawing>
          <wp:inline distT="0" distB="0" distL="0" distR="0" wp14:anchorId="0D05E253" wp14:editId="7CCBA68F">
            <wp:extent cx="5753218" cy="4097020"/>
            <wp:effectExtent l="0" t="0" r="0" b="0"/>
            <wp:docPr id="2005920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20263" cy="4144765"/>
                    </a:xfrm>
                    <a:prstGeom prst="rect">
                      <a:avLst/>
                    </a:prstGeom>
                    <a:noFill/>
                  </pic:spPr>
                </pic:pic>
              </a:graphicData>
            </a:graphic>
          </wp:inline>
        </w:drawing>
      </w:r>
    </w:p>
    <w:p w14:paraId="6E8CF243" w14:textId="77777777" w:rsidR="001F1909" w:rsidRPr="001F1909" w:rsidRDefault="001F1909" w:rsidP="001F1909">
      <w:pPr>
        <w:rPr>
          <w:sz w:val="32"/>
          <w:szCs w:val="32"/>
        </w:rPr>
      </w:pPr>
    </w:p>
    <w:p w14:paraId="3036E8C8" w14:textId="77777777" w:rsidR="001F1909" w:rsidRPr="001F1909" w:rsidRDefault="001F1909" w:rsidP="001F1909">
      <w:pPr>
        <w:rPr>
          <w:sz w:val="32"/>
          <w:szCs w:val="32"/>
        </w:rPr>
      </w:pPr>
      <w:r w:rsidRPr="001F1909">
        <w:rPr>
          <w:sz w:val="32"/>
          <w:szCs w:val="32"/>
        </w:rPr>
        <w:t>The graphs above illustrate the key metrics related to the Basel III implementation in the U.S. from 2018 to 2023:</w:t>
      </w:r>
    </w:p>
    <w:p w14:paraId="458CFE9F" w14:textId="77777777" w:rsidR="001F1909" w:rsidRPr="001F1909" w:rsidRDefault="001F1909" w:rsidP="001F1909">
      <w:pPr>
        <w:rPr>
          <w:sz w:val="32"/>
          <w:szCs w:val="32"/>
        </w:rPr>
      </w:pPr>
    </w:p>
    <w:p w14:paraId="4D10FBEB" w14:textId="4FB7DCD9" w:rsidR="001F1909" w:rsidRPr="001F1909" w:rsidRDefault="001F1909" w:rsidP="001F1909">
      <w:pPr>
        <w:rPr>
          <w:sz w:val="32"/>
          <w:szCs w:val="32"/>
        </w:rPr>
      </w:pPr>
      <w:r w:rsidRPr="00994058">
        <w:rPr>
          <w:b/>
          <w:bCs/>
          <w:sz w:val="32"/>
          <w:szCs w:val="32"/>
        </w:rPr>
        <w:t>1. Tier 1 Capital Ratio:</w:t>
      </w:r>
      <w:r w:rsidRPr="001F1909">
        <w:rPr>
          <w:sz w:val="32"/>
          <w:szCs w:val="32"/>
        </w:rPr>
        <w:t xml:space="preserve"> Shows a steady increase from 12.0% in 2018 to 13.8% in 2023, indicating strengthened capital adequacy.</w:t>
      </w:r>
    </w:p>
    <w:p w14:paraId="1F9D3E44" w14:textId="2F017E4C" w:rsidR="001F1909" w:rsidRPr="001F1909" w:rsidRDefault="001F1909" w:rsidP="001F1909">
      <w:pPr>
        <w:rPr>
          <w:sz w:val="32"/>
          <w:szCs w:val="32"/>
        </w:rPr>
      </w:pPr>
      <w:r w:rsidRPr="00994058">
        <w:rPr>
          <w:b/>
          <w:bCs/>
          <w:sz w:val="32"/>
          <w:szCs w:val="32"/>
        </w:rPr>
        <w:t>2. Leverage Ratio:</w:t>
      </w:r>
      <w:r w:rsidRPr="001F1909">
        <w:rPr>
          <w:sz w:val="32"/>
          <w:szCs w:val="32"/>
        </w:rPr>
        <w:t xml:space="preserve"> Gradually rising from 6.5% in 2018 to 7.4% in 2023, reflecting reduced leverage and enhanced stability.</w:t>
      </w:r>
    </w:p>
    <w:p w14:paraId="6E6A6CA6" w14:textId="0CDF0A79" w:rsidR="001F1909" w:rsidRPr="001F1909" w:rsidRDefault="001F1909" w:rsidP="001F1909">
      <w:pPr>
        <w:rPr>
          <w:sz w:val="32"/>
          <w:szCs w:val="32"/>
        </w:rPr>
      </w:pPr>
      <w:r w:rsidRPr="00994058">
        <w:rPr>
          <w:b/>
          <w:bCs/>
          <w:sz w:val="32"/>
          <w:szCs w:val="32"/>
        </w:rPr>
        <w:t>3. Liquidity Coverage Ratio (LCR):</w:t>
      </w:r>
      <w:r w:rsidRPr="001F1909">
        <w:rPr>
          <w:sz w:val="32"/>
          <w:szCs w:val="32"/>
        </w:rPr>
        <w:t xml:space="preserve"> Increasing from 110% in 2018 to 135% in 2023, suggesting improved short-term liquidity positions.</w:t>
      </w:r>
    </w:p>
    <w:p w14:paraId="03D7141E" w14:textId="47B7093C" w:rsidR="001F1909" w:rsidRPr="001F1909" w:rsidRDefault="001F1909" w:rsidP="001F1909">
      <w:pPr>
        <w:rPr>
          <w:sz w:val="32"/>
          <w:szCs w:val="32"/>
        </w:rPr>
      </w:pPr>
      <w:r w:rsidRPr="00994058">
        <w:rPr>
          <w:b/>
          <w:bCs/>
          <w:sz w:val="32"/>
          <w:szCs w:val="32"/>
        </w:rPr>
        <w:t>4. Net Stable Funding Ratio (NSFR):</w:t>
      </w:r>
      <w:r w:rsidRPr="001F1909">
        <w:rPr>
          <w:sz w:val="32"/>
          <w:szCs w:val="32"/>
        </w:rPr>
        <w:t xml:space="preserve"> Climbing from 105% in 2018 to 130% in 2023, highlighting better long-term funding stability.</w:t>
      </w:r>
    </w:p>
    <w:p w14:paraId="6D2B8775" w14:textId="77777777" w:rsidR="001F1909" w:rsidRPr="001F1909" w:rsidRDefault="001F1909" w:rsidP="001F1909">
      <w:pPr>
        <w:rPr>
          <w:sz w:val="32"/>
          <w:szCs w:val="32"/>
        </w:rPr>
      </w:pPr>
    </w:p>
    <w:p w14:paraId="15162A84" w14:textId="77777777" w:rsidR="001F1909" w:rsidRDefault="001F1909" w:rsidP="001F1909">
      <w:pPr>
        <w:rPr>
          <w:sz w:val="32"/>
          <w:szCs w:val="32"/>
        </w:rPr>
      </w:pPr>
      <w:r w:rsidRPr="001F1909">
        <w:rPr>
          <w:sz w:val="32"/>
          <w:szCs w:val="32"/>
        </w:rPr>
        <w:lastRenderedPageBreak/>
        <w:t>These trends demonstrate the positive impact of Basel III regulations on the stability and resilience of the U.S. banking system over the past five years.</w:t>
      </w:r>
    </w:p>
    <w:p w14:paraId="566A0488" w14:textId="77777777" w:rsidR="00994058" w:rsidRDefault="00994058" w:rsidP="001F1909">
      <w:pPr>
        <w:rPr>
          <w:sz w:val="32"/>
          <w:szCs w:val="32"/>
        </w:rPr>
      </w:pPr>
    </w:p>
    <w:p w14:paraId="0112DEEE" w14:textId="7393798C" w:rsidR="00994058" w:rsidRPr="00994058" w:rsidRDefault="00994058" w:rsidP="001F1909">
      <w:pPr>
        <w:rPr>
          <w:sz w:val="36"/>
          <w:szCs w:val="36"/>
        </w:rPr>
      </w:pPr>
      <w:proofErr w:type="gramStart"/>
      <w:r>
        <w:rPr>
          <w:b/>
          <w:bCs/>
          <w:sz w:val="36"/>
          <w:szCs w:val="36"/>
        </w:rPr>
        <w:t>CONCLUSION:-</w:t>
      </w:r>
      <w:proofErr w:type="gramEnd"/>
    </w:p>
    <w:p w14:paraId="582BA267" w14:textId="77777777" w:rsidR="00994058" w:rsidRPr="00994058" w:rsidRDefault="00994058" w:rsidP="00994058">
      <w:pPr>
        <w:rPr>
          <w:sz w:val="32"/>
          <w:szCs w:val="32"/>
        </w:rPr>
      </w:pPr>
      <w:r>
        <w:rPr>
          <w:sz w:val="32"/>
          <w:szCs w:val="32"/>
        </w:rPr>
        <w:tab/>
      </w:r>
      <w:r w:rsidRPr="00994058">
        <w:rPr>
          <w:sz w:val="32"/>
          <w:szCs w:val="32"/>
        </w:rPr>
        <w:t>Over the past five years, the implementation of Basel III regulations has significantly strengthened the U.S. banking system's stability and resilience. The Tier 1 Capital Ratio, a critical measure of bank capital adequacy, has steadily increased from 12.0% in 2018 to 13.8% in 2023, indicating that banks are better capitalized to absorb financial shocks. Similarly, the Leverage Ratio has risen from 6.5% to 7.4%, reducing the risk associated with excessive leverage and improving overall financial stability.</w:t>
      </w:r>
    </w:p>
    <w:p w14:paraId="1D0234CB" w14:textId="77777777" w:rsidR="00994058" w:rsidRPr="00994058" w:rsidRDefault="00994058" w:rsidP="00994058">
      <w:pPr>
        <w:rPr>
          <w:sz w:val="32"/>
          <w:szCs w:val="32"/>
        </w:rPr>
      </w:pPr>
    </w:p>
    <w:p w14:paraId="78B00E62" w14:textId="77777777" w:rsidR="00994058" w:rsidRPr="00994058" w:rsidRDefault="00994058" w:rsidP="00994058">
      <w:pPr>
        <w:rPr>
          <w:sz w:val="32"/>
          <w:szCs w:val="32"/>
        </w:rPr>
      </w:pPr>
      <w:r w:rsidRPr="00994058">
        <w:rPr>
          <w:sz w:val="32"/>
          <w:szCs w:val="32"/>
        </w:rPr>
        <w:t>The Liquidity Coverage Ratio (LCR), which ensures that banks maintain sufficient high-quality liquid assets to survive acute stress scenarios, has grown from 110% to 135%. This enhancement in liquidity positions ensures that banks can meet short-term obligations even in times of financial stress. Additionally, the Net Stable Funding Ratio (NSFR) has increased from 105% to 130%, underscoring a stronger long-term funding profile and reducing risks associated with funding mismatches.</w:t>
      </w:r>
    </w:p>
    <w:p w14:paraId="1524C01D" w14:textId="77777777" w:rsidR="00994058" w:rsidRPr="00994058" w:rsidRDefault="00994058" w:rsidP="00994058">
      <w:pPr>
        <w:rPr>
          <w:sz w:val="32"/>
          <w:szCs w:val="32"/>
        </w:rPr>
      </w:pPr>
    </w:p>
    <w:p w14:paraId="426DDDBF" w14:textId="3DEACB69" w:rsidR="001F1909" w:rsidRPr="001F1909" w:rsidRDefault="00994058" w:rsidP="00994058">
      <w:pPr>
        <w:rPr>
          <w:sz w:val="32"/>
          <w:szCs w:val="32"/>
        </w:rPr>
      </w:pPr>
      <w:r w:rsidRPr="00994058">
        <w:rPr>
          <w:sz w:val="32"/>
          <w:szCs w:val="32"/>
        </w:rPr>
        <w:t>These improvements collectively illustrate the positive impact of Basel III on enhancing the robustness of the U.S. banking sector. By bolstering capital requirements, reducing leverage, and ensuring better liquidity management, Basel III regulations have contributed to a more secure and resilient financial system, better equipped to handle future economic uncertainties.</w:t>
      </w:r>
    </w:p>
    <w:sectPr w:rsidR="001F1909" w:rsidRPr="001F1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09"/>
    <w:rsid w:val="001F1909"/>
    <w:rsid w:val="004022D4"/>
    <w:rsid w:val="0052122A"/>
    <w:rsid w:val="00977971"/>
    <w:rsid w:val="00994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295F"/>
  <w15:chartTrackingRefBased/>
  <w15:docId w15:val="{6B0ED57B-D765-4254-95C0-4029C391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1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2024-06-13T04:50:00Z</dcterms:created>
  <dcterms:modified xsi:type="dcterms:W3CDTF">2024-06-13T05:16:00Z</dcterms:modified>
</cp:coreProperties>
</file>