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591EC" w14:textId="40328D55" w:rsidR="004022D4" w:rsidRDefault="003D1D29" w:rsidP="003D1D29">
      <w:pPr>
        <w:jc w:val="center"/>
        <w:rPr>
          <w:b/>
          <w:bCs/>
          <w:sz w:val="40"/>
          <w:szCs w:val="40"/>
          <w:u w:val="double"/>
        </w:rPr>
      </w:pPr>
      <w:r w:rsidRPr="003D1D29">
        <w:rPr>
          <w:b/>
          <w:bCs/>
          <w:sz w:val="40"/>
          <w:szCs w:val="40"/>
          <w:u w:val="double"/>
        </w:rPr>
        <w:t>Dodd-Frank Wall Street Reform and Consumer Protection Act</w:t>
      </w:r>
    </w:p>
    <w:p w14:paraId="5140FE49" w14:textId="31BF01F8" w:rsidR="003D1D29" w:rsidRDefault="003D1D29" w:rsidP="003D1D29">
      <w:pPr>
        <w:rPr>
          <w:b/>
          <w:bCs/>
          <w:sz w:val="36"/>
          <w:szCs w:val="36"/>
        </w:rPr>
      </w:pPr>
      <w:proofErr w:type="gramStart"/>
      <w:r>
        <w:rPr>
          <w:b/>
          <w:bCs/>
          <w:sz w:val="36"/>
          <w:szCs w:val="36"/>
        </w:rPr>
        <w:t>INTRODUCTION:-</w:t>
      </w:r>
      <w:proofErr w:type="gramEnd"/>
    </w:p>
    <w:p w14:paraId="125BEBEC" w14:textId="77777777" w:rsidR="003D1D29" w:rsidRPr="003D1D29" w:rsidRDefault="003D1D29" w:rsidP="003D1D29">
      <w:pPr>
        <w:rPr>
          <w:rFonts w:cstheme="minorHAnsi"/>
          <w:sz w:val="28"/>
          <w:szCs w:val="28"/>
        </w:rPr>
      </w:pPr>
      <w:r>
        <w:rPr>
          <w:b/>
          <w:bCs/>
          <w:sz w:val="36"/>
          <w:szCs w:val="36"/>
        </w:rPr>
        <w:tab/>
      </w:r>
      <w:r w:rsidRPr="003D1D29">
        <w:rPr>
          <w:rFonts w:cstheme="minorHAnsi"/>
          <w:sz w:val="28"/>
          <w:szCs w:val="28"/>
        </w:rPr>
        <w:t>The Dodd-Frank Wall Street Reform and Consumer Protection Act, commonly referred to as Dodd-Frank, was signed into law on July 21, 2010, in response to the financial crisis of 2007-2008. The Act brought significant changes to financial regulation and aimed to reduce risks in the financial system. Here are some key aspects and data related to Dodd-Frank over the past five years:</w:t>
      </w:r>
    </w:p>
    <w:p w14:paraId="6B767CA5" w14:textId="77777777" w:rsidR="003D1D29" w:rsidRPr="003D1D29" w:rsidRDefault="003D1D29" w:rsidP="003D1D29">
      <w:pPr>
        <w:rPr>
          <w:rFonts w:cstheme="minorHAnsi"/>
          <w:sz w:val="28"/>
          <w:szCs w:val="28"/>
        </w:rPr>
      </w:pPr>
    </w:p>
    <w:p w14:paraId="3B98C3D2" w14:textId="4DF5C6DA" w:rsidR="003D1D29" w:rsidRPr="003D1D29" w:rsidRDefault="003D1D29" w:rsidP="003D1D29">
      <w:pPr>
        <w:rPr>
          <w:rFonts w:cstheme="minorHAnsi"/>
          <w:b/>
          <w:bCs/>
          <w:sz w:val="32"/>
          <w:szCs w:val="32"/>
        </w:rPr>
      </w:pPr>
      <w:r w:rsidRPr="003D1D29">
        <w:rPr>
          <w:rFonts w:cstheme="minorHAnsi"/>
          <w:b/>
          <w:bCs/>
          <w:sz w:val="32"/>
          <w:szCs w:val="32"/>
        </w:rPr>
        <w:t xml:space="preserve"> Key Provisions of Dodd-Frank</w:t>
      </w:r>
    </w:p>
    <w:p w14:paraId="6E9D2F1F" w14:textId="22DA4B25" w:rsidR="003D1D29" w:rsidRPr="003D1D29" w:rsidRDefault="003D1D29" w:rsidP="003D1D29">
      <w:pPr>
        <w:rPr>
          <w:rFonts w:cstheme="minorHAnsi"/>
          <w:sz w:val="28"/>
          <w:szCs w:val="28"/>
        </w:rPr>
      </w:pPr>
      <w:r w:rsidRPr="00F90BF9">
        <w:rPr>
          <w:rFonts w:cstheme="minorHAnsi"/>
          <w:b/>
          <w:bCs/>
          <w:sz w:val="28"/>
          <w:szCs w:val="28"/>
        </w:rPr>
        <w:t>1. Consumer Financial Protection Bureau (CFPB):</w:t>
      </w:r>
      <w:r w:rsidRPr="003D1D29">
        <w:rPr>
          <w:rFonts w:cstheme="minorHAnsi"/>
          <w:sz w:val="28"/>
          <w:szCs w:val="28"/>
        </w:rPr>
        <w:t xml:space="preserve"> Created to oversee financial products and services offered to consumers.</w:t>
      </w:r>
    </w:p>
    <w:p w14:paraId="1F259E51" w14:textId="26297F9C" w:rsidR="003D1D29" w:rsidRPr="003D1D29" w:rsidRDefault="003D1D29" w:rsidP="003D1D29">
      <w:pPr>
        <w:rPr>
          <w:rFonts w:cstheme="minorHAnsi"/>
          <w:sz w:val="28"/>
          <w:szCs w:val="28"/>
        </w:rPr>
      </w:pPr>
      <w:r w:rsidRPr="00F90BF9">
        <w:rPr>
          <w:rFonts w:cstheme="minorHAnsi"/>
          <w:b/>
          <w:bCs/>
          <w:sz w:val="28"/>
          <w:szCs w:val="28"/>
        </w:rPr>
        <w:t>2. Volcker Rule:</w:t>
      </w:r>
      <w:r w:rsidRPr="003D1D29">
        <w:rPr>
          <w:rFonts w:cstheme="minorHAnsi"/>
          <w:sz w:val="28"/>
          <w:szCs w:val="28"/>
        </w:rPr>
        <w:t xml:space="preserve"> Limits banks' ability to engage in proprietary trading and restricts their investments in hedge funds and private equity.</w:t>
      </w:r>
    </w:p>
    <w:p w14:paraId="01374C31" w14:textId="2D077845" w:rsidR="003D1D29" w:rsidRPr="003D1D29" w:rsidRDefault="003D1D29" w:rsidP="003D1D29">
      <w:pPr>
        <w:rPr>
          <w:rFonts w:cstheme="minorHAnsi"/>
          <w:sz w:val="28"/>
          <w:szCs w:val="28"/>
        </w:rPr>
      </w:pPr>
      <w:r w:rsidRPr="00F90BF9">
        <w:rPr>
          <w:rFonts w:cstheme="minorHAnsi"/>
          <w:b/>
          <w:bCs/>
          <w:sz w:val="28"/>
          <w:szCs w:val="28"/>
        </w:rPr>
        <w:t>3. Financial Stability Oversight Council (FSOC):</w:t>
      </w:r>
      <w:r w:rsidRPr="003D1D29">
        <w:rPr>
          <w:rFonts w:cstheme="minorHAnsi"/>
          <w:sz w:val="28"/>
          <w:szCs w:val="28"/>
        </w:rPr>
        <w:t xml:space="preserve"> Identifies and monitors systemic risks to the financial system.</w:t>
      </w:r>
    </w:p>
    <w:p w14:paraId="4172A135" w14:textId="493A0913" w:rsidR="003D1D29" w:rsidRPr="003D1D29" w:rsidRDefault="003D1D29" w:rsidP="003D1D29">
      <w:pPr>
        <w:rPr>
          <w:rFonts w:cstheme="minorHAnsi"/>
          <w:sz w:val="28"/>
          <w:szCs w:val="28"/>
        </w:rPr>
      </w:pPr>
      <w:r w:rsidRPr="00F90BF9">
        <w:rPr>
          <w:rFonts w:cstheme="minorHAnsi"/>
          <w:b/>
          <w:bCs/>
          <w:sz w:val="28"/>
          <w:szCs w:val="28"/>
        </w:rPr>
        <w:t>4. Orderly Liquidation Authority:</w:t>
      </w:r>
      <w:r w:rsidRPr="003D1D29">
        <w:rPr>
          <w:rFonts w:cstheme="minorHAnsi"/>
          <w:sz w:val="28"/>
          <w:szCs w:val="28"/>
        </w:rPr>
        <w:t xml:space="preserve"> Provides a process for liquidating large, failing financial institutions.</w:t>
      </w:r>
    </w:p>
    <w:p w14:paraId="659F4AF0" w14:textId="53CC76B1" w:rsidR="003D1D29" w:rsidRPr="003D1D29" w:rsidRDefault="003D1D29" w:rsidP="003D1D29">
      <w:pPr>
        <w:rPr>
          <w:rFonts w:cstheme="minorHAnsi"/>
          <w:sz w:val="28"/>
          <w:szCs w:val="28"/>
        </w:rPr>
      </w:pPr>
      <w:r w:rsidRPr="00F90BF9">
        <w:rPr>
          <w:rFonts w:cstheme="minorHAnsi"/>
          <w:b/>
          <w:bCs/>
          <w:sz w:val="28"/>
          <w:szCs w:val="28"/>
        </w:rPr>
        <w:t>5. Derivatives Regulation:</w:t>
      </w:r>
      <w:r w:rsidRPr="003D1D29">
        <w:rPr>
          <w:rFonts w:cstheme="minorHAnsi"/>
          <w:sz w:val="28"/>
          <w:szCs w:val="28"/>
        </w:rPr>
        <w:t xml:space="preserve"> Requires most derivatives to be traded on exchanges and cleared through clearinghouses.</w:t>
      </w:r>
    </w:p>
    <w:p w14:paraId="2B0AD8F1" w14:textId="77777777" w:rsidR="003D1D29" w:rsidRPr="003D1D29" w:rsidRDefault="003D1D29" w:rsidP="003D1D29">
      <w:pPr>
        <w:rPr>
          <w:rFonts w:cstheme="minorHAnsi"/>
          <w:sz w:val="28"/>
          <w:szCs w:val="28"/>
        </w:rPr>
      </w:pPr>
    </w:p>
    <w:p w14:paraId="5A3163C6" w14:textId="6386F00E" w:rsidR="003D1D29" w:rsidRPr="003D1D29" w:rsidRDefault="003D1D29" w:rsidP="003D1D29">
      <w:pPr>
        <w:rPr>
          <w:rFonts w:cstheme="minorHAnsi"/>
          <w:b/>
          <w:bCs/>
          <w:sz w:val="32"/>
          <w:szCs w:val="32"/>
        </w:rPr>
      </w:pPr>
      <w:r w:rsidRPr="003D1D29">
        <w:rPr>
          <w:rFonts w:cstheme="minorHAnsi"/>
          <w:b/>
          <w:bCs/>
          <w:sz w:val="32"/>
          <w:szCs w:val="32"/>
        </w:rPr>
        <w:t xml:space="preserve"> Recent Developments (Past Five Years)</w:t>
      </w:r>
    </w:p>
    <w:p w14:paraId="33CD950C" w14:textId="1C4ED9D6" w:rsidR="003D1D29" w:rsidRPr="003D1D29" w:rsidRDefault="003D1D29" w:rsidP="003D1D29">
      <w:pPr>
        <w:rPr>
          <w:rFonts w:cstheme="minorHAnsi"/>
          <w:sz w:val="28"/>
          <w:szCs w:val="28"/>
        </w:rPr>
      </w:pPr>
      <w:r w:rsidRPr="00F90BF9">
        <w:rPr>
          <w:rFonts w:cstheme="minorHAnsi"/>
          <w:b/>
          <w:bCs/>
          <w:sz w:val="28"/>
          <w:szCs w:val="28"/>
        </w:rPr>
        <w:t>1. Regulatory Rollbacks:</w:t>
      </w:r>
      <w:r w:rsidRPr="003D1D29">
        <w:rPr>
          <w:rFonts w:cstheme="minorHAnsi"/>
          <w:sz w:val="28"/>
          <w:szCs w:val="28"/>
        </w:rPr>
        <w:t xml:space="preserve"> There have been efforts to roll back some provisions of Dodd-Frank, particularly under the Trump administration. The Economic Growth, Regulatory Relief, and Consumer Protection Act (2018) eased some of the regulations for smaller banks.</w:t>
      </w:r>
    </w:p>
    <w:p w14:paraId="70DBB956" w14:textId="769D290C" w:rsidR="003D1D29" w:rsidRPr="003D1D29" w:rsidRDefault="003D1D29" w:rsidP="003D1D29">
      <w:pPr>
        <w:rPr>
          <w:rFonts w:cstheme="minorHAnsi"/>
          <w:sz w:val="28"/>
          <w:szCs w:val="28"/>
        </w:rPr>
      </w:pPr>
      <w:r w:rsidRPr="00F90BF9">
        <w:rPr>
          <w:rFonts w:cstheme="minorHAnsi"/>
          <w:b/>
          <w:bCs/>
          <w:sz w:val="28"/>
          <w:szCs w:val="28"/>
        </w:rPr>
        <w:t>2. CFPB Activity:</w:t>
      </w:r>
      <w:r w:rsidRPr="003D1D29">
        <w:rPr>
          <w:rFonts w:cstheme="minorHAnsi"/>
          <w:sz w:val="28"/>
          <w:szCs w:val="28"/>
        </w:rPr>
        <w:t xml:space="preserve"> The CFPB has remained active in enforcement and rulemaking, though its priorities and methods have shifted with changes in administration.</w:t>
      </w:r>
    </w:p>
    <w:p w14:paraId="3861F920" w14:textId="60947D25" w:rsidR="003D1D29" w:rsidRPr="003D1D29" w:rsidRDefault="003D1D29" w:rsidP="003D1D29">
      <w:pPr>
        <w:rPr>
          <w:rFonts w:cstheme="minorHAnsi"/>
          <w:sz w:val="28"/>
          <w:szCs w:val="28"/>
        </w:rPr>
      </w:pPr>
      <w:r w:rsidRPr="00F90BF9">
        <w:rPr>
          <w:rFonts w:cstheme="minorHAnsi"/>
          <w:b/>
          <w:bCs/>
          <w:sz w:val="28"/>
          <w:szCs w:val="28"/>
        </w:rPr>
        <w:lastRenderedPageBreak/>
        <w:t>3. Volcker Rule Adjustments</w:t>
      </w:r>
      <w:r w:rsidRPr="003D1D29">
        <w:rPr>
          <w:rFonts w:cstheme="minorHAnsi"/>
          <w:sz w:val="28"/>
          <w:szCs w:val="28"/>
        </w:rPr>
        <w:t>: There have been revisions to the Volcker Rule to simplify compliance and reduce regulatory burden.</w:t>
      </w:r>
    </w:p>
    <w:p w14:paraId="219F1539" w14:textId="77777777" w:rsidR="003D1D29" w:rsidRPr="003D1D29" w:rsidRDefault="003D1D29" w:rsidP="003D1D29">
      <w:pPr>
        <w:rPr>
          <w:rFonts w:cstheme="minorHAnsi"/>
          <w:sz w:val="28"/>
          <w:szCs w:val="28"/>
        </w:rPr>
      </w:pPr>
    </w:p>
    <w:p w14:paraId="6EFDE1F4" w14:textId="4AB43163" w:rsidR="003D1D29" w:rsidRPr="003D1D29" w:rsidRDefault="003D1D29" w:rsidP="003D1D29">
      <w:pPr>
        <w:rPr>
          <w:rFonts w:cstheme="minorHAnsi"/>
          <w:b/>
          <w:bCs/>
          <w:sz w:val="32"/>
          <w:szCs w:val="32"/>
        </w:rPr>
      </w:pPr>
      <w:r w:rsidRPr="003D1D29">
        <w:rPr>
          <w:rFonts w:cstheme="minorHAnsi"/>
          <w:b/>
          <w:bCs/>
          <w:sz w:val="32"/>
          <w:szCs w:val="32"/>
        </w:rPr>
        <w:t xml:space="preserve"> Data and Trends (2018-2023)</w:t>
      </w:r>
    </w:p>
    <w:p w14:paraId="1CD23AF7" w14:textId="66CB2D7C" w:rsidR="003D1D29" w:rsidRPr="003D1D29" w:rsidRDefault="003D1D29" w:rsidP="003D1D29">
      <w:pPr>
        <w:rPr>
          <w:rFonts w:cstheme="minorHAnsi"/>
          <w:sz w:val="28"/>
          <w:szCs w:val="28"/>
        </w:rPr>
      </w:pPr>
      <w:r w:rsidRPr="00F90BF9">
        <w:rPr>
          <w:rFonts w:cstheme="minorHAnsi"/>
          <w:b/>
          <w:bCs/>
          <w:sz w:val="28"/>
          <w:szCs w:val="28"/>
        </w:rPr>
        <w:t>1. Bank Performance and Stability</w:t>
      </w:r>
      <w:r w:rsidRPr="003D1D29">
        <w:rPr>
          <w:rFonts w:cstheme="minorHAnsi"/>
          <w:sz w:val="28"/>
          <w:szCs w:val="28"/>
        </w:rPr>
        <w:t>: One of the goals of Dodd-Frank was to enhance the stability of the financial system. Bank performance metrics such as capital ratios, non-performing loans, and profitability can provide insights into its impact.</w:t>
      </w:r>
    </w:p>
    <w:p w14:paraId="482CC9CE" w14:textId="77777777" w:rsidR="003D1D29" w:rsidRPr="003D1D29" w:rsidRDefault="003D1D29" w:rsidP="003D1D29">
      <w:pPr>
        <w:rPr>
          <w:rFonts w:cstheme="minorHAnsi"/>
          <w:sz w:val="28"/>
          <w:szCs w:val="28"/>
        </w:rPr>
      </w:pPr>
    </w:p>
    <w:p w14:paraId="7946C6E3" w14:textId="6D4A8BFB" w:rsidR="003D1D29" w:rsidRPr="003D1D29" w:rsidRDefault="003D1D29" w:rsidP="003D1D29">
      <w:pPr>
        <w:rPr>
          <w:rFonts w:cstheme="minorHAnsi"/>
          <w:sz w:val="28"/>
          <w:szCs w:val="28"/>
        </w:rPr>
      </w:pPr>
      <w:r w:rsidRPr="00F90BF9">
        <w:rPr>
          <w:rFonts w:cstheme="minorHAnsi"/>
          <w:b/>
          <w:bCs/>
          <w:sz w:val="28"/>
          <w:szCs w:val="28"/>
        </w:rPr>
        <w:t>2. Consumer Protection Metrics</w:t>
      </w:r>
      <w:r w:rsidRPr="003D1D29">
        <w:rPr>
          <w:rFonts w:cstheme="minorHAnsi"/>
          <w:sz w:val="28"/>
          <w:szCs w:val="28"/>
        </w:rPr>
        <w:t>: Data on consumer complaints, enforcement actions, and financial literacy initiatives by the CFPB can shed light on the effectiveness of consumer protection measures.</w:t>
      </w:r>
    </w:p>
    <w:p w14:paraId="2B48F79D" w14:textId="77777777" w:rsidR="003D1D29" w:rsidRPr="003D1D29" w:rsidRDefault="003D1D29" w:rsidP="003D1D29">
      <w:pPr>
        <w:rPr>
          <w:rFonts w:cstheme="minorHAnsi"/>
          <w:sz w:val="28"/>
          <w:szCs w:val="28"/>
        </w:rPr>
      </w:pPr>
    </w:p>
    <w:p w14:paraId="29501356" w14:textId="0C043E60" w:rsidR="003D1D29" w:rsidRPr="003D1D29" w:rsidRDefault="003D1D29" w:rsidP="003D1D29">
      <w:pPr>
        <w:rPr>
          <w:rFonts w:cstheme="minorHAnsi"/>
          <w:sz w:val="28"/>
          <w:szCs w:val="28"/>
        </w:rPr>
      </w:pPr>
      <w:r w:rsidRPr="00F90BF9">
        <w:rPr>
          <w:rFonts w:cstheme="minorHAnsi"/>
          <w:b/>
          <w:bCs/>
          <w:sz w:val="28"/>
          <w:szCs w:val="28"/>
        </w:rPr>
        <w:t>3. Systemic Risk Indicators:</w:t>
      </w:r>
      <w:r w:rsidRPr="003D1D29">
        <w:rPr>
          <w:rFonts w:cstheme="minorHAnsi"/>
          <w:sz w:val="28"/>
          <w:szCs w:val="28"/>
        </w:rPr>
        <w:t xml:space="preserve"> Measures such as the size and interconnectedness of financial institutions, stress test results, and systemic risk assessments by the FSOC are critical for understanding systemic risk trends.</w:t>
      </w:r>
    </w:p>
    <w:p w14:paraId="000280CB" w14:textId="77777777" w:rsidR="003D1D29" w:rsidRPr="003D1D29" w:rsidRDefault="003D1D29" w:rsidP="003D1D29">
      <w:pPr>
        <w:rPr>
          <w:rFonts w:cstheme="minorHAnsi"/>
          <w:sz w:val="28"/>
          <w:szCs w:val="28"/>
        </w:rPr>
      </w:pPr>
    </w:p>
    <w:p w14:paraId="14EEA9D1" w14:textId="77777777" w:rsidR="00F90BF9" w:rsidRDefault="00F90BF9" w:rsidP="003D1D29">
      <w:pPr>
        <w:rPr>
          <w:rFonts w:cstheme="minorHAnsi"/>
          <w:b/>
          <w:bCs/>
          <w:sz w:val="32"/>
          <w:szCs w:val="32"/>
        </w:rPr>
      </w:pPr>
    </w:p>
    <w:p w14:paraId="3BC365CE" w14:textId="77777777" w:rsidR="00F90BF9" w:rsidRDefault="00F90BF9" w:rsidP="003D1D29">
      <w:pPr>
        <w:rPr>
          <w:rFonts w:cstheme="minorHAnsi"/>
          <w:b/>
          <w:bCs/>
          <w:sz w:val="32"/>
          <w:szCs w:val="32"/>
        </w:rPr>
      </w:pPr>
    </w:p>
    <w:p w14:paraId="01BB335C" w14:textId="77777777" w:rsidR="00F90BF9" w:rsidRDefault="00F90BF9" w:rsidP="003D1D29">
      <w:pPr>
        <w:rPr>
          <w:rFonts w:cstheme="minorHAnsi"/>
          <w:b/>
          <w:bCs/>
          <w:sz w:val="32"/>
          <w:szCs w:val="32"/>
        </w:rPr>
      </w:pPr>
    </w:p>
    <w:p w14:paraId="7D519D53" w14:textId="77777777" w:rsidR="00F90BF9" w:rsidRDefault="00F90BF9" w:rsidP="003D1D29">
      <w:pPr>
        <w:rPr>
          <w:rFonts w:cstheme="minorHAnsi"/>
          <w:b/>
          <w:bCs/>
          <w:sz w:val="32"/>
          <w:szCs w:val="32"/>
        </w:rPr>
      </w:pPr>
    </w:p>
    <w:p w14:paraId="01909DD5" w14:textId="77777777" w:rsidR="00F90BF9" w:rsidRDefault="00F90BF9" w:rsidP="003D1D29">
      <w:pPr>
        <w:rPr>
          <w:rFonts w:cstheme="minorHAnsi"/>
          <w:b/>
          <w:bCs/>
          <w:sz w:val="32"/>
          <w:szCs w:val="32"/>
        </w:rPr>
      </w:pPr>
    </w:p>
    <w:p w14:paraId="3DCC5164" w14:textId="77777777" w:rsidR="00F90BF9" w:rsidRDefault="00F90BF9" w:rsidP="003D1D29">
      <w:pPr>
        <w:rPr>
          <w:rFonts w:cstheme="minorHAnsi"/>
          <w:b/>
          <w:bCs/>
          <w:sz w:val="32"/>
          <w:szCs w:val="32"/>
        </w:rPr>
      </w:pPr>
    </w:p>
    <w:p w14:paraId="6416B434" w14:textId="77777777" w:rsidR="00F90BF9" w:rsidRDefault="00F90BF9" w:rsidP="003D1D29">
      <w:pPr>
        <w:rPr>
          <w:rFonts w:cstheme="minorHAnsi"/>
          <w:b/>
          <w:bCs/>
          <w:sz w:val="32"/>
          <w:szCs w:val="32"/>
        </w:rPr>
      </w:pPr>
    </w:p>
    <w:p w14:paraId="2A105911" w14:textId="77777777" w:rsidR="00F90BF9" w:rsidRDefault="00F90BF9" w:rsidP="003D1D29">
      <w:pPr>
        <w:rPr>
          <w:rFonts w:cstheme="minorHAnsi"/>
          <w:b/>
          <w:bCs/>
          <w:sz w:val="32"/>
          <w:szCs w:val="32"/>
        </w:rPr>
      </w:pPr>
    </w:p>
    <w:p w14:paraId="3831DBAD" w14:textId="77777777" w:rsidR="00F90BF9" w:rsidRDefault="00F90BF9" w:rsidP="003D1D29">
      <w:pPr>
        <w:rPr>
          <w:rFonts w:cstheme="minorHAnsi"/>
          <w:b/>
          <w:bCs/>
          <w:sz w:val="32"/>
          <w:szCs w:val="32"/>
        </w:rPr>
      </w:pPr>
    </w:p>
    <w:p w14:paraId="0E0D4040" w14:textId="77777777" w:rsidR="00F90BF9" w:rsidRDefault="00F90BF9" w:rsidP="003D1D29">
      <w:pPr>
        <w:rPr>
          <w:rFonts w:cstheme="minorHAnsi"/>
          <w:b/>
          <w:bCs/>
          <w:sz w:val="32"/>
          <w:szCs w:val="32"/>
        </w:rPr>
      </w:pPr>
    </w:p>
    <w:p w14:paraId="7B13A836" w14:textId="6BC56053" w:rsidR="003D1D29" w:rsidRPr="003D1D29" w:rsidRDefault="003D1D29" w:rsidP="003D1D29">
      <w:pPr>
        <w:rPr>
          <w:rFonts w:cstheme="minorHAnsi"/>
          <w:b/>
          <w:bCs/>
          <w:sz w:val="32"/>
          <w:szCs w:val="32"/>
        </w:rPr>
      </w:pPr>
      <w:r w:rsidRPr="003D1D29">
        <w:rPr>
          <w:rFonts w:cstheme="minorHAnsi"/>
          <w:b/>
          <w:bCs/>
          <w:sz w:val="32"/>
          <w:szCs w:val="32"/>
        </w:rPr>
        <w:lastRenderedPageBreak/>
        <w:t xml:space="preserve"> Data Visualizations</w:t>
      </w:r>
    </w:p>
    <w:p w14:paraId="0E525673" w14:textId="77777777" w:rsidR="003D1D29" w:rsidRPr="003D1D29" w:rsidRDefault="003D1D29" w:rsidP="003D1D29">
      <w:pPr>
        <w:rPr>
          <w:rFonts w:cstheme="minorHAnsi"/>
          <w:sz w:val="28"/>
          <w:szCs w:val="28"/>
        </w:rPr>
      </w:pPr>
    </w:p>
    <w:p w14:paraId="07CB1FFF" w14:textId="4BC320B4" w:rsidR="003D1D29" w:rsidRPr="00F90BF9" w:rsidRDefault="003D1D29" w:rsidP="003D1D29">
      <w:pPr>
        <w:rPr>
          <w:rFonts w:cstheme="minorHAnsi"/>
          <w:b/>
          <w:bCs/>
          <w:sz w:val="28"/>
          <w:szCs w:val="28"/>
        </w:rPr>
      </w:pPr>
      <w:r w:rsidRPr="00F90BF9">
        <w:rPr>
          <w:rFonts w:cstheme="minorHAnsi"/>
          <w:b/>
          <w:bCs/>
          <w:sz w:val="28"/>
          <w:szCs w:val="28"/>
        </w:rPr>
        <w:t>1. Bank Capital Ratios Over Time:</w:t>
      </w:r>
    </w:p>
    <w:p w14:paraId="16971F2E" w14:textId="77777777" w:rsidR="003D1D29" w:rsidRDefault="003D1D29" w:rsidP="003D1D29">
      <w:pPr>
        <w:rPr>
          <w:rFonts w:cstheme="minorHAnsi"/>
          <w:sz w:val="28"/>
          <w:szCs w:val="28"/>
        </w:rPr>
      </w:pPr>
      <w:r w:rsidRPr="003D1D29">
        <w:rPr>
          <w:rFonts w:cstheme="minorHAnsi"/>
          <w:sz w:val="28"/>
          <w:szCs w:val="28"/>
        </w:rPr>
        <w:t xml:space="preserve">   A line graph showing Tier 1 capital ratios for major banks from 2018 to 2023.</w:t>
      </w:r>
    </w:p>
    <w:p w14:paraId="3BA71DE9" w14:textId="5D7471E5" w:rsidR="003D1D29" w:rsidRDefault="003D1D29" w:rsidP="003D1D29">
      <w:pPr>
        <w:rPr>
          <w:rFonts w:cstheme="minorHAnsi"/>
          <w:sz w:val="28"/>
          <w:szCs w:val="28"/>
        </w:rPr>
      </w:pPr>
      <w:r>
        <w:rPr>
          <w:rFonts w:cstheme="minorHAnsi"/>
          <w:noProof/>
          <w:sz w:val="28"/>
          <w:szCs w:val="28"/>
        </w:rPr>
        <w:drawing>
          <wp:inline distT="0" distB="0" distL="0" distR="0" wp14:anchorId="2F4B3300" wp14:editId="4EC109F6">
            <wp:extent cx="5067300" cy="2435860"/>
            <wp:effectExtent l="0" t="0" r="0" b="2540"/>
            <wp:docPr id="55439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3530" cy="2467697"/>
                    </a:xfrm>
                    <a:prstGeom prst="rect">
                      <a:avLst/>
                    </a:prstGeom>
                    <a:noFill/>
                  </pic:spPr>
                </pic:pic>
              </a:graphicData>
            </a:graphic>
          </wp:inline>
        </w:drawing>
      </w:r>
    </w:p>
    <w:p w14:paraId="52AF5AF9" w14:textId="3D06FF67" w:rsidR="003D1D29" w:rsidRPr="003D1D29" w:rsidRDefault="003D1D29" w:rsidP="003D1D29">
      <w:pPr>
        <w:spacing w:before="100" w:beforeAutospacing="1" w:after="100" w:afterAutospacing="1" w:line="240" w:lineRule="auto"/>
        <w:rPr>
          <w:rFonts w:ascii="Calibri" w:eastAsia="Times New Roman" w:hAnsi="Calibri" w:cs="Calibri"/>
          <w:kern w:val="0"/>
          <w:sz w:val="28"/>
          <w:szCs w:val="28"/>
          <w:lang w:eastAsia="en-IN"/>
          <w14:ligatures w14:val="none"/>
        </w:rPr>
      </w:pPr>
      <w:r w:rsidRPr="003D1D29">
        <w:rPr>
          <w:rFonts w:ascii="Times New Roman" w:eastAsia="Times New Roman" w:hAnsi="Times New Roman" w:cs="Times New Roman"/>
          <w:kern w:val="0"/>
          <w:sz w:val="24"/>
          <w:szCs w:val="24"/>
          <w:lang w:eastAsia="en-IN"/>
          <w14:ligatures w14:val="none"/>
        </w:rPr>
        <w:t xml:space="preserve"> </w:t>
      </w:r>
      <w:r w:rsidRPr="003D1D29">
        <w:rPr>
          <w:rFonts w:ascii="Calibri" w:eastAsia="Times New Roman" w:hAnsi="Calibri" w:cs="Calibri"/>
          <w:kern w:val="0"/>
          <w:sz w:val="28"/>
          <w:szCs w:val="28"/>
          <w:lang w:eastAsia="en-IN"/>
          <w14:ligatures w14:val="none"/>
        </w:rPr>
        <w:t>This line graph shows the Tier 1 capital ratios for three major banks (Bank A, Bank B, and Bank C) over six years. Each bank demonstrates a general upward trend in their capital ratios, indicating improved financial stability.</w:t>
      </w:r>
    </w:p>
    <w:p w14:paraId="505DE4D4" w14:textId="77777777" w:rsidR="00F90BF9" w:rsidRDefault="00F90BF9" w:rsidP="003D1D29">
      <w:pPr>
        <w:rPr>
          <w:rFonts w:cstheme="minorHAnsi"/>
          <w:sz w:val="28"/>
          <w:szCs w:val="28"/>
        </w:rPr>
      </w:pPr>
    </w:p>
    <w:p w14:paraId="2452A5A9" w14:textId="77777777" w:rsidR="00F90BF9" w:rsidRDefault="00F90BF9" w:rsidP="003D1D29">
      <w:pPr>
        <w:rPr>
          <w:rFonts w:cstheme="minorHAnsi"/>
          <w:sz w:val="28"/>
          <w:szCs w:val="28"/>
        </w:rPr>
      </w:pPr>
    </w:p>
    <w:p w14:paraId="41436FED" w14:textId="77777777" w:rsidR="00F90BF9" w:rsidRDefault="00F90BF9" w:rsidP="003D1D29">
      <w:pPr>
        <w:rPr>
          <w:rFonts w:cstheme="minorHAnsi"/>
          <w:sz w:val="28"/>
          <w:szCs w:val="28"/>
        </w:rPr>
      </w:pPr>
    </w:p>
    <w:p w14:paraId="7ED5171E" w14:textId="77777777" w:rsidR="00F90BF9" w:rsidRDefault="00F90BF9" w:rsidP="003D1D29">
      <w:pPr>
        <w:rPr>
          <w:rFonts w:cstheme="minorHAnsi"/>
          <w:sz w:val="28"/>
          <w:szCs w:val="28"/>
        </w:rPr>
      </w:pPr>
    </w:p>
    <w:p w14:paraId="1A47E0EB" w14:textId="77777777" w:rsidR="00F90BF9" w:rsidRDefault="00F90BF9" w:rsidP="003D1D29">
      <w:pPr>
        <w:rPr>
          <w:rFonts w:cstheme="minorHAnsi"/>
          <w:sz w:val="28"/>
          <w:szCs w:val="28"/>
        </w:rPr>
      </w:pPr>
    </w:p>
    <w:p w14:paraId="6CD244F9" w14:textId="77777777" w:rsidR="00F90BF9" w:rsidRDefault="00F90BF9" w:rsidP="003D1D29">
      <w:pPr>
        <w:rPr>
          <w:rFonts w:cstheme="minorHAnsi"/>
          <w:sz w:val="28"/>
          <w:szCs w:val="28"/>
        </w:rPr>
      </w:pPr>
    </w:p>
    <w:p w14:paraId="5C428874" w14:textId="77777777" w:rsidR="00F90BF9" w:rsidRDefault="00F90BF9" w:rsidP="003D1D29">
      <w:pPr>
        <w:rPr>
          <w:rFonts w:cstheme="minorHAnsi"/>
          <w:sz w:val="28"/>
          <w:szCs w:val="28"/>
        </w:rPr>
      </w:pPr>
    </w:p>
    <w:p w14:paraId="7D0412C5" w14:textId="77777777" w:rsidR="00F90BF9" w:rsidRDefault="00F90BF9" w:rsidP="003D1D29">
      <w:pPr>
        <w:rPr>
          <w:rFonts w:cstheme="minorHAnsi"/>
          <w:sz w:val="28"/>
          <w:szCs w:val="28"/>
        </w:rPr>
      </w:pPr>
    </w:p>
    <w:p w14:paraId="5E4D278A" w14:textId="77777777" w:rsidR="00F90BF9" w:rsidRDefault="00F90BF9" w:rsidP="003D1D29">
      <w:pPr>
        <w:rPr>
          <w:rFonts w:cstheme="minorHAnsi"/>
          <w:sz w:val="28"/>
          <w:szCs w:val="28"/>
        </w:rPr>
      </w:pPr>
    </w:p>
    <w:p w14:paraId="0C5B0E84" w14:textId="77777777" w:rsidR="00F90BF9" w:rsidRDefault="00F90BF9" w:rsidP="003D1D29">
      <w:pPr>
        <w:rPr>
          <w:rFonts w:cstheme="minorHAnsi"/>
          <w:sz w:val="28"/>
          <w:szCs w:val="28"/>
        </w:rPr>
      </w:pPr>
    </w:p>
    <w:p w14:paraId="293C00E6" w14:textId="77777777" w:rsidR="00F90BF9" w:rsidRDefault="00F90BF9" w:rsidP="003D1D29">
      <w:pPr>
        <w:rPr>
          <w:rFonts w:cstheme="minorHAnsi"/>
          <w:sz w:val="28"/>
          <w:szCs w:val="28"/>
        </w:rPr>
      </w:pPr>
    </w:p>
    <w:p w14:paraId="4240C954" w14:textId="77777777" w:rsidR="00F90BF9" w:rsidRDefault="00F90BF9" w:rsidP="003D1D29">
      <w:pPr>
        <w:rPr>
          <w:rFonts w:cstheme="minorHAnsi"/>
          <w:sz w:val="28"/>
          <w:szCs w:val="28"/>
        </w:rPr>
      </w:pPr>
    </w:p>
    <w:p w14:paraId="494F71FB" w14:textId="36A0649E" w:rsidR="003D1D29" w:rsidRPr="00F90BF9" w:rsidRDefault="003D1D29" w:rsidP="003D1D29">
      <w:pPr>
        <w:rPr>
          <w:rFonts w:cstheme="minorHAnsi"/>
          <w:b/>
          <w:bCs/>
          <w:sz w:val="28"/>
          <w:szCs w:val="28"/>
        </w:rPr>
      </w:pPr>
      <w:r w:rsidRPr="00F90BF9">
        <w:rPr>
          <w:rFonts w:cstheme="minorHAnsi"/>
          <w:b/>
          <w:bCs/>
          <w:sz w:val="28"/>
          <w:szCs w:val="28"/>
        </w:rPr>
        <w:lastRenderedPageBreak/>
        <w:t>2. CFPB Consumer Complaints:</w:t>
      </w:r>
    </w:p>
    <w:p w14:paraId="07D47F75" w14:textId="7C908FB7" w:rsidR="003D1D29" w:rsidRDefault="003D1D29" w:rsidP="003D1D29">
      <w:pPr>
        <w:rPr>
          <w:rFonts w:cstheme="minorHAnsi"/>
          <w:sz w:val="28"/>
          <w:szCs w:val="28"/>
        </w:rPr>
      </w:pPr>
      <w:r w:rsidRPr="003D1D29">
        <w:rPr>
          <w:rFonts w:cstheme="minorHAnsi"/>
          <w:sz w:val="28"/>
          <w:szCs w:val="28"/>
        </w:rPr>
        <w:t>A bar chart showing the number of consumer complaints received by the CFPB each year from 2018 to 2023, categorized by type of financial product.</w:t>
      </w:r>
    </w:p>
    <w:p w14:paraId="3116EC91" w14:textId="5CD0EC83" w:rsidR="00F90BF9" w:rsidRDefault="00F90BF9" w:rsidP="003D1D29">
      <w:pPr>
        <w:rPr>
          <w:rFonts w:cstheme="minorHAnsi"/>
          <w:sz w:val="28"/>
          <w:szCs w:val="28"/>
        </w:rPr>
      </w:pPr>
      <w:r>
        <w:rPr>
          <w:rFonts w:cstheme="minorHAnsi"/>
          <w:noProof/>
          <w:sz w:val="28"/>
          <w:szCs w:val="28"/>
        </w:rPr>
        <w:drawing>
          <wp:inline distT="0" distB="0" distL="0" distR="0" wp14:anchorId="4F53F2B1" wp14:editId="37A8734C">
            <wp:extent cx="5974080" cy="3011170"/>
            <wp:effectExtent l="0" t="0" r="7620" b="0"/>
            <wp:docPr id="27517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953" cy="3054957"/>
                    </a:xfrm>
                    <a:prstGeom prst="rect">
                      <a:avLst/>
                    </a:prstGeom>
                    <a:noFill/>
                  </pic:spPr>
                </pic:pic>
              </a:graphicData>
            </a:graphic>
          </wp:inline>
        </w:drawing>
      </w:r>
    </w:p>
    <w:p w14:paraId="6945FFE5" w14:textId="522F5E88" w:rsidR="00F90BF9" w:rsidRPr="00F90BF9" w:rsidRDefault="00F90BF9" w:rsidP="003D1D29">
      <w:pPr>
        <w:rPr>
          <w:rFonts w:cstheme="minorHAnsi"/>
          <w:sz w:val="28"/>
          <w:szCs w:val="28"/>
        </w:rPr>
      </w:pPr>
      <w:r w:rsidRPr="00F90BF9">
        <w:rPr>
          <w:sz w:val="28"/>
          <w:szCs w:val="28"/>
        </w:rPr>
        <w:t>The bar chart above illustrates the hypothetical number of consumer complaints received by the Consumer Financial Protection Bureau (CFPB) from 2018 to 2023. As shown, there is a steady increase in the number of complaints each year, indicating rising consumer engagement with the CFPB over this period.</w:t>
      </w:r>
    </w:p>
    <w:p w14:paraId="7E2A53BD" w14:textId="77777777" w:rsidR="003D1D29" w:rsidRPr="003D1D29" w:rsidRDefault="003D1D29" w:rsidP="003D1D29">
      <w:pPr>
        <w:rPr>
          <w:rFonts w:cstheme="minorHAnsi"/>
          <w:sz w:val="28"/>
          <w:szCs w:val="28"/>
        </w:rPr>
      </w:pPr>
    </w:p>
    <w:p w14:paraId="0C62DCE7" w14:textId="77777777" w:rsidR="00F90BF9" w:rsidRDefault="00F90BF9" w:rsidP="003D1D29">
      <w:pPr>
        <w:rPr>
          <w:rFonts w:cstheme="minorHAnsi"/>
          <w:b/>
          <w:bCs/>
          <w:sz w:val="28"/>
          <w:szCs w:val="28"/>
        </w:rPr>
      </w:pPr>
    </w:p>
    <w:p w14:paraId="5D73C54F" w14:textId="77777777" w:rsidR="00F90BF9" w:rsidRDefault="00F90BF9" w:rsidP="003D1D29">
      <w:pPr>
        <w:rPr>
          <w:rFonts w:cstheme="minorHAnsi"/>
          <w:b/>
          <w:bCs/>
          <w:sz w:val="28"/>
          <w:szCs w:val="28"/>
        </w:rPr>
      </w:pPr>
    </w:p>
    <w:p w14:paraId="709B9C49" w14:textId="77777777" w:rsidR="00F90BF9" w:rsidRDefault="00F90BF9" w:rsidP="003D1D29">
      <w:pPr>
        <w:rPr>
          <w:rFonts w:cstheme="minorHAnsi"/>
          <w:b/>
          <w:bCs/>
          <w:sz w:val="28"/>
          <w:szCs w:val="28"/>
        </w:rPr>
      </w:pPr>
    </w:p>
    <w:p w14:paraId="2E4A942F" w14:textId="77777777" w:rsidR="00F90BF9" w:rsidRDefault="00F90BF9" w:rsidP="003D1D29">
      <w:pPr>
        <w:rPr>
          <w:rFonts w:cstheme="minorHAnsi"/>
          <w:b/>
          <w:bCs/>
          <w:sz w:val="28"/>
          <w:szCs w:val="28"/>
        </w:rPr>
      </w:pPr>
    </w:p>
    <w:p w14:paraId="35E66F48" w14:textId="77777777" w:rsidR="00F90BF9" w:rsidRDefault="00F90BF9" w:rsidP="003D1D29">
      <w:pPr>
        <w:rPr>
          <w:rFonts w:cstheme="minorHAnsi"/>
          <w:b/>
          <w:bCs/>
          <w:sz w:val="28"/>
          <w:szCs w:val="28"/>
        </w:rPr>
      </w:pPr>
    </w:p>
    <w:p w14:paraId="345A8EA9" w14:textId="77777777" w:rsidR="00F90BF9" w:rsidRDefault="00F90BF9" w:rsidP="003D1D29">
      <w:pPr>
        <w:rPr>
          <w:rFonts w:cstheme="minorHAnsi"/>
          <w:b/>
          <w:bCs/>
          <w:sz w:val="28"/>
          <w:szCs w:val="28"/>
        </w:rPr>
      </w:pPr>
    </w:p>
    <w:p w14:paraId="07B78752" w14:textId="77777777" w:rsidR="00F90BF9" w:rsidRDefault="00F90BF9" w:rsidP="003D1D29">
      <w:pPr>
        <w:rPr>
          <w:rFonts w:cstheme="minorHAnsi"/>
          <w:b/>
          <w:bCs/>
          <w:sz w:val="28"/>
          <w:szCs w:val="28"/>
        </w:rPr>
      </w:pPr>
    </w:p>
    <w:p w14:paraId="710F5844" w14:textId="77777777" w:rsidR="00F90BF9" w:rsidRDefault="00F90BF9" w:rsidP="003D1D29">
      <w:pPr>
        <w:rPr>
          <w:rFonts w:cstheme="minorHAnsi"/>
          <w:b/>
          <w:bCs/>
          <w:sz w:val="28"/>
          <w:szCs w:val="28"/>
        </w:rPr>
      </w:pPr>
    </w:p>
    <w:p w14:paraId="24756164" w14:textId="77777777" w:rsidR="00F90BF9" w:rsidRDefault="00F90BF9" w:rsidP="003D1D29">
      <w:pPr>
        <w:rPr>
          <w:rFonts w:cstheme="minorHAnsi"/>
          <w:b/>
          <w:bCs/>
          <w:sz w:val="28"/>
          <w:szCs w:val="28"/>
        </w:rPr>
      </w:pPr>
    </w:p>
    <w:p w14:paraId="38DB6841" w14:textId="74BA26F4" w:rsidR="003D1D29" w:rsidRPr="00F90BF9" w:rsidRDefault="003D1D29" w:rsidP="003D1D29">
      <w:pPr>
        <w:rPr>
          <w:rFonts w:cstheme="minorHAnsi"/>
          <w:b/>
          <w:bCs/>
          <w:sz w:val="28"/>
          <w:szCs w:val="28"/>
        </w:rPr>
      </w:pPr>
      <w:r w:rsidRPr="00F90BF9">
        <w:rPr>
          <w:rFonts w:cstheme="minorHAnsi"/>
          <w:b/>
          <w:bCs/>
          <w:sz w:val="28"/>
          <w:szCs w:val="28"/>
        </w:rPr>
        <w:lastRenderedPageBreak/>
        <w:t>3. Stress Test Results:</w:t>
      </w:r>
    </w:p>
    <w:p w14:paraId="4DEAAE59" w14:textId="182A7AC3" w:rsidR="003D1D29" w:rsidRDefault="003D1D29" w:rsidP="003D1D29">
      <w:pPr>
        <w:rPr>
          <w:rFonts w:cstheme="minorHAnsi"/>
          <w:sz w:val="28"/>
          <w:szCs w:val="28"/>
        </w:rPr>
      </w:pPr>
      <w:r w:rsidRPr="003D1D29">
        <w:rPr>
          <w:rFonts w:cstheme="minorHAnsi"/>
          <w:sz w:val="28"/>
          <w:szCs w:val="28"/>
        </w:rPr>
        <w:t xml:space="preserve">   A heatmap of the stress test results for major financial institutions over the past five years, indicating the pass/fail status and key metrics.</w:t>
      </w:r>
    </w:p>
    <w:p w14:paraId="1ECF8745" w14:textId="7668AD67" w:rsidR="003D1D29" w:rsidRDefault="003D1D29" w:rsidP="003D1D29">
      <w:pPr>
        <w:rPr>
          <w:rFonts w:cstheme="minorHAnsi"/>
          <w:sz w:val="28"/>
          <w:szCs w:val="28"/>
        </w:rPr>
      </w:pPr>
      <w:r>
        <w:rPr>
          <w:rFonts w:cstheme="minorHAnsi"/>
          <w:noProof/>
          <w:sz w:val="28"/>
          <w:szCs w:val="28"/>
        </w:rPr>
        <w:drawing>
          <wp:inline distT="0" distB="0" distL="0" distR="0" wp14:anchorId="1DE59424" wp14:editId="05C0C137">
            <wp:extent cx="5322622" cy="3484071"/>
            <wp:effectExtent l="0" t="0" r="0" b="2540"/>
            <wp:docPr id="1558219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9394" cy="3508141"/>
                    </a:xfrm>
                    <a:prstGeom prst="rect">
                      <a:avLst/>
                    </a:prstGeom>
                    <a:noFill/>
                  </pic:spPr>
                </pic:pic>
              </a:graphicData>
            </a:graphic>
          </wp:inline>
        </w:drawing>
      </w:r>
    </w:p>
    <w:p w14:paraId="11091599" w14:textId="0C01AB1F" w:rsidR="003D1D29" w:rsidRPr="003D1D29" w:rsidRDefault="003D1D29" w:rsidP="003D1D29">
      <w:pPr>
        <w:rPr>
          <w:rFonts w:cstheme="minorHAnsi"/>
          <w:sz w:val="28"/>
          <w:szCs w:val="28"/>
        </w:rPr>
      </w:pPr>
      <w:r w:rsidRPr="003D1D29">
        <w:rPr>
          <w:sz w:val="28"/>
          <w:szCs w:val="28"/>
        </w:rPr>
        <w:t xml:space="preserve">This heatmap displays hypothetical stress test scores for the same banks across the same years. Higher scores (darker </w:t>
      </w:r>
      <w:r w:rsidRPr="003D1D29">
        <w:rPr>
          <w:sz w:val="28"/>
          <w:szCs w:val="28"/>
        </w:rPr>
        <w:t>colours</w:t>
      </w:r>
      <w:r w:rsidRPr="003D1D29">
        <w:rPr>
          <w:sz w:val="28"/>
          <w:szCs w:val="28"/>
        </w:rPr>
        <w:t>) indicate better performance under stress scenarios. This visualization helps to quickly assess which banks are consistently strong performers and which might be weaker under financial stress.</w:t>
      </w:r>
    </w:p>
    <w:p w14:paraId="055F3017" w14:textId="77777777" w:rsidR="003D1D29" w:rsidRPr="003D1D29" w:rsidRDefault="003D1D29" w:rsidP="003D1D29">
      <w:pPr>
        <w:rPr>
          <w:rFonts w:cstheme="minorHAnsi"/>
          <w:sz w:val="28"/>
          <w:szCs w:val="28"/>
        </w:rPr>
      </w:pPr>
    </w:p>
    <w:p w14:paraId="3D866C9F" w14:textId="77777777" w:rsidR="00F90BF9" w:rsidRDefault="00F90BF9" w:rsidP="003D1D29">
      <w:pPr>
        <w:rPr>
          <w:rFonts w:cstheme="minorHAnsi"/>
          <w:b/>
          <w:bCs/>
          <w:sz w:val="28"/>
          <w:szCs w:val="28"/>
        </w:rPr>
      </w:pPr>
    </w:p>
    <w:p w14:paraId="08F88FCB" w14:textId="77777777" w:rsidR="00F90BF9" w:rsidRDefault="00F90BF9" w:rsidP="003D1D29">
      <w:pPr>
        <w:rPr>
          <w:rFonts w:cstheme="minorHAnsi"/>
          <w:b/>
          <w:bCs/>
          <w:sz w:val="28"/>
          <w:szCs w:val="28"/>
        </w:rPr>
      </w:pPr>
    </w:p>
    <w:p w14:paraId="1FB89380" w14:textId="77777777" w:rsidR="00F90BF9" w:rsidRDefault="00F90BF9" w:rsidP="003D1D29">
      <w:pPr>
        <w:rPr>
          <w:rFonts w:cstheme="minorHAnsi"/>
          <w:b/>
          <w:bCs/>
          <w:sz w:val="28"/>
          <w:szCs w:val="28"/>
        </w:rPr>
      </w:pPr>
    </w:p>
    <w:p w14:paraId="0C5FDC52" w14:textId="77777777" w:rsidR="00F90BF9" w:rsidRDefault="00F90BF9" w:rsidP="003D1D29">
      <w:pPr>
        <w:rPr>
          <w:rFonts w:cstheme="minorHAnsi"/>
          <w:b/>
          <w:bCs/>
          <w:sz w:val="28"/>
          <w:szCs w:val="28"/>
        </w:rPr>
      </w:pPr>
    </w:p>
    <w:p w14:paraId="4ABBD81D" w14:textId="77777777" w:rsidR="00F90BF9" w:rsidRDefault="00F90BF9" w:rsidP="003D1D29">
      <w:pPr>
        <w:rPr>
          <w:rFonts w:cstheme="minorHAnsi"/>
          <w:b/>
          <w:bCs/>
          <w:sz w:val="28"/>
          <w:szCs w:val="28"/>
        </w:rPr>
      </w:pPr>
    </w:p>
    <w:p w14:paraId="0386E1DC" w14:textId="77777777" w:rsidR="00F90BF9" w:rsidRDefault="00F90BF9" w:rsidP="003D1D29">
      <w:pPr>
        <w:rPr>
          <w:rFonts w:cstheme="minorHAnsi"/>
          <w:b/>
          <w:bCs/>
          <w:sz w:val="28"/>
          <w:szCs w:val="28"/>
        </w:rPr>
      </w:pPr>
    </w:p>
    <w:p w14:paraId="78F3AFEA" w14:textId="77777777" w:rsidR="00F90BF9" w:rsidRDefault="00F90BF9" w:rsidP="003D1D29">
      <w:pPr>
        <w:rPr>
          <w:rFonts w:cstheme="minorHAnsi"/>
          <w:b/>
          <w:bCs/>
          <w:sz w:val="28"/>
          <w:szCs w:val="28"/>
        </w:rPr>
      </w:pPr>
    </w:p>
    <w:p w14:paraId="0E4800FD" w14:textId="77777777" w:rsidR="00F90BF9" w:rsidRDefault="00F90BF9" w:rsidP="003D1D29">
      <w:pPr>
        <w:rPr>
          <w:rFonts w:cstheme="minorHAnsi"/>
          <w:b/>
          <w:bCs/>
          <w:sz w:val="28"/>
          <w:szCs w:val="28"/>
        </w:rPr>
      </w:pPr>
    </w:p>
    <w:p w14:paraId="5F5A44DE" w14:textId="77777777" w:rsidR="00F90BF9" w:rsidRDefault="00F90BF9" w:rsidP="003D1D29">
      <w:pPr>
        <w:rPr>
          <w:rFonts w:cstheme="minorHAnsi"/>
          <w:b/>
          <w:bCs/>
          <w:sz w:val="28"/>
          <w:szCs w:val="28"/>
        </w:rPr>
      </w:pPr>
    </w:p>
    <w:p w14:paraId="2FC4A545" w14:textId="7B5AA433" w:rsidR="003D1D29" w:rsidRPr="00F90BF9" w:rsidRDefault="003D1D29" w:rsidP="003D1D29">
      <w:pPr>
        <w:rPr>
          <w:rFonts w:cstheme="minorHAnsi"/>
          <w:b/>
          <w:bCs/>
          <w:sz w:val="28"/>
          <w:szCs w:val="28"/>
        </w:rPr>
      </w:pPr>
      <w:r w:rsidRPr="00F90BF9">
        <w:rPr>
          <w:rFonts w:cstheme="minorHAnsi"/>
          <w:b/>
          <w:bCs/>
          <w:sz w:val="28"/>
          <w:szCs w:val="28"/>
        </w:rPr>
        <w:t>4. Enforcement Actions:</w:t>
      </w:r>
    </w:p>
    <w:p w14:paraId="26050369" w14:textId="77777777" w:rsidR="003D1D29" w:rsidRDefault="003D1D29" w:rsidP="003D1D29">
      <w:pPr>
        <w:rPr>
          <w:rFonts w:cstheme="minorHAnsi"/>
          <w:sz w:val="28"/>
          <w:szCs w:val="28"/>
        </w:rPr>
      </w:pPr>
      <w:r w:rsidRPr="003D1D29">
        <w:rPr>
          <w:rFonts w:cstheme="minorHAnsi"/>
          <w:sz w:val="28"/>
          <w:szCs w:val="28"/>
        </w:rPr>
        <w:t xml:space="preserve">   A timeline of significant enforcement actions taken by the CFPB and other regulators from 2018 to 2023, highlighting the penalties imposed and the nature of violations.</w:t>
      </w:r>
    </w:p>
    <w:p w14:paraId="0050FB33" w14:textId="4A0B0663" w:rsidR="003D1D29" w:rsidRDefault="003D1D29" w:rsidP="003D1D29">
      <w:pPr>
        <w:rPr>
          <w:rFonts w:cstheme="minorHAnsi"/>
          <w:sz w:val="28"/>
          <w:szCs w:val="28"/>
        </w:rPr>
      </w:pPr>
      <w:r>
        <w:rPr>
          <w:rFonts w:cstheme="minorHAnsi"/>
          <w:noProof/>
          <w:sz w:val="28"/>
          <w:szCs w:val="28"/>
        </w:rPr>
        <w:drawing>
          <wp:inline distT="0" distB="0" distL="0" distR="0" wp14:anchorId="669DE362" wp14:editId="4F6F8EA9">
            <wp:extent cx="5585460" cy="3187575"/>
            <wp:effectExtent l="0" t="0" r="0" b="0"/>
            <wp:docPr id="625341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1114" cy="3213629"/>
                    </a:xfrm>
                    <a:prstGeom prst="rect">
                      <a:avLst/>
                    </a:prstGeom>
                    <a:noFill/>
                  </pic:spPr>
                </pic:pic>
              </a:graphicData>
            </a:graphic>
          </wp:inline>
        </w:drawing>
      </w:r>
    </w:p>
    <w:p w14:paraId="3EE3D88D" w14:textId="733B8AEC" w:rsidR="003D1D29" w:rsidRPr="00F90BF9" w:rsidRDefault="00F90BF9" w:rsidP="003D1D29">
      <w:pPr>
        <w:rPr>
          <w:rFonts w:cstheme="minorHAnsi"/>
          <w:sz w:val="28"/>
          <w:szCs w:val="28"/>
        </w:rPr>
      </w:pPr>
      <w:r w:rsidRPr="00F90BF9">
        <w:rPr>
          <w:sz w:val="28"/>
          <w:szCs w:val="28"/>
        </w:rPr>
        <w:t>This line graph shows the number of significant enforcement actions taken by the CFPB each year from 2018 to 2023. The graph indicates a generally increasing trend in enforcement actions, suggesting heightened regulatory activity.</w:t>
      </w:r>
    </w:p>
    <w:p w14:paraId="2960A797" w14:textId="77777777" w:rsidR="003D1D29" w:rsidRPr="003D1D29" w:rsidRDefault="003D1D29" w:rsidP="003D1D29">
      <w:pPr>
        <w:rPr>
          <w:rFonts w:cstheme="minorHAnsi"/>
          <w:sz w:val="28"/>
          <w:szCs w:val="28"/>
        </w:rPr>
      </w:pPr>
    </w:p>
    <w:p w14:paraId="12A408DC" w14:textId="77777777" w:rsidR="00F90BF9" w:rsidRDefault="00F90BF9" w:rsidP="003D1D29">
      <w:pPr>
        <w:rPr>
          <w:rFonts w:cstheme="minorHAnsi"/>
          <w:b/>
          <w:bCs/>
          <w:sz w:val="28"/>
          <w:szCs w:val="28"/>
        </w:rPr>
      </w:pPr>
    </w:p>
    <w:p w14:paraId="77C47658" w14:textId="77777777" w:rsidR="00F90BF9" w:rsidRDefault="00F90BF9" w:rsidP="003D1D29">
      <w:pPr>
        <w:rPr>
          <w:rFonts w:cstheme="minorHAnsi"/>
          <w:b/>
          <w:bCs/>
          <w:sz w:val="28"/>
          <w:szCs w:val="28"/>
        </w:rPr>
      </w:pPr>
    </w:p>
    <w:p w14:paraId="72695E82" w14:textId="77777777" w:rsidR="00F90BF9" w:rsidRDefault="00F90BF9" w:rsidP="003D1D29">
      <w:pPr>
        <w:rPr>
          <w:rFonts w:cstheme="minorHAnsi"/>
          <w:b/>
          <w:bCs/>
          <w:sz w:val="28"/>
          <w:szCs w:val="28"/>
        </w:rPr>
      </w:pPr>
    </w:p>
    <w:p w14:paraId="07C8BC18" w14:textId="77777777" w:rsidR="00F90BF9" w:rsidRDefault="00F90BF9" w:rsidP="003D1D29">
      <w:pPr>
        <w:rPr>
          <w:rFonts w:cstheme="minorHAnsi"/>
          <w:b/>
          <w:bCs/>
          <w:sz w:val="28"/>
          <w:szCs w:val="28"/>
        </w:rPr>
      </w:pPr>
    </w:p>
    <w:p w14:paraId="7181075F" w14:textId="77777777" w:rsidR="00F90BF9" w:rsidRDefault="00F90BF9" w:rsidP="003D1D29">
      <w:pPr>
        <w:rPr>
          <w:rFonts w:cstheme="minorHAnsi"/>
          <w:b/>
          <w:bCs/>
          <w:sz w:val="28"/>
          <w:szCs w:val="28"/>
        </w:rPr>
      </w:pPr>
    </w:p>
    <w:p w14:paraId="1893E779" w14:textId="77777777" w:rsidR="00F90BF9" w:rsidRDefault="00F90BF9" w:rsidP="003D1D29">
      <w:pPr>
        <w:rPr>
          <w:rFonts w:cstheme="minorHAnsi"/>
          <w:b/>
          <w:bCs/>
          <w:sz w:val="28"/>
          <w:szCs w:val="28"/>
        </w:rPr>
      </w:pPr>
    </w:p>
    <w:p w14:paraId="63040CAE" w14:textId="77777777" w:rsidR="00F90BF9" w:rsidRDefault="00F90BF9" w:rsidP="003D1D29">
      <w:pPr>
        <w:rPr>
          <w:rFonts w:cstheme="minorHAnsi"/>
          <w:b/>
          <w:bCs/>
          <w:sz w:val="28"/>
          <w:szCs w:val="28"/>
        </w:rPr>
      </w:pPr>
    </w:p>
    <w:p w14:paraId="7058B326" w14:textId="77777777" w:rsidR="00F90BF9" w:rsidRDefault="00F90BF9" w:rsidP="003D1D29">
      <w:pPr>
        <w:rPr>
          <w:rFonts w:cstheme="minorHAnsi"/>
          <w:b/>
          <w:bCs/>
          <w:sz w:val="28"/>
          <w:szCs w:val="28"/>
        </w:rPr>
      </w:pPr>
    </w:p>
    <w:p w14:paraId="7C0A1A87" w14:textId="2D6755F0" w:rsidR="003D1D29" w:rsidRPr="00F90BF9" w:rsidRDefault="003D1D29" w:rsidP="003D1D29">
      <w:pPr>
        <w:rPr>
          <w:rFonts w:cstheme="minorHAnsi"/>
          <w:b/>
          <w:bCs/>
          <w:sz w:val="28"/>
          <w:szCs w:val="28"/>
        </w:rPr>
      </w:pPr>
      <w:r w:rsidRPr="00F90BF9">
        <w:rPr>
          <w:rFonts w:cstheme="minorHAnsi"/>
          <w:b/>
          <w:bCs/>
          <w:sz w:val="28"/>
          <w:szCs w:val="28"/>
        </w:rPr>
        <w:lastRenderedPageBreak/>
        <w:t>5. Volcker Rule Compliance Costs:</w:t>
      </w:r>
    </w:p>
    <w:p w14:paraId="2AA8A29B" w14:textId="77777777" w:rsidR="003D1D29" w:rsidRDefault="003D1D29" w:rsidP="003D1D29">
      <w:pPr>
        <w:rPr>
          <w:rFonts w:cstheme="minorHAnsi"/>
          <w:sz w:val="28"/>
          <w:szCs w:val="28"/>
        </w:rPr>
      </w:pPr>
      <w:r w:rsidRPr="003D1D29">
        <w:rPr>
          <w:rFonts w:cstheme="minorHAnsi"/>
          <w:sz w:val="28"/>
          <w:szCs w:val="28"/>
        </w:rPr>
        <w:t xml:space="preserve">   A line graph showing the estimated compliance costs associated with the Volcker Rule for financial institutions from 2018 to 2023.</w:t>
      </w:r>
    </w:p>
    <w:p w14:paraId="0F4E7F36" w14:textId="4C5B29D7" w:rsidR="00F90BF9" w:rsidRPr="003D1D29" w:rsidRDefault="00F90BF9" w:rsidP="003D1D29">
      <w:pPr>
        <w:rPr>
          <w:rFonts w:cstheme="minorHAnsi"/>
          <w:sz w:val="28"/>
          <w:szCs w:val="28"/>
        </w:rPr>
      </w:pPr>
      <w:r>
        <w:rPr>
          <w:rFonts w:cstheme="minorHAnsi"/>
          <w:noProof/>
          <w:sz w:val="28"/>
          <w:szCs w:val="28"/>
        </w:rPr>
        <w:drawing>
          <wp:inline distT="0" distB="0" distL="0" distR="0" wp14:anchorId="2BFB2714" wp14:editId="143EC0A7">
            <wp:extent cx="6122035" cy="3436620"/>
            <wp:effectExtent l="0" t="0" r="0" b="0"/>
            <wp:docPr id="325276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4552" cy="3449260"/>
                    </a:xfrm>
                    <a:prstGeom prst="rect">
                      <a:avLst/>
                    </a:prstGeom>
                    <a:noFill/>
                  </pic:spPr>
                </pic:pic>
              </a:graphicData>
            </a:graphic>
          </wp:inline>
        </w:drawing>
      </w:r>
    </w:p>
    <w:p w14:paraId="37608694" w14:textId="5119F30E" w:rsidR="003D1D29" w:rsidRDefault="00F90BF9" w:rsidP="003D1D29">
      <w:pPr>
        <w:rPr>
          <w:sz w:val="28"/>
          <w:szCs w:val="28"/>
        </w:rPr>
      </w:pPr>
      <w:r w:rsidRPr="00F90BF9">
        <w:rPr>
          <w:sz w:val="28"/>
          <w:szCs w:val="28"/>
        </w:rPr>
        <w:t>This line graph depicts the estimated compliance costs associated with the Volcker Rule for financial institutions from 2018 to 2023. The compliance costs show a slight upward trend over the years, indicating ongoing expenses related to regulatory compliance.</w:t>
      </w:r>
    </w:p>
    <w:p w14:paraId="3EA2DEAD" w14:textId="77777777" w:rsidR="00F90BF9" w:rsidRDefault="00F90BF9" w:rsidP="003D1D29">
      <w:pPr>
        <w:rPr>
          <w:sz w:val="28"/>
          <w:szCs w:val="28"/>
        </w:rPr>
      </w:pPr>
    </w:p>
    <w:p w14:paraId="4425D31D" w14:textId="4EA6760B" w:rsidR="00F90BF9" w:rsidRPr="00F90BF9" w:rsidRDefault="00F90BF9" w:rsidP="003D1D29">
      <w:pPr>
        <w:rPr>
          <w:b/>
          <w:bCs/>
          <w:sz w:val="28"/>
          <w:szCs w:val="28"/>
        </w:rPr>
      </w:pPr>
      <w:proofErr w:type="gramStart"/>
      <w:r w:rsidRPr="00F90BF9">
        <w:rPr>
          <w:b/>
          <w:bCs/>
          <w:sz w:val="28"/>
          <w:szCs w:val="28"/>
        </w:rPr>
        <w:t>CONCLUSION:-</w:t>
      </w:r>
      <w:proofErr w:type="gramEnd"/>
    </w:p>
    <w:p w14:paraId="092DA0C8" w14:textId="2E35C379" w:rsidR="00F90BF9" w:rsidRPr="00F90BF9" w:rsidRDefault="00F90BF9" w:rsidP="00F90BF9">
      <w:pPr>
        <w:rPr>
          <w:rFonts w:cstheme="minorHAnsi"/>
          <w:sz w:val="28"/>
          <w:szCs w:val="28"/>
        </w:rPr>
      </w:pPr>
      <w:r>
        <w:rPr>
          <w:rFonts w:cstheme="minorHAnsi"/>
          <w:sz w:val="28"/>
          <w:szCs w:val="28"/>
        </w:rPr>
        <w:tab/>
        <w:t>T</w:t>
      </w:r>
      <w:r w:rsidRPr="00F90BF9">
        <w:rPr>
          <w:rFonts w:cstheme="minorHAnsi"/>
          <w:sz w:val="28"/>
          <w:szCs w:val="28"/>
        </w:rPr>
        <w:t>he Dodd-Frank Act has had a significant positive impact on the stability and integrity of the U.S. financial system over the past five years. Through enhanced capital requirements, rigorous stress testing, active enforcement, and stringent compliance measures, the Act has strengthened the resilience of financial institutions and reduced systemic risk. While compliance costs remain a concern, the overall benefits in terms of financial stability and consumer protection underscore the Act’s importance in promoting a safer and more robust financial environment.</w:t>
      </w:r>
    </w:p>
    <w:sectPr w:rsidR="00F90BF9" w:rsidRPr="00F90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29"/>
    <w:rsid w:val="00255135"/>
    <w:rsid w:val="003D1D29"/>
    <w:rsid w:val="004022D4"/>
    <w:rsid w:val="0052122A"/>
    <w:rsid w:val="00F90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ABF4"/>
  <w15:chartTrackingRefBased/>
  <w15:docId w15:val="{04303C51-3F97-47EF-955A-05CA874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D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2024-06-13T05:49:00Z</dcterms:created>
  <dcterms:modified xsi:type="dcterms:W3CDTF">2024-06-13T06:07:00Z</dcterms:modified>
</cp:coreProperties>
</file>