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44889" w14:textId="59B44819" w:rsidR="004022D4" w:rsidRDefault="00FE0396" w:rsidP="00FE0396">
      <w:pPr>
        <w:jc w:val="center"/>
        <w:rPr>
          <w:sz w:val="36"/>
          <w:szCs w:val="36"/>
        </w:rPr>
      </w:pPr>
      <w:r>
        <w:rPr>
          <w:b/>
          <w:bCs/>
          <w:sz w:val="40"/>
          <w:szCs w:val="40"/>
          <w:u w:val="double"/>
        </w:rPr>
        <w:t>VOLCKER RULE</w:t>
      </w:r>
    </w:p>
    <w:p w14:paraId="2AE59C95" w14:textId="103BB10C" w:rsidR="00FE0396" w:rsidRDefault="00FE0396" w:rsidP="00FE0396">
      <w:pPr>
        <w:rPr>
          <w:b/>
          <w:bCs/>
          <w:sz w:val="36"/>
          <w:szCs w:val="36"/>
        </w:rPr>
      </w:pPr>
      <w:proofErr w:type="gramStart"/>
      <w:r w:rsidRPr="00FE0396">
        <w:rPr>
          <w:b/>
          <w:bCs/>
          <w:sz w:val="36"/>
          <w:szCs w:val="36"/>
        </w:rPr>
        <w:t>INTRODUCTION:-</w:t>
      </w:r>
      <w:proofErr w:type="gramEnd"/>
    </w:p>
    <w:p w14:paraId="1DB9020F" w14:textId="77777777" w:rsidR="00FE0396" w:rsidRPr="00FE0396" w:rsidRDefault="00FE0396" w:rsidP="00FE0396">
      <w:pPr>
        <w:rPr>
          <w:sz w:val="28"/>
          <w:szCs w:val="28"/>
        </w:rPr>
      </w:pPr>
      <w:r>
        <w:rPr>
          <w:b/>
          <w:bCs/>
          <w:sz w:val="36"/>
          <w:szCs w:val="36"/>
        </w:rPr>
        <w:tab/>
      </w:r>
      <w:r w:rsidRPr="00FE0396">
        <w:rPr>
          <w:sz w:val="28"/>
          <w:szCs w:val="28"/>
        </w:rPr>
        <w:t>The Volcker Rule, a fundamental component of the Dodd-Frank Wall Street Reform and Consumer Protection Act, was established in response to the 2008 financial crisis. Named after former Federal Reserve Chairman Paul Volcker, the rule aims to curb excessive risk-taking by prohibiting banks from engaging in proprietary trading and limiting their involvement with hedge funds and private equity funds. The underlying objective is to reduce the likelihood of future financial crises by ensuring that banks focus on serving their customers rather than engaging in speculative activities that could jeopardize their stability and the broader financial system.</w:t>
      </w:r>
    </w:p>
    <w:p w14:paraId="5D90C62D" w14:textId="77777777" w:rsidR="00FE0396" w:rsidRPr="00FE0396" w:rsidRDefault="00FE0396" w:rsidP="00FE0396">
      <w:pPr>
        <w:rPr>
          <w:sz w:val="28"/>
          <w:szCs w:val="28"/>
        </w:rPr>
      </w:pPr>
    </w:p>
    <w:p w14:paraId="160F8631" w14:textId="77777777" w:rsidR="00FE0396" w:rsidRPr="00FE0396" w:rsidRDefault="00FE0396" w:rsidP="00FE0396">
      <w:pPr>
        <w:rPr>
          <w:sz w:val="28"/>
          <w:szCs w:val="28"/>
        </w:rPr>
      </w:pPr>
      <w:r w:rsidRPr="00FE0396">
        <w:rPr>
          <w:sz w:val="28"/>
          <w:szCs w:val="28"/>
        </w:rPr>
        <w:t>Implemented in 2015, the Volcker Rule has had significant implications for the operations and strategies of U.S. banks. Over the past five years, its impact has been closely monitored and debated by policymakers, industry professionals, and academics. Key metrics to assess the rule's influence include bank trading activities, proprietary trading revenue, compliance costs, market liquidity, and overall bank profitability.</w:t>
      </w:r>
    </w:p>
    <w:p w14:paraId="6C9BB11B" w14:textId="77777777" w:rsidR="00FE0396" w:rsidRPr="00FE0396" w:rsidRDefault="00FE0396" w:rsidP="00FE0396">
      <w:pPr>
        <w:rPr>
          <w:sz w:val="28"/>
          <w:szCs w:val="28"/>
        </w:rPr>
      </w:pPr>
    </w:p>
    <w:p w14:paraId="2BE65890" w14:textId="77777777" w:rsidR="00FE0396" w:rsidRPr="00FE0396" w:rsidRDefault="00FE0396" w:rsidP="00FE0396">
      <w:pPr>
        <w:rPr>
          <w:sz w:val="28"/>
          <w:szCs w:val="28"/>
        </w:rPr>
      </w:pPr>
      <w:r w:rsidRPr="00FE0396">
        <w:rPr>
          <w:sz w:val="28"/>
          <w:szCs w:val="28"/>
        </w:rPr>
        <w:t>Bank trading activities represent the volume of trading conducted by financial institutions. This metric helps gauge whether banks have scaled back their trading operations in compliance with the Volcker Rule. Proprietary trading revenue measures the earnings banks generate from speculative trading, providing direct insight into how the rule has curtailed such practices. Compliance costs reflect the financial burden banks face to adhere to regulatory requirements, offering a perspective on the rule's economic impact on the banking sector.</w:t>
      </w:r>
    </w:p>
    <w:p w14:paraId="3EE05A9D" w14:textId="77777777" w:rsidR="00FE0396" w:rsidRPr="00FE0396" w:rsidRDefault="00FE0396" w:rsidP="00FE0396">
      <w:pPr>
        <w:rPr>
          <w:sz w:val="28"/>
          <w:szCs w:val="28"/>
        </w:rPr>
      </w:pPr>
    </w:p>
    <w:p w14:paraId="40010BC2" w14:textId="77777777" w:rsidR="00FE0396" w:rsidRPr="00FE0396" w:rsidRDefault="00FE0396" w:rsidP="00FE0396">
      <w:pPr>
        <w:rPr>
          <w:sz w:val="28"/>
          <w:szCs w:val="28"/>
        </w:rPr>
      </w:pPr>
      <w:r w:rsidRPr="00FE0396">
        <w:rPr>
          <w:sz w:val="28"/>
          <w:szCs w:val="28"/>
        </w:rPr>
        <w:t xml:space="preserve">Market liquidity, often measured by the bid-ask spread, indicates the ease with which assets can be bought or sold in the market. This metric helps determine whether the Volcker Rule has adversely affected the fluidity of financial markets. Finally, bank profitability, assessed through Return on Assets (ROA) </w:t>
      </w:r>
      <w:r w:rsidRPr="00FE0396">
        <w:rPr>
          <w:sz w:val="28"/>
          <w:szCs w:val="28"/>
        </w:rPr>
        <w:lastRenderedPageBreak/>
        <w:t>and Return on Equity (ROE), evaluates the rule's broader impact on the financial health and performance of banks.</w:t>
      </w:r>
    </w:p>
    <w:p w14:paraId="315F5C25" w14:textId="77777777" w:rsidR="007E090C" w:rsidRPr="007E090C" w:rsidRDefault="007E090C" w:rsidP="007E090C">
      <w:pPr>
        <w:rPr>
          <w:sz w:val="28"/>
          <w:szCs w:val="28"/>
        </w:rPr>
      </w:pPr>
      <w:r w:rsidRPr="007E090C">
        <w:rPr>
          <w:sz w:val="28"/>
          <w:szCs w:val="28"/>
        </w:rPr>
        <w:t>The Volcker Rule is a part of the Dodd-Frank Wall Street Reform and Consumer Protection Act, which was enacted in response to the 2008 financial crisis. Named after former Federal Reserve Chairman Paul Volcker, the rule aims to restrict U.S. banks from making certain kinds of speculative investments that do not benefit their customers. Here's an overview of the Volcker Rule:</w:t>
      </w:r>
    </w:p>
    <w:p w14:paraId="325ED0D5" w14:textId="77777777" w:rsidR="007E090C" w:rsidRPr="007E090C" w:rsidRDefault="007E090C" w:rsidP="007E090C">
      <w:pPr>
        <w:rPr>
          <w:sz w:val="28"/>
          <w:szCs w:val="28"/>
        </w:rPr>
      </w:pPr>
    </w:p>
    <w:p w14:paraId="7A7E499A" w14:textId="2A3055E3" w:rsidR="007E090C" w:rsidRPr="007E090C" w:rsidRDefault="007E090C" w:rsidP="007E090C">
      <w:pPr>
        <w:rPr>
          <w:b/>
          <w:bCs/>
          <w:sz w:val="28"/>
          <w:szCs w:val="28"/>
        </w:rPr>
      </w:pPr>
      <w:r w:rsidRPr="007E090C">
        <w:rPr>
          <w:b/>
          <w:bCs/>
          <w:sz w:val="28"/>
          <w:szCs w:val="28"/>
        </w:rPr>
        <w:t xml:space="preserve"> Objectives of the Volcker Rule</w:t>
      </w:r>
    </w:p>
    <w:p w14:paraId="59DA8B0F" w14:textId="4EF5D9B0" w:rsidR="007E090C" w:rsidRPr="007E090C" w:rsidRDefault="007E090C" w:rsidP="007E090C">
      <w:pPr>
        <w:rPr>
          <w:sz w:val="28"/>
          <w:szCs w:val="28"/>
        </w:rPr>
      </w:pPr>
      <w:r w:rsidRPr="007E090C">
        <w:rPr>
          <w:b/>
          <w:bCs/>
          <w:sz w:val="28"/>
          <w:szCs w:val="28"/>
        </w:rPr>
        <w:t>1. Limit Proprietary Trading:</w:t>
      </w:r>
      <w:r w:rsidRPr="007E090C">
        <w:rPr>
          <w:sz w:val="28"/>
          <w:szCs w:val="28"/>
        </w:rPr>
        <w:t xml:space="preserve"> Prohibits banks from engaging in proprietary trading, which is the practice of trading financial instruments for the bank's own account rather than on behalf of customers. The goal is to reduce risky trading activities that could lead to significant losses and pose a threat to the financial system.</w:t>
      </w:r>
    </w:p>
    <w:p w14:paraId="3015B0DE" w14:textId="77777777" w:rsidR="007E090C" w:rsidRPr="007E090C" w:rsidRDefault="007E090C" w:rsidP="007E090C">
      <w:pPr>
        <w:rPr>
          <w:sz w:val="28"/>
          <w:szCs w:val="28"/>
        </w:rPr>
      </w:pPr>
      <w:r w:rsidRPr="007E090C">
        <w:rPr>
          <w:sz w:val="28"/>
          <w:szCs w:val="28"/>
        </w:rPr>
        <w:t xml:space="preserve">   </w:t>
      </w:r>
    </w:p>
    <w:p w14:paraId="4B2EF623" w14:textId="33B207BB" w:rsidR="007E090C" w:rsidRPr="007E090C" w:rsidRDefault="007E090C" w:rsidP="007E090C">
      <w:pPr>
        <w:rPr>
          <w:sz w:val="28"/>
          <w:szCs w:val="28"/>
        </w:rPr>
      </w:pPr>
      <w:r w:rsidRPr="007E090C">
        <w:rPr>
          <w:b/>
          <w:bCs/>
          <w:sz w:val="28"/>
          <w:szCs w:val="28"/>
        </w:rPr>
        <w:t>2. Restrict Ownership Interests:</w:t>
      </w:r>
      <w:r w:rsidRPr="007E090C">
        <w:rPr>
          <w:sz w:val="28"/>
          <w:szCs w:val="28"/>
        </w:rPr>
        <w:t xml:space="preserve"> Limits banks from owning or investing in hedge funds and private equity funds. The intention is to prevent banks from taking excessive risks through investments in these high-risk vehicles.</w:t>
      </w:r>
    </w:p>
    <w:p w14:paraId="63A56D1C" w14:textId="77777777" w:rsidR="007E090C" w:rsidRPr="007E090C" w:rsidRDefault="007E090C" w:rsidP="007E090C">
      <w:pPr>
        <w:rPr>
          <w:sz w:val="28"/>
          <w:szCs w:val="28"/>
        </w:rPr>
      </w:pPr>
    </w:p>
    <w:p w14:paraId="5C57C78D" w14:textId="1B5BBF28" w:rsidR="007E090C" w:rsidRPr="007E090C" w:rsidRDefault="007E090C" w:rsidP="007E090C">
      <w:pPr>
        <w:rPr>
          <w:b/>
          <w:bCs/>
          <w:sz w:val="28"/>
          <w:szCs w:val="28"/>
        </w:rPr>
      </w:pPr>
      <w:r w:rsidRPr="007E090C">
        <w:rPr>
          <w:b/>
          <w:bCs/>
          <w:sz w:val="28"/>
          <w:szCs w:val="28"/>
        </w:rPr>
        <w:t xml:space="preserve"> Key Provisions</w:t>
      </w:r>
    </w:p>
    <w:p w14:paraId="2E8F5A25" w14:textId="48272A14" w:rsidR="007E090C" w:rsidRPr="007E090C" w:rsidRDefault="007E090C" w:rsidP="007E090C">
      <w:pPr>
        <w:rPr>
          <w:sz w:val="28"/>
          <w:szCs w:val="28"/>
        </w:rPr>
      </w:pPr>
      <w:r w:rsidRPr="007E090C">
        <w:rPr>
          <w:b/>
          <w:bCs/>
          <w:sz w:val="28"/>
          <w:szCs w:val="28"/>
        </w:rPr>
        <w:t>1. Proprietary Trading Ban</w:t>
      </w:r>
      <w:r>
        <w:rPr>
          <w:b/>
          <w:bCs/>
          <w:sz w:val="28"/>
          <w:szCs w:val="28"/>
        </w:rPr>
        <w:t>ks</w:t>
      </w:r>
      <w:r w:rsidRPr="007E090C">
        <w:rPr>
          <w:b/>
          <w:bCs/>
          <w:sz w:val="28"/>
          <w:szCs w:val="28"/>
        </w:rPr>
        <w:t>:</w:t>
      </w:r>
      <w:r w:rsidRPr="007E090C">
        <w:rPr>
          <w:sz w:val="28"/>
          <w:szCs w:val="28"/>
        </w:rPr>
        <w:t xml:space="preserve"> Banks are generally not allowed to engage in short-term proprietary trading of securities, derivatives, commodity futures, and options on these instruments for their own profit, unrelated to serving customers.</w:t>
      </w:r>
    </w:p>
    <w:p w14:paraId="4C8202D3" w14:textId="77777777" w:rsidR="007E090C" w:rsidRPr="007E090C" w:rsidRDefault="007E090C" w:rsidP="007E090C">
      <w:pPr>
        <w:rPr>
          <w:sz w:val="28"/>
          <w:szCs w:val="28"/>
        </w:rPr>
      </w:pPr>
      <w:r w:rsidRPr="007E090C">
        <w:rPr>
          <w:sz w:val="28"/>
          <w:szCs w:val="28"/>
        </w:rPr>
        <w:t xml:space="preserve">   </w:t>
      </w:r>
    </w:p>
    <w:p w14:paraId="32B33A23" w14:textId="2F01A10B" w:rsidR="007E090C" w:rsidRPr="007E090C" w:rsidRDefault="007E090C" w:rsidP="007E090C">
      <w:pPr>
        <w:rPr>
          <w:sz w:val="28"/>
          <w:szCs w:val="28"/>
        </w:rPr>
      </w:pPr>
      <w:r w:rsidRPr="007E090C">
        <w:rPr>
          <w:b/>
          <w:bCs/>
          <w:sz w:val="28"/>
          <w:szCs w:val="28"/>
        </w:rPr>
        <w:t>2. Covered Funds:</w:t>
      </w:r>
      <w:r w:rsidRPr="007E090C">
        <w:rPr>
          <w:sz w:val="28"/>
          <w:szCs w:val="28"/>
        </w:rPr>
        <w:t xml:space="preserve"> The rule restricts banks from acquiring or retaining ownership interests in, sponsoring, or having certain relationships with hedge funds or private equity funds.</w:t>
      </w:r>
    </w:p>
    <w:p w14:paraId="20CA1042" w14:textId="77777777" w:rsidR="007E090C" w:rsidRPr="007E090C" w:rsidRDefault="007E090C" w:rsidP="007E090C">
      <w:pPr>
        <w:rPr>
          <w:sz w:val="28"/>
          <w:szCs w:val="28"/>
        </w:rPr>
      </w:pPr>
    </w:p>
    <w:p w14:paraId="5934B9FF" w14:textId="77777777" w:rsidR="007E090C" w:rsidRDefault="007E090C" w:rsidP="007E090C">
      <w:pPr>
        <w:rPr>
          <w:b/>
          <w:bCs/>
          <w:sz w:val="28"/>
          <w:szCs w:val="28"/>
        </w:rPr>
      </w:pPr>
    </w:p>
    <w:p w14:paraId="0E28D4F4" w14:textId="77777777" w:rsidR="007E090C" w:rsidRDefault="007E090C" w:rsidP="007E090C">
      <w:pPr>
        <w:rPr>
          <w:b/>
          <w:bCs/>
          <w:sz w:val="28"/>
          <w:szCs w:val="28"/>
        </w:rPr>
      </w:pPr>
    </w:p>
    <w:p w14:paraId="02DE68A8" w14:textId="71BF8355" w:rsidR="007E090C" w:rsidRPr="007E090C" w:rsidRDefault="007E090C" w:rsidP="007E090C">
      <w:pPr>
        <w:rPr>
          <w:b/>
          <w:bCs/>
          <w:sz w:val="28"/>
          <w:szCs w:val="28"/>
        </w:rPr>
      </w:pPr>
      <w:r w:rsidRPr="007E090C">
        <w:rPr>
          <w:b/>
          <w:bCs/>
          <w:sz w:val="28"/>
          <w:szCs w:val="28"/>
        </w:rPr>
        <w:lastRenderedPageBreak/>
        <w:t xml:space="preserve">3. Exemptions: </w:t>
      </w:r>
    </w:p>
    <w:p w14:paraId="29619CBF" w14:textId="33B230CA" w:rsidR="007E090C" w:rsidRPr="007E090C" w:rsidRDefault="007E090C" w:rsidP="007E090C">
      <w:pPr>
        <w:rPr>
          <w:sz w:val="28"/>
          <w:szCs w:val="28"/>
        </w:rPr>
      </w:pPr>
      <w:r w:rsidRPr="007E090C">
        <w:rPr>
          <w:sz w:val="28"/>
          <w:szCs w:val="28"/>
        </w:rPr>
        <w:t xml:space="preserve">   </w:t>
      </w:r>
      <w:r w:rsidRPr="007E090C">
        <w:rPr>
          <w:b/>
          <w:bCs/>
          <w:sz w:val="28"/>
          <w:szCs w:val="28"/>
        </w:rPr>
        <w:t>- Market Making:</w:t>
      </w:r>
      <w:r w:rsidRPr="007E090C">
        <w:rPr>
          <w:sz w:val="28"/>
          <w:szCs w:val="28"/>
        </w:rPr>
        <w:t xml:space="preserve"> Banks can continue market-making activities, where they facilitate customer transactions by buying and selling financial instruments.</w:t>
      </w:r>
    </w:p>
    <w:p w14:paraId="20C70935" w14:textId="55216A56" w:rsidR="007E090C" w:rsidRPr="007E090C" w:rsidRDefault="007E090C" w:rsidP="007E090C">
      <w:pPr>
        <w:rPr>
          <w:sz w:val="28"/>
          <w:szCs w:val="28"/>
        </w:rPr>
      </w:pPr>
      <w:r w:rsidRPr="007E090C">
        <w:rPr>
          <w:sz w:val="28"/>
          <w:szCs w:val="28"/>
        </w:rPr>
        <w:t xml:space="preserve">   </w:t>
      </w:r>
      <w:r w:rsidRPr="007E090C">
        <w:rPr>
          <w:b/>
          <w:bCs/>
          <w:sz w:val="28"/>
          <w:szCs w:val="28"/>
        </w:rPr>
        <w:t>- Hedging:</w:t>
      </w:r>
      <w:r w:rsidRPr="007E090C">
        <w:rPr>
          <w:sz w:val="28"/>
          <w:szCs w:val="28"/>
        </w:rPr>
        <w:t xml:space="preserve"> Banks are allowed to engage in hedging activities to mitigate risks directly related to their business.</w:t>
      </w:r>
    </w:p>
    <w:p w14:paraId="0EB8FB1E" w14:textId="5CCDC79F" w:rsidR="007E090C" w:rsidRPr="007E090C" w:rsidRDefault="007E090C" w:rsidP="007E090C">
      <w:pPr>
        <w:rPr>
          <w:sz w:val="28"/>
          <w:szCs w:val="28"/>
        </w:rPr>
      </w:pPr>
      <w:r w:rsidRPr="007E090C">
        <w:rPr>
          <w:b/>
          <w:bCs/>
          <w:sz w:val="28"/>
          <w:szCs w:val="28"/>
        </w:rPr>
        <w:t xml:space="preserve">   - Underwriting:</w:t>
      </w:r>
      <w:r w:rsidRPr="007E090C">
        <w:rPr>
          <w:sz w:val="28"/>
          <w:szCs w:val="28"/>
        </w:rPr>
        <w:t xml:space="preserve"> Banks can underwrite securities, a process essential for capital raising and market liquidity.</w:t>
      </w:r>
    </w:p>
    <w:p w14:paraId="69865E9A" w14:textId="2BF179FF" w:rsidR="007E090C" w:rsidRPr="007E090C" w:rsidRDefault="007E090C" w:rsidP="007E090C">
      <w:pPr>
        <w:rPr>
          <w:sz w:val="28"/>
          <w:szCs w:val="28"/>
        </w:rPr>
      </w:pPr>
      <w:r w:rsidRPr="007E090C">
        <w:rPr>
          <w:sz w:val="28"/>
          <w:szCs w:val="28"/>
        </w:rPr>
        <w:t xml:space="preserve">   </w:t>
      </w:r>
      <w:r w:rsidRPr="007E090C">
        <w:rPr>
          <w:b/>
          <w:bCs/>
          <w:sz w:val="28"/>
          <w:szCs w:val="28"/>
        </w:rPr>
        <w:t>- Government Securities:</w:t>
      </w:r>
      <w:r w:rsidRPr="007E090C">
        <w:rPr>
          <w:sz w:val="28"/>
          <w:szCs w:val="28"/>
        </w:rPr>
        <w:t xml:space="preserve"> Transactions involving U.S. government securities, state and municipal bonds are exempt.</w:t>
      </w:r>
    </w:p>
    <w:p w14:paraId="62E81655" w14:textId="77777777" w:rsidR="007E090C" w:rsidRPr="007E090C" w:rsidRDefault="007E090C" w:rsidP="007E090C">
      <w:pPr>
        <w:rPr>
          <w:sz w:val="28"/>
          <w:szCs w:val="28"/>
        </w:rPr>
      </w:pPr>
      <w:r w:rsidRPr="007E090C">
        <w:rPr>
          <w:sz w:val="28"/>
          <w:szCs w:val="28"/>
        </w:rPr>
        <w:t xml:space="preserve">   </w:t>
      </w:r>
    </w:p>
    <w:p w14:paraId="7CAD934A" w14:textId="1EDC2C4A" w:rsidR="007E090C" w:rsidRPr="007E090C" w:rsidRDefault="007E090C" w:rsidP="007E090C">
      <w:pPr>
        <w:rPr>
          <w:sz w:val="28"/>
          <w:szCs w:val="28"/>
        </w:rPr>
      </w:pPr>
      <w:r w:rsidRPr="007E090C">
        <w:rPr>
          <w:b/>
          <w:bCs/>
          <w:sz w:val="28"/>
          <w:szCs w:val="28"/>
        </w:rPr>
        <w:t>4. Compliance Programs:</w:t>
      </w:r>
      <w:r w:rsidRPr="007E090C">
        <w:rPr>
          <w:sz w:val="28"/>
          <w:szCs w:val="28"/>
        </w:rPr>
        <w:t xml:space="preserve"> Banks are required to establish internal compliance programs to ensure adherence to the Volcker Rule, including monitoring and reporting requirements.</w:t>
      </w:r>
    </w:p>
    <w:p w14:paraId="29F88AF9" w14:textId="77777777" w:rsidR="007E090C" w:rsidRPr="007E090C" w:rsidRDefault="007E090C" w:rsidP="007E090C">
      <w:pPr>
        <w:rPr>
          <w:sz w:val="28"/>
          <w:szCs w:val="28"/>
        </w:rPr>
      </w:pPr>
    </w:p>
    <w:p w14:paraId="3EF84D7F" w14:textId="4F7E5215" w:rsidR="007E090C" w:rsidRPr="007E090C" w:rsidRDefault="007E090C" w:rsidP="007E090C">
      <w:pPr>
        <w:rPr>
          <w:b/>
          <w:bCs/>
          <w:sz w:val="28"/>
          <w:szCs w:val="28"/>
        </w:rPr>
      </w:pPr>
      <w:r w:rsidRPr="007E090C">
        <w:rPr>
          <w:b/>
          <w:bCs/>
          <w:sz w:val="28"/>
          <w:szCs w:val="28"/>
        </w:rPr>
        <w:t xml:space="preserve"> Implementation and Impact</w:t>
      </w:r>
    </w:p>
    <w:p w14:paraId="56C1CF36" w14:textId="167184F5" w:rsidR="007E090C" w:rsidRPr="007E090C" w:rsidRDefault="007E090C" w:rsidP="007E090C">
      <w:pPr>
        <w:rPr>
          <w:sz w:val="28"/>
          <w:szCs w:val="28"/>
        </w:rPr>
      </w:pPr>
      <w:r w:rsidRPr="007E090C">
        <w:rPr>
          <w:b/>
          <w:bCs/>
          <w:sz w:val="28"/>
          <w:szCs w:val="28"/>
        </w:rPr>
        <w:t>- Compliance:</w:t>
      </w:r>
      <w:r w:rsidRPr="007E090C">
        <w:rPr>
          <w:sz w:val="28"/>
          <w:szCs w:val="28"/>
        </w:rPr>
        <w:t xml:space="preserve"> Banks have implemented various measures to ensure compliance with the Volcker Rule, including creating internal controls and reporting systems.</w:t>
      </w:r>
    </w:p>
    <w:p w14:paraId="64372ECB" w14:textId="3E93C1A1" w:rsidR="007E090C" w:rsidRPr="007E090C" w:rsidRDefault="007E090C" w:rsidP="007E090C">
      <w:pPr>
        <w:rPr>
          <w:sz w:val="28"/>
          <w:szCs w:val="28"/>
        </w:rPr>
      </w:pPr>
      <w:r w:rsidRPr="007E090C">
        <w:rPr>
          <w:b/>
          <w:bCs/>
          <w:sz w:val="28"/>
          <w:szCs w:val="28"/>
        </w:rPr>
        <w:t>- Market Impact:</w:t>
      </w:r>
      <w:r w:rsidRPr="007E090C">
        <w:rPr>
          <w:sz w:val="28"/>
          <w:szCs w:val="28"/>
        </w:rPr>
        <w:t xml:space="preserve"> The rule has led to a reduction in proprietary trading activities among banks, with some arguing it has improved financial stability, while others believe it has reduced market liquidity and made it harder for banks to engage in certain beneficial trading activities.</w:t>
      </w:r>
    </w:p>
    <w:p w14:paraId="340B1C54" w14:textId="77777777" w:rsidR="007E090C" w:rsidRPr="007E090C" w:rsidRDefault="007E090C" w:rsidP="007E090C">
      <w:pPr>
        <w:rPr>
          <w:sz w:val="28"/>
          <w:szCs w:val="28"/>
        </w:rPr>
      </w:pPr>
    </w:p>
    <w:p w14:paraId="294AA2A6" w14:textId="3C1FC75F" w:rsidR="007E090C" w:rsidRPr="007E090C" w:rsidRDefault="007E090C" w:rsidP="007E090C">
      <w:pPr>
        <w:rPr>
          <w:b/>
          <w:bCs/>
          <w:sz w:val="28"/>
          <w:szCs w:val="28"/>
        </w:rPr>
      </w:pPr>
      <w:r w:rsidRPr="007E090C">
        <w:rPr>
          <w:b/>
          <w:bCs/>
          <w:sz w:val="28"/>
          <w:szCs w:val="28"/>
        </w:rPr>
        <w:t xml:space="preserve"> Revisions and Challenges</w:t>
      </w:r>
    </w:p>
    <w:p w14:paraId="2F4E95DE" w14:textId="28272597" w:rsidR="007E090C" w:rsidRPr="007E090C" w:rsidRDefault="007E090C" w:rsidP="007E090C">
      <w:pPr>
        <w:rPr>
          <w:sz w:val="28"/>
          <w:szCs w:val="28"/>
        </w:rPr>
      </w:pPr>
      <w:r w:rsidRPr="007E090C">
        <w:rPr>
          <w:b/>
          <w:bCs/>
          <w:sz w:val="28"/>
          <w:szCs w:val="28"/>
        </w:rPr>
        <w:t>- Regulatory Adjustments:</w:t>
      </w:r>
      <w:r w:rsidRPr="007E090C">
        <w:rPr>
          <w:sz w:val="28"/>
          <w:szCs w:val="28"/>
        </w:rPr>
        <w:t xml:space="preserve"> Over the years, there have been calls to revise and simplify the Volcker Rule, with some changes made to reduce compliance burdens while maintaining core protections. For example, in 2019, regulators made changes to simplify compliance for smaller banks and reduce restrictions on certain trading activities.</w:t>
      </w:r>
    </w:p>
    <w:p w14:paraId="74D83E23" w14:textId="77777777" w:rsidR="007E090C" w:rsidRPr="007E090C" w:rsidRDefault="007E090C" w:rsidP="007E090C">
      <w:pPr>
        <w:rPr>
          <w:sz w:val="28"/>
          <w:szCs w:val="28"/>
        </w:rPr>
      </w:pPr>
    </w:p>
    <w:p w14:paraId="26D4B269" w14:textId="40AFFA4E" w:rsidR="007E090C" w:rsidRPr="007E090C" w:rsidRDefault="007E090C" w:rsidP="007E090C">
      <w:pPr>
        <w:rPr>
          <w:b/>
          <w:bCs/>
          <w:sz w:val="28"/>
          <w:szCs w:val="28"/>
        </w:rPr>
      </w:pPr>
      <w:r w:rsidRPr="007E090C">
        <w:rPr>
          <w:b/>
          <w:bCs/>
          <w:sz w:val="28"/>
          <w:szCs w:val="28"/>
        </w:rPr>
        <w:t xml:space="preserve">- Criticism and Support: </w:t>
      </w:r>
    </w:p>
    <w:p w14:paraId="48CD3CFC" w14:textId="5381C41F" w:rsidR="007E090C" w:rsidRPr="007E090C" w:rsidRDefault="007E090C" w:rsidP="007E090C">
      <w:pPr>
        <w:rPr>
          <w:sz w:val="28"/>
          <w:szCs w:val="28"/>
        </w:rPr>
      </w:pPr>
      <w:r w:rsidRPr="007E090C">
        <w:rPr>
          <w:sz w:val="28"/>
          <w:szCs w:val="28"/>
        </w:rPr>
        <w:lastRenderedPageBreak/>
        <w:t xml:space="preserve">   </w:t>
      </w:r>
      <w:r w:rsidRPr="007E090C">
        <w:rPr>
          <w:b/>
          <w:bCs/>
          <w:sz w:val="28"/>
          <w:szCs w:val="28"/>
        </w:rPr>
        <w:t>- Supporters:</w:t>
      </w:r>
      <w:r w:rsidRPr="007E090C">
        <w:rPr>
          <w:sz w:val="28"/>
          <w:szCs w:val="28"/>
        </w:rPr>
        <w:t xml:space="preserve"> Argue that the rule is essential for preventing banks from engaging in risky </w:t>
      </w:r>
      <w:proofErr w:type="spellStart"/>
      <w:r w:rsidRPr="007E090C">
        <w:rPr>
          <w:sz w:val="28"/>
          <w:szCs w:val="28"/>
        </w:rPr>
        <w:t>behavior</w:t>
      </w:r>
      <w:proofErr w:type="spellEnd"/>
      <w:r w:rsidRPr="007E090C">
        <w:rPr>
          <w:sz w:val="28"/>
          <w:szCs w:val="28"/>
        </w:rPr>
        <w:t xml:space="preserve"> that could lead to another financial crisis.</w:t>
      </w:r>
    </w:p>
    <w:p w14:paraId="04A97D65" w14:textId="23C89F06" w:rsidR="007E090C" w:rsidRPr="007E090C" w:rsidRDefault="007E090C" w:rsidP="007E090C">
      <w:pPr>
        <w:rPr>
          <w:sz w:val="28"/>
          <w:szCs w:val="28"/>
        </w:rPr>
      </w:pPr>
      <w:r w:rsidRPr="007E090C">
        <w:rPr>
          <w:sz w:val="28"/>
          <w:szCs w:val="28"/>
        </w:rPr>
        <w:t xml:space="preserve">   </w:t>
      </w:r>
      <w:r w:rsidRPr="007E090C">
        <w:rPr>
          <w:b/>
          <w:bCs/>
          <w:sz w:val="28"/>
          <w:szCs w:val="28"/>
        </w:rPr>
        <w:t>- Critics:</w:t>
      </w:r>
      <w:r w:rsidRPr="007E090C">
        <w:rPr>
          <w:sz w:val="28"/>
          <w:szCs w:val="28"/>
        </w:rPr>
        <w:t xml:space="preserve"> Claim that the rule is too complex and restrictive, potentially harming market liquidity and the ability of banks to serve their clients effectively.</w:t>
      </w:r>
    </w:p>
    <w:p w14:paraId="753C4A1B" w14:textId="77777777" w:rsidR="007E090C" w:rsidRPr="007E090C" w:rsidRDefault="007E090C" w:rsidP="007E090C">
      <w:pPr>
        <w:rPr>
          <w:sz w:val="28"/>
          <w:szCs w:val="28"/>
        </w:rPr>
      </w:pPr>
    </w:p>
    <w:p w14:paraId="2EF40891" w14:textId="3D24995D" w:rsidR="00FE0396" w:rsidRPr="00FE0396" w:rsidRDefault="00FE0396" w:rsidP="00FE0396">
      <w:pPr>
        <w:rPr>
          <w:sz w:val="28"/>
          <w:szCs w:val="28"/>
        </w:rPr>
      </w:pPr>
      <w:r w:rsidRPr="00FE0396">
        <w:rPr>
          <w:sz w:val="28"/>
          <w:szCs w:val="28"/>
        </w:rPr>
        <w:t>To analyse the impact of the Volcker Rule over the past five years, let's consider the following metrics:</w:t>
      </w:r>
    </w:p>
    <w:p w14:paraId="62F95F24" w14:textId="77777777" w:rsidR="00FE0396" w:rsidRPr="00FE0396" w:rsidRDefault="00FE0396" w:rsidP="00FE0396">
      <w:pPr>
        <w:rPr>
          <w:sz w:val="28"/>
          <w:szCs w:val="28"/>
        </w:rPr>
      </w:pPr>
      <w:r w:rsidRPr="00FE0396">
        <w:rPr>
          <w:sz w:val="28"/>
          <w:szCs w:val="28"/>
        </w:rPr>
        <w:t>1. Bank trading activities</w:t>
      </w:r>
    </w:p>
    <w:p w14:paraId="13C3D853" w14:textId="77777777" w:rsidR="00FE0396" w:rsidRPr="00FE0396" w:rsidRDefault="00FE0396" w:rsidP="00FE0396">
      <w:pPr>
        <w:rPr>
          <w:sz w:val="28"/>
          <w:szCs w:val="28"/>
        </w:rPr>
      </w:pPr>
      <w:r w:rsidRPr="00FE0396">
        <w:rPr>
          <w:sz w:val="28"/>
          <w:szCs w:val="28"/>
        </w:rPr>
        <w:t>2. Proprietary trading revenue</w:t>
      </w:r>
    </w:p>
    <w:p w14:paraId="5B4E9F60" w14:textId="77777777" w:rsidR="00FE0396" w:rsidRPr="00FE0396" w:rsidRDefault="00FE0396" w:rsidP="00FE0396">
      <w:pPr>
        <w:rPr>
          <w:sz w:val="28"/>
          <w:szCs w:val="28"/>
        </w:rPr>
      </w:pPr>
      <w:r w:rsidRPr="00FE0396">
        <w:rPr>
          <w:sz w:val="28"/>
          <w:szCs w:val="28"/>
        </w:rPr>
        <w:t>3. Compliance costs</w:t>
      </w:r>
    </w:p>
    <w:p w14:paraId="7244FAB1" w14:textId="77777777" w:rsidR="00FE0396" w:rsidRPr="00FE0396" w:rsidRDefault="00FE0396" w:rsidP="00FE0396">
      <w:pPr>
        <w:rPr>
          <w:sz w:val="28"/>
          <w:szCs w:val="28"/>
        </w:rPr>
      </w:pPr>
      <w:r w:rsidRPr="00FE0396">
        <w:rPr>
          <w:sz w:val="28"/>
          <w:szCs w:val="28"/>
        </w:rPr>
        <w:t>4. Market liquidity</w:t>
      </w:r>
    </w:p>
    <w:p w14:paraId="5B5249D1" w14:textId="77777777" w:rsidR="00FE0396" w:rsidRPr="00FE0396" w:rsidRDefault="00FE0396" w:rsidP="00FE0396">
      <w:pPr>
        <w:rPr>
          <w:sz w:val="28"/>
          <w:szCs w:val="28"/>
        </w:rPr>
      </w:pPr>
      <w:r w:rsidRPr="00FE0396">
        <w:rPr>
          <w:sz w:val="28"/>
          <w:szCs w:val="28"/>
        </w:rPr>
        <w:t>5. Bank profitability</w:t>
      </w:r>
    </w:p>
    <w:p w14:paraId="7EE6B7F4" w14:textId="77777777" w:rsidR="00FE0396" w:rsidRPr="00FE0396" w:rsidRDefault="00FE0396" w:rsidP="00FE0396">
      <w:pPr>
        <w:rPr>
          <w:sz w:val="28"/>
          <w:szCs w:val="28"/>
        </w:rPr>
      </w:pPr>
    </w:p>
    <w:p w14:paraId="742C1475" w14:textId="62625EE6" w:rsidR="00FE0396" w:rsidRPr="00FE0396" w:rsidRDefault="00FE0396" w:rsidP="00FE0396">
      <w:pPr>
        <w:rPr>
          <w:sz w:val="28"/>
          <w:szCs w:val="28"/>
        </w:rPr>
      </w:pPr>
      <w:r w:rsidRPr="00FE0396">
        <w:rPr>
          <w:sz w:val="28"/>
          <w:szCs w:val="28"/>
        </w:rPr>
        <w:t xml:space="preserve">We'll compile data from reliable sources and create tables and graphs to illustrate trends and impacts. </w:t>
      </w:r>
      <w:r w:rsidR="00D7302E">
        <w:rPr>
          <w:sz w:val="28"/>
          <w:szCs w:val="28"/>
        </w:rPr>
        <w:t>B</w:t>
      </w:r>
      <w:r w:rsidRPr="00FE0396">
        <w:rPr>
          <w:sz w:val="28"/>
          <w:szCs w:val="28"/>
        </w:rPr>
        <w:t>y gathering and presenting data for these metrics over the past five years.</w:t>
      </w:r>
    </w:p>
    <w:p w14:paraId="5A19C06B" w14:textId="77777777" w:rsidR="00FE0396" w:rsidRPr="00FE0396" w:rsidRDefault="00FE0396" w:rsidP="00FE0396">
      <w:pPr>
        <w:rPr>
          <w:sz w:val="28"/>
          <w:szCs w:val="28"/>
        </w:rPr>
      </w:pPr>
    </w:p>
    <w:p w14:paraId="28F7A2B6" w14:textId="792E2BEF" w:rsidR="00FE0396" w:rsidRPr="00D7302E" w:rsidRDefault="00FE0396" w:rsidP="00FE0396">
      <w:pPr>
        <w:rPr>
          <w:b/>
          <w:bCs/>
          <w:sz w:val="28"/>
          <w:szCs w:val="28"/>
        </w:rPr>
      </w:pPr>
      <w:r w:rsidRPr="00D7302E">
        <w:rPr>
          <w:b/>
          <w:bCs/>
          <w:sz w:val="28"/>
          <w:szCs w:val="28"/>
        </w:rPr>
        <w:t xml:space="preserve"> 1. Bank Trading Activities</w:t>
      </w:r>
    </w:p>
    <w:p w14:paraId="3F29F1CA" w14:textId="77777777" w:rsidR="00FE0396" w:rsidRPr="00FE0396" w:rsidRDefault="00FE0396" w:rsidP="00FE0396">
      <w:pPr>
        <w:rPr>
          <w:sz w:val="28"/>
          <w:szCs w:val="28"/>
        </w:rPr>
      </w:pPr>
      <w:r w:rsidRPr="00FE0396">
        <w:rPr>
          <w:sz w:val="28"/>
          <w:szCs w:val="28"/>
        </w:rPr>
        <w:t>We'll examine the volume of trading activities by major U.S. banks.</w:t>
      </w:r>
    </w:p>
    <w:p w14:paraId="472DABC6" w14:textId="77777777" w:rsidR="00FE0396" w:rsidRPr="00FE0396" w:rsidRDefault="00FE0396" w:rsidP="00FE0396">
      <w:pPr>
        <w:rPr>
          <w:sz w:val="28"/>
          <w:szCs w:val="28"/>
        </w:rPr>
      </w:pPr>
    </w:p>
    <w:p w14:paraId="3E239928" w14:textId="7B586130" w:rsidR="00FE0396" w:rsidRPr="00D7302E" w:rsidRDefault="00FE0396" w:rsidP="00FE0396">
      <w:pPr>
        <w:rPr>
          <w:b/>
          <w:bCs/>
          <w:sz w:val="28"/>
          <w:szCs w:val="28"/>
        </w:rPr>
      </w:pPr>
      <w:r w:rsidRPr="00D7302E">
        <w:rPr>
          <w:b/>
          <w:bCs/>
          <w:sz w:val="28"/>
          <w:szCs w:val="28"/>
        </w:rPr>
        <w:t xml:space="preserve"> 2. Proprietary Trading Revenue</w:t>
      </w:r>
    </w:p>
    <w:p w14:paraId="76B75F48" w14:textId="77777777" w:rsidR="00FE0396" w:rsidRPr="00FE0396" w:rsidRDefault="00FE0396" w:rsidP="00FE0396">
      <w:pPr>
        <w:rPr>
          <w:sz w:val="28"/>
          <w:szCs w:val="28"/>
        </w:rPr>
      </w:pPr>
      <w:r w:rsidRPr="00FE0396">
        <w:rPr>
          <w:sz w:val="28"/>
          <w:szCs w:val="28"/>
        </w:rPr>
        <w:t>This involves looking at the revenue banks have earned from proprietary trading activities.</w:t>
      </w:r>
    </w:p>
    <w:p w14:paraId="73CF3F7E" w14:textId="77777777" w:rsidR="00FE0396" w:rsidRPr="00FE0396" w:rsidRDefault="00FE0396" w:rsidP="00FE0396">
      <w:pPr>
        <w:rPr>
          <w:sz w:val="28"/>
          <w:szCs w:val="28"/>
        </w:rPr>
      </w:pPr>
    </w:p>
    <w:p w14:paraId="70C3CC2B" w14:textId="089567E6" w:rsidR="00FE0396" w:rsidRPr="00D7302E" w:rsidRDefault="00FE0396" w:rsidP="00FE0396">
      <w:pPr>
        <w:rPr>
          <w:b/>
          <w:bCs/>
          <w:sz w:val="28"/>
          <w:szCs w:val="28"/>
        </w:rPr>
      </w:pPr>
      <w:r w:rsidRPr="00D7302E">
        <w:rPr>
          <w:b/>
          <w:bCs/>
          <w:sz w:val="28"/>
          <w:szCs w:val="28"/>
        </w:rPr>
        <w:t xml:space="preserve"> 3. Compliance Costs</w:t>
      </w:r>
    </w:p>
    <w:p w14:paraId="227C7027" w14:textId="77777777" w:rsidR="00FE0396" w:rsidRPr="00FE0396" w:rsidRDefault="00FE0396" w:rsidP="00FE0396">
      <w:pPr>
        <w:rPr>
          <w:sz w:val="28"/>
          <w:szCs w:val="28"/>
        </w:rPr>
      </w:pPr>
      <w:r w:rsidRPr="00FE0396">
        <w:rPr>
          <w:sz w:val="28"/>
          <w:szCs w:val="28"/>
        </w:rPr>
        <w:t>The costs incurred by banks to comply with the Volcker Rule regulations.</w:t>
      </w:r>
    </w:p>
    <w:p w14:paraId="1AE75C9D" w14:textId="77777777" w:rsidR="00FE0396" w:rsidRPr="00FE0396" w:rsidRDefault="00FE0396" w:rsidP="00FE0396">
      <w:pPr>
        <w:rPr>
          <w:sz w:val="28"/>
          <w:szCs w:val="28"/>
        </w:rPr>
      </w:pPr>
    </w:p>
    <w:p w14:paraId="38D8C1B6" w14:textId="66BFA6F6" w:rsidR="00FE0396" w:rsidRPr="00D7302E" w:rsidRDefault="00FE0396" w:rsidP="00FE0396">
      <w:pPr>
        <w:rPr>
          <w:b/>
          <w:bCs/>
          <w:sz w:val="28"/>
          <w:szCs w:val="28"/>
        </w:rPr>
      </w:pPr>
      <w:r w:rsidRPr="00D7302E">
        <w:rPr>
          <w:b/>
          <w:bCs/>
          <w:sz w:val="28"/>
          <w:szCs w:val="28"/>
        </w:rPr>
        <w:lastRenderedPageBreak/>
        <w:t xml:space="preserve"> 4. Market Liquidity</w:t>
      </w:r>
    </w:p>
    <w:p w14:paraId="6E8C3250" w14:textId="77777777" w:rsidR="00FE0396" w:rsidRPr="00FE0396" w:rsidRDefault="00FE0396" w:rsidP="00FE0396">
      <w:pPr>
        <w:rPr>
          <w:sz w:val="28"/>
          <w:szCs w:val="28"/>
        </w:rPr>
      </w:pPr>
      <w:r w:rsidRPr="00FE0396">
        <w:rPr>
          <w:sz w:val="28"/>
          <w:szCs w:val="28"/>
        </w:rPr>
        <w:t xml:space="preserve">We'll </w:t>
      </w:r>
      <w:proofErr w:type="spellStart"/>
      <w:r w:rsidRPr="00FE0396">
        <w:rPr>
          <w:sz w:val="28"/>
          <w:szCs w:val="28"/>
        </w:rPr>
        <w:t>analyze</w:t>
      </w:r>
      <w:proofErr w:type="spellEnd"/>
      <w:r w:rsidRPr="00FE0396">
        <w:rPr>
          <w:sz w:val="28"/>
          <w:szCs w:val="28"/>
        </w:rPr>
        <w:t xml:space="preserve"> the liquidity in various markets, particularly those impacted by bank trading activities.</w:t>
      </w:r>
    </w:p>
    <w:p w14:paraId="1373270B" w14:textId="77777777" w:rsidR="00FE0396" w:rsidRPr="00FE0396" w:rsidRDefault="00FE0396" w:rsidP="00FE0396">
      <w:pPr>
        <w:rPr>
          <w:sz w:val="28"/>
          <w:szCs w:val="28"/>
        </w:rPr>
      </w:pPr>
    </w:p>
    <w:p w14:paraId="43AD8DC3" w14:textId="61752559" w:rsidR="00FE0396" w:rsidRPr="00D7302E" w:rsidRDefault="00FE0396" w:rsidP="00FE0396">
      <w:pPr>
        <w:rPr>
          <w:b/>
          <w:bCs/>
          <w:sz w:val="28"/>
          <w:szCs w:val="28"/>
        </w:rPr>
      </w:pPr>
      <w:r w:rsidRPr="00D7302E">
        <w:rPr>
          <w:b/>
          <w:bCs/>
          <w:sz w:val="28"/>
          <w:szCs w:val="28"/>
        </w:rPr>
        <w:t xml:space="preserve"> 5. Bank Profitability</w:t>
      </w:r>
    </w:p>
    <w:p w14:paraId="74245797" w14:textId="77777777" w:rsidR="00FE0396" w:rsidRPr="00FE0396" w:rsidRDefault="00FE0396" w:rsidP="00FE0396">
      <w:pPr>
        <w:rPr>
          <w:sz w:val="28"/>
          <w:szCs w:val="28"/>
        </w:rPr>
      </w:pPr>
      <w:r w:rsidRPr="00FE0396">
        <w:rPr>
          <w:sz w:val="28"/>
          <w:szCs w:val="28"/>
        </w:rPr>
        <w:t>We'll look at the profitability of major U.S. banks over the past five years, including Return on Assets (ROA) and Return on Equity (ROE).</w:t>
      </w:r>
    </w:p>
    <w:p w14:paraId="31412F52" w14:textId="77777777" w:rsidR="00FE0396" w:rsidRPr="00FE0396" w:rsidRDefault="00FE0396" w:rsidP="00FE0396">
      <w:pPr>
        <w:rPr>
          <w:sz w:val="28"/>
          <w:szCs w:val="28"/>
        </w:rPr>
      </w:pPr>
    </w:p>
    <w:p w14:paraId="2CC1332F" w14:textId="15625D67" w:rsidR="00FE0396" w:rsidRPr="00FE0396" w:rsidRDefault="0097138F" w:rsidP="00FE0396">
      <w:pPr>
        <w:rPr>
          <w:sz w:val="28"/>
          <w:szCs w:val="28"/>
        </w:rPr>
      </w:pPr>
      <w:r>
        <w:rPr>
          <w:sz w:val="28"/>
          <w:szCs w:val="28"/>
        </w:rPr>
        <w:t>T</w:t>
      </w:r>
      <w:r w:rsidR="00FE0396" w:rsidRPr="00FE0396">
        <w:rPr>
          <w:sz w:val="28"/>
          <w:szCs w:val="28"/>
        </w:rPr>
        <w:t>he tables and graphs based on the data available for these metrics.</w:t>
      </w:r>
    </w:p>
    <w:p w14:paraId="0AD5561D" w14:textId="77777777" w:rsidR="00FE0396" w:rsidRPr="00FE0396" w:rsidRDefault="00FE0396" w:rsidP="00FE0396">
      <w:pPr>
        <w:rPr>
          <w:sz w:val="28"/>
          <w:szCs w:val="28"/>
        </w:rPr>
      </w:pPr>
    </w:p>
    <w:p w14:paraId="35554751" w14:textId="4EB28925" w:rsidR="00FE0396" w:rsidRPr="00D7302E" w:rsidRDefault="00FE0396" w:rsidP="00FE0396">
      <w:pPr>
        <w:rPr>
          <w:b/>
          <w:bCs/>
          <w:sz w:val="28"/>
          <w:szCs w:val="28"/>
        </w:rPr>
      </w:pPr>
      <w:r w:rsidRPr="00D7302E">
        <w:rPr>
          <w:b/>
          <w:bCs/>
          <w:sz w:val="28"/>
          <w:szCs w:val="28"/>
        </w:rPr>
        <w:t xml:space="preserve"> </w:t>
      </w:r>
      <w:r w:rsidR="007E090C">
        <w:rPr>
          <w:b/>
          <w:bCs/>
          <w:sz w:val="28"/>
          <w:szCs w:val="28"/>
        </w:rPr>
        <w:t xml:space="preserve">1. </w:t>
      </w:r>
      <w:r w:rsidRPr="00D7302E">
        <w:rPr>
          <w:b/>
          <w:bCs/>
          <w:sz w:val="28"/>
          <w:szCs w:val="28"/>
        </w:rPr>
        <w:t>Bank Trading Activities (2019-2023)</w:t>
      </w:r>
    </w:p>
    <w:tbl>
      <w:tblPr>
        <w:tblStyle w:val="TableGrid"/>
        <w:tblW w:w="9302" w:type="dxa"/>
        <w:tblLook w:val="04A0" w:firstRow="1" w:lastRow="0" w:firstColumn="1" w:lastColumn="0" w:noHBand="0" w:noVBand="1"/>
      </w:tblPr>
      <w:tblGrid>
        <w:gridCol w:w="4651"/>
        <w:gridCol w:w="4651"/>
      </w:tblGrid>
      <w:tr w:rsidR="0097138F" w:rsidRPr="00D7302E" w14:paraId="05DC1D11" w14:textId="77777777" w:rsidTr="00D7302E">
        <w:trPr>
          <w:trHeight w:val="458"/>
        </w:trPr>
        <w:tc>
          <w:tcPr>
            <w:tcW w:w="4651" w:type="dxa"/>
          </w:tcPr>
          <w:p w14:paraId="3F26C60B" w14:textId="1200091A" w:rsidR="0097138F" w:rsidRPr="00D7302E" w:rsidRDefault="0097138F" w:rsidP="00FE0396">
            <w:pPr>
              <w:rPr>
                <w:b/>
                <w:bCs/>
                <w:sz w:val="28"/>
                <w:szCs w:val="28"/>
              </w:rPr>
            </w:pPr>
            <w:r w:rsidRPr="00D7302E">
              <w:rPr>
                <w:b/>
                <w:bCs/>
                <w:sz w:val="28"/>
                <w:szCs w:val="28"/>
              </w:rPr>
              <w:t>Year</w:t>
            </w:r>
          </w:p>
        </w:tc>
        <w:tc>
          <w:tcPr>
            <w:tcW w:w="4651" w:type="dxa"/>
          </w:tcPr>
          <w:p w14:paraId="4D886D76" w14:textId="5D799271" w:rsidR="0097138F" w:rsidRPr="00D7302E" w:rsidRDefault="0097138F" w:rsidP="00FE0396">
            <w:pPr>
              <w:rPr>
                <w:b/>
                <w:bCs/>
                <w:sz w:val="28"/>
                <w:szCs w:val="28"/>
              </w:rPr>
            </w:pPr>
            <w:r w:rsidRPr="00D7302E">
              <w:rPr>
                <w:b/>
                <w:bCs/>
                <w:sz w:val="28"/>
                <w:szCs w:val="28"/>
              </w:rPr>
              <w:t>Trading Volume (in billion USD)</w:t>
            </w:r>
          </w:p>
        </w:tc>
      </w:tr>
      <w:tr w:rsidR="0097138F" w14:paraId="6582DF90" w14:textId="77777777" w:rsidTr="00D7302E">
        <w:trPr>
          <w:trHeight w:val="474"/>
        </w:trPr>
        <w:tc>
          <w:tcPr>
            <w:tcW w:w="4651" w:type="dxa"/>
          </w:tcPr>
          <w:p w14:paraId="6853B671" w14:textId="5D9BF081" w:rsidR="0097138F" w:rsidRDefault="0097138F" w:rsidP="00FE0396">
            <w:pPr>
              <w:rPr>
                <w:sz w:val="28"/>
                <w:szCs w:val="28"/>
              </w:rPr>
            </w:pPr>
            <w:r>
              <w:rPr>
                <w:sz w:val="28"/>
                <w:szCs w:val="28"/>
              </w:rPr>
              <w:t>2019</w:t>
            </w:r>
          </w:p>
        </w:tc>
        <w:tc>
          <w:tcPr>
            <w:tcW w:w="4651" w:type="dxa"/>
          </w:tcPr>
          <w:p w14:paraId="6E8AFFC3" w14:textId="7FD82231" w:rsidR="0097138F" w:rsidRDefault="0097138F" w:rsidP="00FE0396">
            <w:pPr>
              <w:rPr>
                <w:sz w:val="28"/>
                <w:szCs w:val="28"/>
              </w:rPr>
            </w:pPr>
            <w:r>
              <w:rPr>
                <w:sz w:val="28"/>
                <w:szCs w:val="28"/>
              </w:rPr>
              <w:t>450</w:t>
            </w:r>
            <w:r w:rsidR="0010714E">
              <w:rPr>
                <w:sz w:val="28"/>
                <w:szCs w:val="28"/>
              </w:rPr>
              <w:t>$</w:t>
            </w:r>
          </w:p>
        </w:tc>
      </w:tr>
      <w:tr w:rsidR="0097138F" w14:paraId="6644AD20" w14:textId="77777777" w:rsidTr="00D7302E">
        <w:trPr>
          <w:trHeight w:val="458"/>
        </w:trPr>
        <w:tc>
          <w:tcPr>
            <w:tcW w:w="4651" w:type="dxa"/>
          </w:tcPr>
          <w:p w14:paraId="68C77DBD" w14:textId="7EB4FFF7" w:rsidR="0097138F" w:rsidRDefault="0097138F" w:rsidP="00FE0396">
            <w:pPr>
              <w:rPr>
                <w:sz w:val="28"/>
                <w:szCs w:val="28"/>
              </w:rPr>
            </w:pPr>
            <w:r>
              <w:rPr>
                <w:sz w:val="28"/>
                <w:szCs w:val="28"/>
              </w:rPr>
              <w:t>2020</w:t>
            </w:r>
          </w:p>
        </w:tc>
        <w:tc>
          <w:tcPr>
            <w:tcW w:w="4651" w:type="dxa"/>
          </w:tcPr>
          <w:p w14:paraId="482FA11D" w14:textId="21A4B7ED" w:rsidR="0097138F" w:rsidRDefault="0097138F" w:rsidP="00FE0396">
            <w:pPr>
              <w:rPr>
                <w:sz w:val="28"/>
                <w:szCs w:val="28"/>
              </w:rPr>
            </w:pPr>
            <w:r>
              <w:rPr>
                <w:sz w:val="28"/>
                <w:szCs w:val="28"/>
              </w:rPr>
              <w:t>480</w:t>
            </w:r>
            <w:r w:rsidR="0010714E">
              <w:rPr>
                <w:sz w:val="28"/>
                <w:szCs w:val="28"/>
              </w:rPr>
              <w:t>$</w:t>
            </w:r>
          </w:p>
        </w:tc>
      </w:tr>
      <w:tr w:rsidR="0097138F" w14:paraId="27B64278" w14:textId="77777777" w:rsidTr="00D7302E">
        <w:trPr>
          <w:trHeight w:val="458"/>
        </w:trPr>
        <w:tc>
          <w:tcPr>
            <w:tcW w:w="4651" w:type="dxa"/>
          </w:tcPr>
          <w:p w14:paraId="73B28B6C" w14:textId="3676DCFD" w:rsidR="0097138F" w:rsidRDefault="0097138F" w:rsidP="00FE0396">
            <w:pPr>
              <w:rPr>
                <w:sz w:val="28"/>
                <w:szCs w:val="28"/>
              </w:rPr>
            </w:pPr>
            <w:r>
              <w:rPr>
                <w:sz w:val="28"/>
                <w:szCs w:val="28"/>
              </w:rPr>
              <w:t>2021</w:t>
            </w:r>
          </w:p>
        </w:tc>
        <w:tc>
          <w:tcPr>
            <w:tcW w:w="4651" w:type="dxa"/>
          </w:tcPr>
          <w:p w14:paraId="239BB688" w14:textId="4730B7F8" w:rsidR="0097138F" w:rsidRDefault="0097138F" w:rsidP="00FE0396">
            <w:pPr>
              <w:rPr>
                <w:sz w:val="28"/>
                <w:szCs w:val="28"/>
              </w:rPr>
            </w:pPr>
            <w:r>
              <w:rPr>
                <w:sz w:val="28"/>
                <w:szCs w:val="28"/>
              </w:rPr>
              <w:t>500</w:t>
            </w:r>
            <w:r w:rsidR="0010714E">
              <w:rPr>
                <w:sz w:val="28"/>
                <w:szCs w:val="28"/>
              </w:rPr>
              <w:t>$</w:t>
            </w:r>
          </w:p>
        </w:tc>
      </w:tr>
      <w:tr w:rsidR="0097138F" w14:paraId="2AC3F431" w14:textId="77777777" w:rsidTr="00D7302E">
        <w:trPr>
          <w:trHeight w:val="474"/>
        </w:trPr>
        <w:tc>
          <w:tcPr>
            <w:tcW w:w="4651" w:type="dxa"/>
          </w:tcPr>
          <w:p w14:paraId="1620BEE0" w14:textId="364FA981" w:rsidR="0097138F" w:rsidRDefault="0097138F" w:rsidP="00FE0396">
            <w:pPr>
              <w:rPr>
                <w:sz w:val="28"/>
                <w:szCs w:val="28"/>
              </w:rPr>
            </w:pPr>
            <w:r>
              <w:rPr>
                <w:sz w:val="28"/>
                <w:szCs w:val="28"/>
              </w:rPr>
              <w:t>2022</w:t>
            </w:r>
          </w:p>
        </w:tc>
        <w:tc>
          <w:tcPr>
            <w:tcW w:w="4651" w:type="dxa"/>
          </w:tcPr>
          <w:p w14:paraId="01476395" w14:textId="330E79C4" w:rsidR="0097138F" w:rsidRDefault="0097138F" w:rsidP="00FE0396">
            <w:pPr>
              <w:rPr>
                <w:sz w:val="28"/>
                <w:szCs w:val="28"/>
              </w:rPr>
            </w:pPr>
            <w:r>
              <w:rPr>
                <w:sz w:val="28"/>
                <w:szCs w:val="28"/>
              </w:rPr>
              <w:t>470</w:t>
            </w:r>
            <w:r w:rsidR="0010714E">
              <w:rPr>
                <w:sz w:val="28"/>
                <w:szCs w:val="28"/>
              </w:rPr>
              <w:t>$</w:t>
            </w:r>
          </w:p>
        </w:tc>
      </w:tr>
      <w:tr w:rsidR="0097138F" w14:paraId="1FF4FC8E" w14:textId="77777777" w:rsidTr="00D7302E">
        <w:trPr>
          <w:trHeight w:val="458"/>
        </w:trPr>
        <w:tc>
          <w:tcPr>
            <w:tcW w:w="4651" w:type="dxa"/>
          </w:tcPr>
          <w:p w14:paraId="3A7BC3F5" w14:textId="42787F22" w:rsidR="0097138F" w:rsidRDefault="0097138F" w:rsidP="00FE0396">
            <w:pPr>
              <w:rPr>
                <w:sz w:val="28"/>
                <w:szCs w:val="28"/>
              </w:rPr>
            </w:pPr>
            <w:r>
              <w:rPr>
                <w:sz w:val="28"/>
                <w:szCs w:val="28"/>
              </w:rPr>
              <w:t>2023</w:t>
            </w:r>
          </w:p>
        </w:tc>
        <w:tc>
          <w:tcPr>
            <w:tcW w:w="4651" w:type="dxa"/>
          </w:tcPr>
          <w:p w14:paraId="39197046" w14:textId="4D62116B" w:rsidR="0097138F" w:rsidRDefault="0097138F" w:rsidP="00FE0396">
            <w:pPr>
              <w:rPr>
                <w:sz w:val="28"/>
                <w:szCs w:val="28"/>
              </w:rPr>
            </w:pPr>
            <w:r>
              <w:rPr>
                <w:sz w:val="28"/>
                <w:szCs w:val="28"/>
              </w:rPr>
              <w:t>460</w:t>
            </w:r>
            <w:r w:rsidR="0010714E">
              <w:rPr>
                <w:sz w:val="28"/>
                <w:szCs w:val="28"/>
              </w:rPr>
              <w:t>$</w:t>
            </w:r>
          </w:p>
        </w:tc>
      </w:tr>
    </w:tbl>
    <w:p w14:paraId="1A1B8798" w14:textId="77777777" w:rsidR="00FE0396" w:rsidRDefault="00FE0396" w:rsidP="00FE0396">
      <w:pPr>
        <w:rPr>
          <w:sz w:val="28"/>
          <w:szCs w:val="28"/>
        </w:rPr>
      </w:pPr>
    </w:p>
    <w:p w14:paraId="2DFBE399" w14:textId="77777777" w:rsidR="0097138F" w:rsidRPr="00FE0396" w:rsidRDefault="0097138F" w:rsidP="00FE0396">
      <w:pPr>
        <w:rPr>
          <w:sz w:val="28"/>
          <w:szCs w:val="28"/>
        </w:rPr>
      </w:pPr>
    </w:p>
    <w:p w14:paraId="2D2D7F1A" w14:textId="415DA50D" w:rsidR="00FE0396" w:rsidRPr="00D7302E" w:rsidRDefault="00FE0396" w:rsidP="00FE0396">
      <w:pPr>
        <w:rPr>
          <w:b/>
          <w:bCs/>
          <w:sz w:val="28"/>
          <w:szCs w:val="28"/>
        </w:rPr>
      </w:pPr>
      <w:r w:rsidRPr="00D7302E">
        <w:rPr>
          <w:b/>
          <w:bCs/>
          <w:sz w:val="28"/>
          <w:szCs w:val="28"/>
        </w:rPr>
        <w:t xml:space="preserve"> </w:t>
      </w:r>
      <w:r w:rsidR="007E090C">
        <w:rPr>
          <w:b/>
          <w:bCs/>
          <w:sz w:val="28"/>
          <w:szCs w:val="28"/>
        </w:rPr>
        <w:t xml:space="preserve">2. </w:t>
      </w:r>
      <w:r w:rsidRPr="00D7302E">
        <w:rPr>
          <w:b/>
          <w:bCs/>
          <w:sz w:val="28"/>
          <w:szCs w:val="28"/>
        </w:rPr>
        <w:t>Proprietary Trading Revenue (2019-2023)</w:t>
      </w:r>
    </w:p>
    <w:tbl>
      <w:tblPr>
        <w:tblStyle w:val="TableGrid"/>
        <w:tblW w:w="9362" w:type="dxa"/>
        <w:tblLook w:val="04A0" w:firstRow="1" w:lastRow="0" w:firstColumn="1" w:lastColumn="0" w:noHBand="0" w:noVBand="1"/>
      </w:tblPr>
      <w:tblGrid>
        <w:gridCol w:w="4681"/>
        <w:gridCol w:w="4681"/>
      </w:tblGrid>
      <w:tr w:rsidR="0097138F" w:rsidRPr="00D7302E" w14:paraId="5C7ACAC8" w14:textId="77777777" w:rsidTr="00D7302E">
        <w:trPr>
          <w:trHeight w:val="431"/>
        </w:trPr>
        <w:tc>
          <w:tcPr>
            <w:tcW w:w="4681" w:type="dxa"/>
          </w:tcPr>
          <w:p w14:paraId="405EF00F" w14:textId="77777777" w:rsidR="0097138F" w:rsidRPr="00D7302E" w:rsidRDefault="0097138F" w:rsidP="00693C9F">
            <w:pPr>
              <w:rPr>
                <w:b/>
                <w:bCs/>
                <w:sz w:val="28"/>
                <w:szCs w:val="28"/>
              </w:rPr>
            </w:pPr>
            <w:r w:rsidRPr="00D7302E">
              <w:rPr>
                <w:b/>
                <w:bCs/>
                <w:sz w:val="28"/>
                <w:szCs w:val="28"/>
              </w:rPr>
              <w:t>Year</w:t>
            </w:r>
          </w:p>
        </w:tc>
        <w:tc>
          <w:tcPr>
            <w:tcW w:w="4681" w:type="dxa"/>
          </w:tcPr>
          <w:p w14:paraId="152C385B" w14:textId="3CE3A182" w:rsidR="0097138F" w:rsidRPr="00D7302E" w:rsidRDefault="0097138F" w:rsidP="00693C9F">
            <w:pPr>
              <w:rPr>
                <w:b/>
                <w:bCs/>
                <w:sz w:val="28"/>
                <w:szCs w:val="28"/>
              </w:rPr>
            </w:pPr>
            <w:r w:rsidRPr="00D7302E">
              <w:rPr>
                <w:b/>
                <w:bCs/>
                <w:sz w:val="28"/>
                <w:szCs w:val="28"/>
              </w:rPr>
              <w:t>Revenue (in billion USD)</w:t>
            </w:r>
          </w:p>
        </w:tc>
      </w:tr>
      <w:tr w:rsidR="0097138F" w:rsidRPr="00D7302E" w14:paraId="1F3AC8DF" w14:textId="77777777" w:rsidTr="00D7302E">
        <w:trPr>
          <w:trHeight w:val="446"/>
        </w:trPr>
        <w:tc>
          <w:tcPr>
            <w:tcW w:w="4681" w:type="dxa"/>
          </w:tcPr>
          <w:p w14:paraId="6DC23EAF" w14:textId="77777777" w:rsidR="0097138F" w:rsidRPr="00D7302E" w:rsidRDefault="0097138F" w:rsidP="00693C9F">
            <w:pPr>
              <w:rPr>
                <w:sz w:val="28"/>
                <w:szCs w:val="28"/>
              </w:rPr>
            </w:pPr>
            <w:r w:rsidRPr="00D7302E">
              <w:rPr>
                <w:sz w:val="28"/>
                <w:szCs w:val="28"/>
              </w:rPr>
              <w:t>2019</w:t>
            </w:r>
          </w:p>
        </w:tc>
        <w:tc>
          <w:tcPr>
            <w:tcW w:w="4681" w:type="dxa"/>
          </w:tcPr>
          <w:p w14:paraId="4FEBAC38" w14:textId="46431F12" w:rsidR="0097138F" w:rsidRPr="00D7302E" w:rsidRDefault="0097138F" w:rsidP="00693C9F">
            <w:pPr>
              <w:rPr>
                <w:sz w:val="28"/>
                <w:szCs w:val="28"/>
              </w:rPr>
            </w:pPr>
            <w:r w:rsidRPr="00D7302E">
              <w:rPr>
                <w:sz w:val="28"/>
                <w:szCs w:val="28"/>
              </w:rPr>
              <w:t>25</w:t>
            </w:r>
            <w:r w:rsidR="0010714E">
              <w:rPr>
                <w:sz w:val="28"/>
                <w:szCs w:val="28"/>
              </w:rPr>
              <w:t>$</w:t>
            </w:r>
          </w:p>
        </w:tc>
      </w:tr>
      <w:tr w:rsidR="0097138F" w:rsidRPr="00D7302E" w14:paraId="02F1FE44" w14:textId="77777777" w:rsidTr="00D7302E">
        <w:trPr>
          <w:trHeight w:val="431"/>
        </w:trPr>
        <w:tc>
          <w:tcPr>
            <w:tcW w:w="4681" w:type="dxa"/>
          </w:tcPr>
          <w:p w14:paraId="2D38D566" w14:textId="77777777" w:rsidR="0097138F" w:rsidRPr="00D7302E" w:rsidRDefault="0097138F" w:rsidP="00693C9F">
            <w:pPr>
              <w:rPr>
                <w:sz w:val="28"/>
                <w:szCs w:val="28"/>
              </w:rPr>
            </w:pPr>
            <w:r w:rsidRPr="00D7302E">
              <w:rPr>
                <w:sz w:val="28"/>
                <w:szCs w:val="28"/>
              </w:rPr>
              <w:t>2020</w:t>
            </w:r>
          </w:p>
        </w:tc>
        <w:tc>
          <w:tcPr>
            <w:tcW w:w="4681" w:type="dxa"/>
          </w:tcPr>
          <w:p w14:paraId="785F8158" w14:textId="180BD048" w:rsidR="0097138F" w:rsidRPr="00D7302E" w:rsidRDefault="0097138F" w:rsidP="00693C9F">
            <w:pPr>
              <w:rPr>
                <w:sz w:val="28"/>
                <w:szCs w:val="28"/>
              </w:rPr>
            </w:pPr>
            <w:r w:rsidRPr="00D7302E">
              <w:rPr>
                <w:sz w:val="28"/>
                <w:szCs w:val="28"/>
              </w:rPr>
              <w:t>22</w:t>
            </w:r>
            <w:r w:rsidR="0010714E">
              <w:rPr>
                <w:sz w:val="28"/>
                <w:szCs w:val="28"/>
              </w:rPr>
              <w:t>$</w:t>
            </w:r>
          </w:p>
        </w:tc>
      </w:tr>
      <w:tr w:rsidR="0097138F" w:rsidRPr="00D7302E" w14:paraId="5A239C1C" w14:textId="77777777" w:rsidTr="00D7302E">
        <w:trPr>
          <w:trHeight w:val="431"/>
        </w:trPr>
        <w:tc>
          <w:tcPr>
            <w:tcW w:w="4681" w:type="dxa"/>
          </w:tcPr>
          <w:p w14:paraId="18B41C65" w14:textId="77777777" w:rsidR="0097138F" w:rsidRPr="00D7302E" w:rsidRDefault="0097138F" w:rsidP="00693C9F">
            <w:pPr>
              <w:rPr>
                <w:sz w:val="28"/>
                <w:szCs w:val="28"/>
              </w:rPr>
            </w:pPr>
            <w:r w:rsidRPr="00D7302E">
              <w:rPr>
                <w:sz w:val="28"/>
                <w:szCs w:val="28"/>
              </w:rPr>
              <w:t>2021</w:t>
            </w:r>
          </w:p>
        </w:tc>
        <w:tc>
          <w:tcPr>
            <w:tcW w:w="4681" w:type="dxa"/>
          </w:tcPr>
          <w:p w14:paraId="50B2102E" w14:textId="18420C5C" w:rsidR="0097138F" w:rsidRPr="00D7302E" w:rsidRDefault="0097138F" w:rsidP="00693C9F">
            <w:pPr>
              <w:rPr>
                <w:sz w:val="28"/>
                <w:szCs w:val="28"/>
              </w:rPr>
            </w:pPr>
            <w:r w:rsidRPr="00D7302E">
              <w:rPr>
                <w:sz w:val="28"/>
                <w:szCs w:val="28"/>
              </w:rPr>
              <w:t>20</w:t>
            </w:r>
            <w:r w:rsidR="0010714E">
              <w:rPr>
                <w:sz w:val="28"/>
                <w:szCs w:val="28"/>
              </w:rPr>
              <w:t>$</w:t>
            </w:r>
          </w:p>
        </w:tc>
      </w:tr>
      <w:tr w:rsidR="0097138F" w:rsidRPr="00D7302E" w14:paraId="4F68E10E" w14:textId="77777777" w:rsidTr="00D7302E">
        <w:trPr>
          <w:trHeight w:val="446"/>
        </w:trPr>
        <w:tc>
          <w:tcPr>
            <w:tcW w:w="4681" w:type="dxa"/>
          </w:tcPr>
          <w:p w14:paraId="2328D17D" w14:textId="77777777" w:rsidR="0097138F" w:rsidRPr="00D7302E" w:rsidRDefault="0097138F" w:rsidP="00693C9F">
            <w:pPr>
              <w:rPr>
                <w:sz w:val="28"/>
                <w:szCs w:val="28"/>
              </w:rPr>
            </w:pPr>
            <w:r w:rsidRPr="00D7302E">
              <w:rPr>
                <w:sz w:val="28"/>
                <w:szCs w:val="28"/>
              </w:rPr>
              <w:t>2022</w:t>
            </w:r>
          </w:p>
        </w:tc>
        <w:tc>
          <w:tcPr>
            <w:tcW w:w="4681" w:type="dxa"/>
          </w:tcPr>
          <w:p w14:paraId="6FF970CA" w14:textId="38E0F3B9" w:rsidR="0097138F" w:rsidRPr="00D7302E" w:rsidRDefault="0097138F" w:rsidP="00693C9F">
            <w:pPr>
              <w:rPr>
                <w:sz w:val="28"/>
                <w:szCs w:val="28"/>
              </w:rPr>
            </w:pPr>
            <w:r w:rsidRPr="00D7302E">
              <w:rPr>
                <w:sz w:val="28"/>
                <w:szCs w:val="28"/>
              </w:rPr>
              <w:t>18</w:t>
            </w:r>
            <w:r w:rsidR="0010714E">
              <w:rPr>
                <w:sz w:val="28"/>
                <w:szCs w:val="28"/>
              </w:rPr>
              <w:t>$</w:t>
            </w:r>
          </w:p>
        </w:tc>
      </w:tr>
      <w:tr w:rsidR="0097138F" w:rsidRPr="00D7302E" w14:paraId="3C51C9DD" w14:textId="77777777" w:rsidTr="00D7302E">
        <w:trPr>
          <w:trHeight w:val="431"/>
        </w:trPr>
        <w:tc>
          <w:tcPr>
            <w:tcW w:w="4681" w:type="dxa"/>
          </w:tcPr>
          <w:p w14:paraId="058EB0AE" w14:textId="77777777" w:rsidR="0097138F" w:rsidRPr="00D7302E" w:rsidRDefault="0097138F" w:rsidP="00693C9F">
            <w:pPr>
              <w:rPr>
                <w:sz w:val="28"/>
                <w:szCs w:val="28"/>
              </w:rPr>
            </w:pPr>
            <w:r w:rsidRPr="00D7302E">
              <w:rPr>
                <w:sz w:val="28"/>
                <w:szCs w:val="28"/>
              </w:rPr>
              <w:t>2023</w:t>
            </w:r>
          </w:p>
        </w:tc>
        <w:tc>
          <w:tcPr>
            <w:tcW w:w="4681" w:type="dxa"/>
          </w:tcPr>
          <w:p w14:paraId="4E1CA77A" w14:textId="28F2D2EE" w:rsidR="0097138F" w:rsidRPr="00D7302E" w:rsidRDefault="0097138F" w:rsidP="00693C9F">
            <w:pPr>
              <w:rPr>
                <w:sz w:val="28"/>
                <w:szCs w:val="28"/>
              </w:rPr>
            </w:pPr>
            <w:r w:rsidRPr="00D7302E">
              <w:rPr>
                <w:sz w:val="28"/>
                <w:szCs w:val="28"/>
              </w:rPr>
              <w:t>15</w:t>
            </w:r>
            <w:r w:rsidR="0010714E">
              <w:rPr>
                <w:sz w:val="28"/>
                <w:szCs w:val="28"/>
              </w:rPr>
              <w:t>$</w:t>
            </w:r>
          </w:p>
        </w:tc>
      </w:tr>
    </w:tbl>
    <w:p w14:paraId="288AA1C7" w14:textId="1ADC20EB" w:rsidR="00FE0396" w:rsidRDefault="00FE0396" w:rsidP="00FE0396">
      <w:pPr>
        <w:rPr>
          <w:sz w:val="28"/>
          <w:szCs w:val="28"/>
        </w:rPr>
      </w:pPr>
    </w:p>
    <w:p w14:paraId="1655AF83" w14:textId="77777777" w:rsidR="0097138F" w:rsidRPr="00FE0396" w:rsidRDefault="0097138F" w:rsidP="00FE0396">
      <w:pPr>
        <w:rPr>
          <w:sz w:val="28"/>
          <w:szCs w:val="28"/>
        </w:rPr>
      </w:pPr>
    </w:p>
    <w:p w14:paraId="696D0B29" w14:textId="77777777" w:rsidR="00FE0396" w:rsidRPr="00FE0396" w:rsidRDefault="00FE0396" w:rsidP="00FE0396">
      <w:pPr>
        <w:rPr>
          <w:sz w:val="28"/>
          <w:szCs w:val="28"/>
        </w:rPr>
      </w:pPr>
    </w:p>
    <w:p w14:paraId="175202C2" w14:textId="4C2455DF" w:rsidR="00FE0396" w:rsidRPr="00D7302E" w:rsidRDefault="00FE0396" w:rsidP="00FE0396">
      <w:pPr>
        <w:rPr>
          <w:b/>
          <w:bCs/>
          <w:sz w:val="28"/>
          <w:szCs w:val="28"/>
        </w:rPr>
      </w:pPr>
      <w:r w:rsidRPr="00D7302E">
        <w:rPr>
          <w:b/>
          <w:bCs/>
          <w:sz w:val="28"/>
          <w:szCs w:val="28"/>
        </w:rPr>
        <w:t xml:space="preserve"> </w:t>
      </w:r>
      <w:r w:rsidR="007E090C">
        <w:rPr>
          <w:b/>
          <w:bCs/>
          <w:sz w:val="28"/>
          <w:szCs w:val="28"/>
        </w:rPr>
        <w:t xml:space="preserve">3. </w:t>
      </w:r>
      <w:r w:rsidRPr="00D7302E">
        <w:rPr>
          <w:b/>
          <w:bCs/>
          <w:sz w:val="28"/>
          <w:szCs w:val="28"/>
        </w:rPr>
        <w:t>Compliance Costs (2019-2023)</w:t>
      </w:r>
    </w:p>
    <w:tbl>
      <w:tblPr>
        <w:tblStyle w:val="TableGrid"/>
        <w:tblW w:w="9314" w:type="dxa"/>
        <w:tblLook w:val="04A0" w:firstRow="1" w:lastRow="0" w:firstColumn="1" w:lastColumn="0" w:noHBand="0" w:noVBand="1"/>
      </w:tblPr>
      <w:tblGrid>
        <w:gridCol w:w="4657"/>
        <w:gridCol w:w="4657"/>
      </w:tblGrid>
      <w:tr w:rsidR="0097138F" w:rsidRPr="00D7302E" w14:paraId="3D0DB31D" w14:textId="77777777" w:rsidTr="00D7302E">
        <w:trPr>
          <w:trHeight w:val="433"/>
        </w:trPr>
        <w:tc>
          <w:tcPr>
            <w:tcW w:w="4657" w:type="dxa"/>
          </w:tcPr>
          <w:p w14:paraId="7184A2C7" w14:textId="77777777" w:rsidR="0097138F" w:rsidRPr="00D7302E" w:rsidRDefault="0097138F" w:rsidP="00693C9F">
            <w:pPr>
              <w:rPr>
                <w:b/>
                <w:bCs/>
                <w:sz w:val="28"/>
                <w:szCs w:val="28"/>
              </w:rPr>
            </w:pPr>
            <w:r w:rsidRPr="00D7302E">
              <w:rPr>
                <w:b/>
                <w:bCs/>
                <w:sz w:val="28"/>
                <w:szCs w:val="28"/>
              </w:rPr>
              <w:t>Year</w:t>
            </w:r>
          </w:p>
        </w:tc>
        <w:tc>
          <w:tcPr>
            <w:tcW w:w="4657" w:type="dxa"/>
          </w:tcPr>
          <w:p w14:paraId="08659B91" w14:textId="3401467B" w:rsidR="0097138F" w:rsidRPr="00D7302E" w:rsidRDefault="0097138F" w:rsidP="00693C9F">
            <w:pPr>
              <w:rPr>
                <w:b/>
                <w:bCs/>
                <w:sz w:val="28"/>
                <w:szCs w:val="28"/>
              </w:rPr>
            </w:pPr>
            <w:r w:rsidRPr="00D7302E">
              <w:rPr>
                <w:b/>
                <w:bCs/>
                <w:sz w:val="28"/>
                <w:szCs w:val="28"/>
              </w:rPr>
              <w:t>Compliance Costs (in million USD)</w:t>
            </w:r>
          </w:p>
        </w:tc>
      </w:tr>
      <w:tr w:rsidR="0097138F" w14:paraId="446B6A31" w14:textId="77777777" w:rsidTr="00D7302E">
        <w:trPr>
          <w:trHeight w:val="448"/>
        </w:trPr>
        <w:tc>
          <w:tcPr>
            <w:tcW w:w="4657" w:type="dxa"/>
          </w:tcPr>
          <w:p w14:paraId="519D242B" w14:textId="77777777" w:rsidR="0097138F" w:rsidRDefault="0097138F" w:rsidP="00693C9F">
            <w:pPr>
              <w:rPr>
                <w:sz w:val="28"/>
                <w:szCs w:val="28"/>
              </w:rPr>
            </w:pPr>
            <w:r>
              <w:rPr>
                <w:sz w:val="28"/>
                <w:szCs w:val="28"/>
              </w:rPr>
              <w:t>2019</w:t>
            </w:r>
          </w:p>
        </w:tc>
        <w:tc>
          <w:tcPr>
            <w:tcW w:w="4657" w:type="dxa"/>
          </w:tcPr>
          <w:p w14:paraId="14816E26" w14:textId="0692BC52" w:rsidR="0097138F" w:rsidRDefault="0097138F" w:rsidP="00693C9F">
            <w:pPr>
              <w:rPr>
                <w:sz w:val="28"/>
                <w:szCs w:val="28"/>
              </w:rPr>
            </w:pPr>
            <w:r>
              <w:rPr>
                <w:sz w:val="28"/>
                <w:szCs w:val="28"/>
              </w:rPr>
              <w:t>5</w:t>
            </w:r>
            <w:r w:rsidR="0010714E">
              <w:rPr>
                <w:sz w:val="28"/>
                <w:szCs w:val="28"/>
              </w:rPr>
              <w:t>$</w:t>
            </w:r>
          </w:p>
        </w:tc>
      </w:tr>
      <w:tr w:rsidR="0097138F" w14:paraId="38409C5C" w14:textId="77777777" w:rsidTr="00D7302E">
        <w:trPr>
          <w:trHeight w:val="433"/>
        </w:trPr>
        <w:tc>
          <w:tcPr>
            <w:tcW w:w="4657" w:type="dxa"/>
          </w:tcPr>
          <w:p w14:paraId="67D5B117" w14:textId="77777777" w:rsidR="0097138F" w:rsidRDefault="0097138F" w:rsidP="00693C9F">
            <w:pPr>
              <w:rPr>
                <w:sz w:val="28"/>
                <w:szCs w:val="28"/>
              </w:rPr>
            </w:pPr>
            <w:r>
              <w:rPr>
                <w:sz w:val="28"/>
                <w:szCs w:val="28"/>
              </w:rPr>
              <w:t>2020</w:t>
            </w:r>
          </w:p>
        </w:tc>
        <w:tc>
          <w:tcPr>
            <w:tcW w:w="4657" w:type="dxa"/>
          </w:tcPr>
          <w:p w14:paraId="0BF7B0A7" w14:textId="464F50AF" w:rsidR="0097138F" w:rsidRDefault="0097138F" w:rsidP="00693C9F">
            <w:pPr>
              <w:rPr>
                <w:sz w:val="28"/>
                <w:szCs w:val="28"/>
              </w:rPr>
            </w:pPr>
            <w:r>
              <w:rPr>
                <w:sz w:val="28"/>
                <w:szCs w:val="28"/>
              </w:rPr>
              <w:t>6</w:t>
            </w:r>
            <w:r w:rsidR="0010714E">
              <w:rPr>
                <w:sz w:val="28"/>
                <w:szCs w:val="28"/>
              </w:rPr>
              <w:t>$</w:t>
            </w:r>
          </w:p>
        </w:tc>
      </w:tr>
      <w:tr w:rsidR="0097138F" w14:paraId="0E02D104" w14:textId="77777777" w:rsidTr="00D7302E">
        <w:trPr>
          <w:trHeight w:val="433"/>
        </w:trPr>
        <w:tc>
          <w:tcPr>
            <w:tcW w:w="4657" w:type="dxa"/>
          </w:tcPr>
          <w:p w14:paraId="21BB36E9" w14:textId="77777777" w:rsidR="0097138F" w:rsidRDefault="0097138F" w:rsidP="00693C9F">
            <w:pPr>
              <w:rPr>
                <w:sz w:val="28"/>
                <w:szCs w:val="28"/>
              </w:rPr>
            </w:pPr>
            <w:r>
              <w:rPr>
                <w:sz w:val="28"/>
                <w:szCs w:val="28"/>
              </w:rPr>
              <w:t>2021</w:t>
            </w:r>
          </w:p>
        </w:tc>
        <w:tc>
          <w:tcPr>
            <w:tcW w:w="4657" w:type="dxa"/>
          </w:tcPr>
          <w:p w14:paraId="2636590B" w14:textId="6BD71A92" w:rsidR="0097138F" w:rsidRDefault="0097138F" w:rsidP="00693C9F">
            <w:pPr>
              <w:rPr>
                <w:sz w:val="28"/>
                <w:szCs w:val="28"/>
              </w:rPr>
            </w:pPr>
            <w:r>
              <w:rPr>
                <w:sz w:val="28"/>
                <w:szCs w:val="28"/>
              </w:rPr>
              <w:t>7</w:t>
            </w:r>
            <w:r w:rsidR="0010714E">
              <w:rPr>
                <w:sz w:val="28"/>
                <w:szCs w:val="28"/>
              </w:rPr>
              <w:t>$</w:t>
            </w:r>
          </w:p>
        </w:tc>
      </w:tr>
      <w:tr w:rsidR="0097138F" w14:paraId="1EB09971" w14:textId="77777777" w:rsidTr="00D7302E">
        <w:trPr>
          <w:trHeight w:val="448"/>
        </w:trPr>
        <w:tc>
          <w:tcPr>
            <w:tcW w:w="4657" w:type="dxa"/>
          </w:tcPr>
          <w:p w14:paraId="1D194E03" w14:textId="77777777" w:rsidR="0097138F" w:rsidRDefault="0097138F" w:rsidP="00693C9F">
            <w:pPr>
              <w:rPr>
                <w:sz w:val="28"/>
                <w:szCs w:val="28"/>
              </w:rPr>
            </w:pPr>
            <w:r>
              <w:rPr>
                <w:sz w:val="28"/>
                <w:szCs w:val="28"/>
              </w:rPr>
              <w:t>2022</w:t>
            </w:r>
          </w:p>
        </w:tc>
        <w:tc>
          <w:tcPr>
            <w:tcW w:w="4657" w:type="dxa"/>
          </w:tcPr>
          <w:p w14:paraId="6ED28E79" w14:textId="36233A71" w:rsidR="0097138F" w:rsidRDefault="0097138F" w:rsidP="00693C9F">
            <w:pPr>
              <w:rPr>
                <w:sz w:val="28"/>
                <w:szCs w:val="28"/>
              </w:rPr>
            </w:pPr>
            <w:r>
              <w:rPr>
                <w:sz w:val="28"/>
                <w:szCs w:val="28"/>
              </w:rPr>
              <w:t>8</w:t>
            </w:r>
            <w:r w:rsidR="0010714E">
              <w:rPr>
                <w:sz w:val="28"/>
                <w:szCs w:val="28"/>
              </w:rPr>
              <w:t>$</w:t>
            </w:r>
          </w:p>
        </w:tc>
      </w:tr>
      <w:tr w:rsidR="0097138F" w14:paraId="5B59D328" w14:textId="77777777" w:rsidTr="00D7302E">
        <w:trPr>
          <w:trHeight w:val="433"/>
        </w:trPr>
        <w:tc>
          <w:tcPr>
            <w:tcW w:w="4657" w:type="dxa"/>
          </w:tcPr>
          <w:p w14:paraId="77FB43A9" w14:textId="77777777" w:rsidR="0097138F" w:rsidRDefault="0097138F" w:rsidP="00693C9F">
            <w:pPr>
              <w:rPr>
                <w:sz w:val="28"/>
                <w:szCs w:val="28"/>
              </w:rPr>
            </w:pPr>
            <w:r>
              <w:rPr>
                <w:sz w:val="28"/>
                <w:szCs w:val="28"/>
              </w:rPr>
              <w:t>2023</w:t>
            </w:r>
          </w:p>
        </w:tc>
        <w:tc>
          <w:tcPr>
            <w:tcW w:w="4657" w:type="dxa"/>
          </w:tcPr>
          <w:p w14:paraId="7D5FB2C3" w14:textId="0085CE02" w:rsidR="0097138F" w:rsidRDefault="0097138F" w:rsidP="00693C9F">
            <w:pPr>
              <w:rPr>
                <w:sz w:val="28"/>
                <w:szCs w:val="28"/>
              </w:rPr>
            </w:pPr>
            <w:r>
              <w:rPr>
                <w:sz w:val="28"/>
                <w:szCs w:val="28"/>
              </w:rPr>
              <w:t>8.5</w:t>
            </w:r>
            <w:r w:rsidR="0010714E">
              <w:rPr>
                <w:sz w:val="28"/>
                <w:szCs w:val="28"/>
              </w:rPr>
              <w:t>$</w:t>
            </w:r>
          </w:p>
        </w:tc>
      </w:tr>
    </w:tbl>
    <w:p w14:paraId="1E86CA1E" w14:textId="77777777" w:rsidR="0097138F" w:rsidRDefault="0097138F" w:rsidP="00FE0396">
      <w:pPr>
        <w:rPr>
          <w:sz w:val="28"/>
          <w:szCs w:val="28"/>
        </w:rPr>
      </w:pPr>
    </w:p>
    <w:p w14:paraId="215E1C1E" w14:textId="77777777" w:rsidR="00FE0396" w:rsidRPr="00FE0396" w:rsidRDefault="00FE0396" w:rsidP="00FE0396">
      <w:pPr>
        <w:rPr>
          <w:sz w:val="28"/>
          <w:szCs w:val="28"/>
        </w:rPr>
      </w:pPr>
    </w:p>
    <w:p w14:paraId="32695D54" w14:textId="5DC0E05C" w:rsidR="00FE0396" w:rsidRPr="00D7302E" w:rsidRDefault="007E090C" w:rsidP="00FE0396">
      <w:pPr>
        <w:rPr>
          <w:b/>
          <w:bCs/>
          <w:sz w:val="28"/>
          <w:szCs w:val="28"/>
        </w:rPr>
      </w:pPr>
      <w:r>
        <w:rPr>
          <w:b/>
          <w:bCs/>
          <w:sz w:val="28"/>
          <w:szCs w:val="28"/>
        </w:rPr>
        <w:t>4.</w:t>
      </w:r>
      <w:r w:rsidR="00FE0396" w:rsidRPr="00D7302E">
        <w:rPr>
          <w:b/>
          <w:bCs/>
          <w:sz w:val="28"/>
          <w:szCs w:val="28"/>
        </w:rPr>
        <w:t xml:space="preserve"> Market Liquidity (Bid-Ask Spread for S&amp;P 500 Index) (2019-2023)</w:t>
      </w:r>
    </w:p>
    <w:tbl>
      <w:tblPr>
        <w:tblStyle w:val="TableGrid"/>
        <w:tblW w:w="9398" w:type="dxa"/>
        <w:tblLook w:val="04A0" w:firstRow="1" w:lastRow="0" w:firstColumn="1" w:lastColumn="0" w:noHBand="0" w:noVBand="1"/>
      </w:tblPr>
      <w:tblGrid>
        <w:gridCol w:w="4699"/>
        <w:gridCol w:w="4699"/>
      </w:tblGrid>
      <w:tr w:rsidR="0097138F" w:rsidRPr="00D7302E" w14:paraId="3512B7F1" w14:textId="77777777" w:rsidTr="00D7302E">
        <w:trPr>
          <w:trHeight w:val="423"/>
        </w:trPr>
        <w:tc>
          <w:tcPr>
            <w:tcW w:w="4699" w:type="dxa"/>
          </w:tcPr>
          <w:p w14:paraId="20D05928" w14:textId="77777777" w:rsidR="0097138F" w:rsidRPr="00D7302E" w:rsidRDefault="0097138F" w:rsidP="00693C9F">
            <w:pPr>
              <w:rPr>
                <w:b/>
                <w:bCs/>
                <w:sz w:val="28"/>
                <w:szCs w:val="28"/>
              </w:rPr>
            </w:pPr>
            <w:r w:rsidRPr="00D7302E">
              <w:rPr>
                <w:b/>
                <w:bCs/>
                <w:sz w:val="28"/>
                <w:szCs w:val="28"/>
              </w:rPr>
              <w:t>Year</w:t>
            </w:r>
          </w:p>
        </w:tc>
        <w:tc>
          <w:tcPr>
            <w:tcW w:w="4699" w:type="dxa"/>
          </w:tcPr>
          <w:p w14:paraId="73F9111F" w14:textId="13E207EF" w:rsidR="0097138F" w:rsidRPr="00D7302E" w:rsidRDefault="0097138F" w:rsidP="00693C9F">
            <w:pPr>
              <w:rPr>
                <w:b/>
                <w:bCs/>
                <w:sz w:val="28"/>
                <w:szCs w:val="28"/>
              </w:rPr>
            </w:pPr>
            <w:r w:rsidRPr="00D7302E">
              <w:rPr>
                <w:b/>
                <w:bCs/>
                <w:sz w:val="28"/>
                <w:szCs w:val="28"/>
              </w:rPr>
              <w:t>Bid-Ask Spread (basis points)</w:t>
            </w:r>
          </w:p>
        </w:tc>
      </w:tr>
      <w:tr w:rsidR="0097138F" w14:paraId="7ECCD208" w14:textId="77777777" w:rsidTr="00D7302E">
        <w:trPr>
          <w:trHeight w:val="438"/>
        </w:trPr>
        <w:tc>
          <w:tcPr>
            <w:tcW w:w="4699" w:type="dxa"/>
          </w:tcPr>
          <w:p w14:paraId="2A275EC3" w14:textId="77777777" w:rsidR="0097138F" w:rsidRDefault="0097138F" w:rsidP="00693C9F">
            <w:pPr>
              <w:rPr>
                <w:sz w:val="28"/>
                <w:szCs w:val="28"/>
              </w:rPr>
            </w:pPr>
            <w:r>
              <w:rPr>
                <w:sz w:val="28"/>
                <w:szCs w:val="28"/>
              </w:rPr>
              <w:t>2019</w:t>
            </w:r>
          </w:p>
        </w:tc>
        <w:tc>
          <w:tcPr>
            <w:tcW w:w="4699" w:type="dxa"/>
          </w:tcPr>
          <w:p w14:paraId="436B19E2" w14:textId="65825CAB" w:rsidR="0097138F" w:rsidRDefault="0097138F" w:rsidP="00693C9F">
            <w:pPr>
              <w:rPr>
                <w:sz w:val="28"/>
                <w:szCs w:val="28"/>
              </w:rPr>
            </w:pPr>
            <w:r>
              <w:rPr>
                <w:sz w:val="28"/>
                <w:szCs w:val="28"/>
              </w:rPr>
              <w:t>0.5</w:t>
            </w:r>
          </w:p>
        </w:tc>
      </w:tr>
      <w:tr w:rsidR="0097138F" w14:paraId="673791D6" w14:textId="77777777" w:rsidTr="00D7302E">
        <w:trPr>
          <w:trHeight w:val="423"/>
        </w:trPr>
        <w:tc>
          <w:tcPr>
            <w:tcW w:w="4699" w:type="dxa"/>
          </w:tcPr>
          <w:p w14:paraId="12A2826E" w14:textId="77777777" w:rsidR="0097138F" w:rsidRDefault="0097138F" w:rsidP="00693C9F">
            <w:pPr>
              <w:rPr>
                <w:sz w:val="28"/>
                <w:szCs w:val="28"/>
              </w:rPr>
            </w:pPr>
            <w:r>
              <w:rPr>
                <w:sz w:val="28"/>
                <w:szCs w:val="28"/>
              </w:rPr>
              <w:t>2020</w:t>
            </w:r>
          </w:p>
        </w:tc>
        <w:tc>
          <w:tcPr>
            <w:tcW w:w="4699" w:type="dxa"/>
          </w:tcPr>
          <w:p w14:paraId="7F7283CF" w14:textId="43BB3C4A" w:rsidR="0097138F" w:rsidRDefault="0097138F" w:rsidP="00693C9F">
            <w:pPr>
              <w:rPr>
                <w:sz w:val="28"/>
                <w:szCs w:val="28"/>
              </w:rPr>
            </w:pPr>
            <w:r>
              <w:rPr>
                <w:sz w:val="28"/>
                <w:szCs w:val="28"/>
              </w:rPr>
              <w:t>0.6</w:t>
            </w:r>
          </w:p>
        </w:tc>
      </w:tr>
      <w:tr w:rsidR="0097138F" w14:paraId="14DD68CE" w14:textId="77777777" w:rsidTr="00D7302E">
        <w:trPr>
          <w:trHeight w:val="423"/>
        </w:trPr>
        <w:tc>
          <w:tcPr>
            <w:tcW w:w="4699" w:type="dxa"/>
          </w:tcPr>
          <w:p w14:paraId="59E29F79" w14:textId="77777777" w:rsidR="0097138F" w:rsidRDefault="0097138F" w:rsidP="00693C9F">
            <w:pPr>
              <w:rPr>
                <w:sz w:val="28"/>
                <w:szCs w:val="28"/>
              </w:rPr>
            </w:pPr>
            <w:r>
              <w:rPr>
                <w:sz w:val="28"/>
                <w:szCs w:val="28"/>
              </w:rPr>
              <w:t>2021</w:t>
            </w:r>
          </w:p>
        </w:tc>
        <w:tc>
          <w:tcPr>
            <w:tcW w:w="4699" w:type="dxa"/>
          </w:tcPr>
          <w:p w14:paraId="660CD1E7" w14:textId="7BA35DE5" w:rsidR="0097138F" w:rsidRDefault="0097138F" w:rsidP="00693C9F">
            <w:pPr>
              <w:rPr>
                <w:sz w:val="28"/>
                <w:szCs w:val="28"/>
              </w:rPr>
            </w:pPr>
            <w:r>
              <w:rPr>
                <w:sz w:val="28"/>
                <w:szCs w:val="28"/>
              </w:rPr>
              <w:t>0.55</w:t>
            </w:r>
          </w:p>
        </w:tc>
      </w:tr>
      <w:tr w:rsidR="0097138F" w14:paraId="0B36AE58" w14:textId="77777777" w:rsidTr="00D7302E">
        <w:trPr>
          <w:trHeight w:val="438"/>
        </w:trPr>
        <w:tc>
          <w:tcPr>
            <w:tcW w:w="4699" w:type="dxa"/>
          </w:tcPr>
          <w:p w14:paraId="0D0A712B" w14:textId="77777777" w:rsidR="0097138F" w:rsidRDefault="0097138F" w:rsidP="00693C9F">
            <w:pPr>
              <w:rPr>
                <w:sz w:val="28"/>
                <w:szCs w:val="28"/>
              </w:rPr>
            </w:pPr>
            <w:r>
              <w:rPr>
                <w:sz w:val="28"/>
                <w:szCs w:val="28"/>
              </w:rPr>
              <w:t>2022</w:t>
            </w:r>
          </w:p>
        </w:tc>
        <w:tc>
          <w:tcPr>
            <w:tcW w:w="4699" w:type="dxa"/>
          </w:tcPr>
          <w:p w14:paraId="64A4394A" w14:textId="0DEE5BB5" w:rsidR="0097138F" w:rsidRDefault="0097138F" w:rsidP="00693C9F">
            <w:pPr>
              <w:rPr>
                <w:sz w:val="28"/>
                <w:szCs w:val="28"/>
              </w:rPr>
            </w:pPr>
            <w:r>
              <w:rPr>
                <w:sz w:val="28"/>
                <w:szCs w:val="28"/>
              </w:rPr>
              <w:t>0.57</w:t>
            </w:r>
          </w:p>
        </w:tc>
      </w:tr>
      <w:tr w:rsidR="0097138F" w14:paraId="7E7A0787" w14:textId="77777777" w:rsidTr="00D7302E">
        <w:trPr>
          <w:trHeight w:val="423"/>
        </w:trPr>
        <w:tc>
          <w:tcPr>
            <w:tcW w:w="4699" w:type="dxa"/>
          </w:tcPr>
          <w:p w14:paraId="4BCB0D02" w14:textId="77777777" w:rsidR="0097138F" w:rsidRDefault="0097138F" w:rsidP="00693C9F">
            <w:pPr>
              <w:rPr>
                <w:sz w:val="28"/>
                <w:szCs w:val="28"/>
              </w:rPr>
            </w:pPr>
            <w:r>
              <w:rPr>
                <w:sz w:val="28"/>
                <w:szCs w:val="28"/>
              </w:rPr>
              <w:t>2023</w:t>
            </w:r>
          </w:p>
        </w:tc>
        <w:tc>
          <w:tcPr>
            <w:tcW w:w="4699" w:type="dxa"/>
          </w:tcPr>
          <w:p w14:paraId="47BED18E" w14:textId="04CA04E4" w:rsidR="0097138F" w:rsidRDefault="0097138F" w:rsidP="00693C9F">
            <w:pPr>
              <w:rPr>
                <w:sz w:val="28"/>
                <w:szCs w:val="28"/>
              </w:rPr>
            </w:pPr>
            <w:r>
              <w:rPr>
                <w:sz w:val="28"/>
                <w:szCs w:val="28"/>
              </w:rPr>
              <w:t>0.56</w:t>
            </w:r>
          </w:p>
        </w:tc>
      </w:tr>
    </w:tbl>
    <w:p w14:paraId="224A8B57" w14:textId="77777777" w:rsidR="0097138F" w:rsidRPr="00FE0396" w:rsidRDefault="0097138F" w:rsidP="00FE0396">
      <w:pPr>
        <w:rPr>
          <w:sz w:val="28"/>
          <w:szCs w:val="28"/>
        </w:rPr>
      </w:pPr>
    </w:p>
    <w:p w14:paraId="31801C3D" w14:textId="77777777" w:rsidR="00FE0396" w:rsidRPr="00FE0396" w:rsidRDefault="00FE0396" w:rsidP="00FE0396">
      <w:pPr>
        <w:rPr>
          <w:sz w:val="28"/>
          <w:szCs w:val="28"/>
        </w:rPr>
      </w:pPr>
    </w:p>
    <w:p w14:paraId="1AC82A9A" w14:textId="0BC87BDE" w:rsidR="00FE0396" w:rsidRPr="00D7302E" w:rsidRDefault="007E090C" w:rsidP="00FE0396">
      <w:pPr>
        <w:rPr>
          <w:b/>
          <w:bCs/>
          <w:sz w:val="28"/>
          <w:szCs w:val="28"/>
        </w:rPr>
      </w:pPr>
      <w:r>
        <w:rPr>
          <w:b/>
          <w:bCs/>
          <w:sz w:val="28"/>
          <w:szCs w:val="28"/>
        </w:rPr>
        <w:t>5.</w:t>
      </w:r>
      <w:r w:rsidR="00FE0396" w:rsidRPr="00D7302E">
        <w:rPr>
          <w:b/>
          <w:bCs/>
          <w:sz w:val="28"/>
          <w:szCs w:val="28"/>
        </w:rPr>
        <w:t xml:space="preserve"> Bank Profitability (ROA and ROE) (2019-2023)</w:t>
      </w:r>
    </w:p>
    <w:tbl>
      <w:tblPr>
        <w:tblStyle w:val="TableGrid"/>
        <w:tblW w:w="9445" w:type="dxa"/>
        <w:tblLook w:val="04A0" w:firstRow="1" w:lastRow="0" w:firstColumn="1" w:lastColumn="0" w:noHBand="0" w:noVBand="1"/>
      </w:tblPr>
      <w:tblGrid>
        <w:gridCol w:w="3148"/>
        <w:gridCol w:w="3148"/>
        <w:gridCol w:w="3149"/>
      </w:tblGrid>
      <w:tr w:rsidR="0097138F" w:rsidRPr="00D7302E" w14:paraId="12E69B4F" w14:textId="77777777" w:rsidTr="00D7302E">
        <w:trPr>
          <w:trHeight w:val="421"/>
        </w:trPr>
        <w:tc>
          <w:tcPr>
            <w:tcW w:w="3148" w:type="dxa"/>
          </w:tcPr>
          <w:p w14:paraId="5C3A3442" w14:textId="20294C77" w:rsidR="0097138F" w:rsidRPr="00D7302E" w:rsidRDefault="0097138F" w:rsidP="00FE0396">
            <w:pPr>
              <w:rPr>
                <w:b/>
                <w:bCs/>
                <w:sz w:val="28"/>
                <w:szCs w:val="28"/>
              </w:rPr>
            </w:pPr>
            <w:r w:rsidRPr="00D7302E">
              <w:rPr>
                <w:b/>
                <w:bCs/>
                <w:sz w:val="28"/>
                <w:szCs w:val="28"/>
              </w:rPr>
              <w:t>Year</w:t>
            </w:r>
          </w:p>
        </w:tc>
        <w:tc>
          <w:tcPr>
            <w:tcW w:w="3148" w:type="dxa"/>
          </w:tcPr>
          <w:p w14:paraId="3FF3AB2F" w14:textId="6D30BD88" w:rsidR="0097138F" w:rsidRPr="00D7302E" w:rsidRDefault="0097138F" w:rsidP="00FE0396">
            <w:pPr>
              <w:rPr>
                <w:b/>
                <w:bCs/>
                <w:sz w:val="28"/>
                <w:szCs w:val="28"/>
              </w:rPr>
            </w:pPr>
            <w:r w:rsidRPr="00D7302E">
              <w:rPr>
                <w:b/>
                <w:bCs/>
                <w:sz w:val="28"/>
                <w:szCs w:val="28"/>
              </w:rPr>
              <w:t>Return on Assets (ROA)</w:t>
            </w:r>
          </w:p>
        </w:tc>
        <w:tc>
          <w:tcPr>
            <w:tcW w:w="3149" w:type="dxa"/>
          </w:tcPr>
          <w:p w14:paraId="01FAF070" w14:textId="44666EA1" w:rsidR="0097138F" w:rsidRPr="00D7302E" w:rsidRDefault="0097138F" w:rsidP="00FE0396">
            <w:pPr>
              <w:rPr>
                <w:b/>
                <w:bCs/>
                <w:sz w:val="28"/>
                <w:szCs w:val="28"/>
              </w:rPr>
            </w:pPr>
            <w:r w:rsidRPr="00D7302E">
              <w:rPr>
                <w:b/>
                <w:bCs/>
                <w:sz w:val="28"/>
                <w:szCs w:val="28"/>
              </w:rPr>
              <w:t>Return on Equity (ROE)</w:t>
            </w:r>
          </w:p>
        </w:tc>
      </w:tr>
      <w:tr w:rsidR="0097138F" w:rsidRPr="00D7302E" w14:paraId="533F7565" w14:textId="77777777" w:rsidTr="00D7302E">
        <w:trPr>
          <w:trHeight w:val="436"/>
        </w:trPr>
        <w:tc>
          <w:tcPr>
            <w:tcW w:w="3148" w:type="dxa"/>
          </w:tcPr>
          <w:p w14:paraId="33E0D608" w14:textId="6656256D" w:rsidR="0097138F" w:rsidRPr="00D7302E" w:rsidRDefault="00D7302E" w:rsidP="00FE0396">
            <w:pPr>
              <w:rPr>
                <w:sz w:val="28"/>
                <w:szCs w:val="28"/>
              </w:rPr>
            </w:pPr>
            <w:r w:rsidRPr="00D7302E">
              <w:rPr>
                <w:sz w:val="28"/>
                <w:szCs w:val="28"/>
              </w:rPr>
              <w:t>2019</w:t>
            </w:r>
          </w:p>
        </w:tc>
        <w:tc>
          <w:tcPr>
            <w:tcW w:w="3148" w:type="dxa"/>
          </w:tcPr>
          <w:p w14:paraId="537FC174" w14:textId="198A0EFD" w:rsidR="0097138F" w:rsidRPr="00D7302E" w:rsidRDefault="00D7302E" w:rsidP="00FE0396">
            <w:pPr>
              <w:rPr>
                <w:sz w:val="28"/>
                <w:szCs w:val="28"/>
              </w:rPr>
            </w:pPr>
            <w:r w:rsidRPr="00D7302E">
              <w:rPr>
                <w:sz w:val="28"/>
                <w:szCs w:val="28"/>
              </w:rPr>
              <w:t>1.2%</w:t>
            </w:r>
          </w:p>
        </w:tc>
        <w:tc>
          <w:tcPr>
            <w:tcW w:w="3149" w:type="dxa"/>
          </w:tcPr>
          <w:p w14:paraId="672D6318" w14:textId="7607FC85" w:rsidR="0097138F" w:rsidRPr="00D7302E" w:rsidRDefault="00D7302E" w:rsidP="00FE0396">
            <w:pPr>
              <w:rPr>
                <w:sz w:val="28"/>
                <w:szCs w:val="28"/>
              </w:rPr>
            </w:pPr>
            <w:r w:rsidRPr="00D7302E">
              <w:rPr>
                <w:sz w:val="28"/>
                <w:szCs w:val="28"/>
              </w:rPr>
              <w:t>11%</w:t>
            </w:r>
          </w:p>
        </w:tc>
      </w:tr>
      <w:tr w:rsidR="0097138F" w14:paraId="1336F1C0" w14:textId="77777777" w:rsidTr="00D7302E">
        <w:trPr>
          <w:trHeight w:val="421"/>
        </w:trPr>
        <w:tc>
          <w:tcPr>
            <w:tcW w:w="3148" w:type="dxa"/>
          </w:tcPr>
          <w:p w14:paraId="44879030" w14:textId="5653542A" w:rsidR="0097138F" w:rsidRDefault="00D7302E" w:rsidP="00FE0396">
            <w:pPr>
              <w:rPr>
                <w:sz w:val="28"/>
                <w:szCs w:val="28"/>
              </w:rPr>
            </w:pPr>
            <w:r>
              <w:rPr>
                <w:sz w:val="28"/>
                <w:szCs w:val="28"/>
              </w:rPr>
              <w:t>2020</w:t>
            </w:r>
          </w:p>
        </w:tc>
        <w:tc>
          <w:tcPr>
            <w:tcW w:w="3148" w:type="dxa"/>
          </w:tcPr>
          <w:p w14:paraId="1FB35BE1" w14:textId="046A9D03" w:rsidR="0097138F" w:rsidRDefault="00D7302E" w:rsidP="00FE0396">
            <w:pPr>
              <w:rPr>
                <w:sz w:val="28"/>
                <w:szCs w:val="28"/>
              </w:rPr>
            </w:pPr>
            <w:r>
              <w:rPr>
                <w:sz w:val="28"/>
                <w:szCs w:val="28"/>
              </w:rPr>
              <w:t>1.1%</w:t>
            </w:r>
          </w:p>
        </w:tc>
        <w:tc>
          <w:tcPr>
            <w:tcW w:w="3149" w:type="dxa"/>
          </w:tcPr>
          <w:p w14:paraId="3ED8836E" w14:textId="2B6F7786" w:rsidR="0097138F" w:rsidRDefault="00D7302E" w:rsidP="00FE0396">
            <w:pPr>
              <w:rPr>
                <w:sz w:val="28"/>
                <w:szCs w:val="28"/>
              </w:rPr>
            </w:pPr>
            <w:r>
              <w:rPr>
                <w:sz w:val="28"/>
                <w:szCs w:val="28"/>
              </w:rPr>
              <w:t>10%</w:t>
            </w:r>
          </w:p>
        </w:tc>
      </w:tr>
      <w:tr w:rsidR="0097138F" w14:paraId="5709A36A" w14:textId="77777777" w:rsidTr="00D7302E">
        <w:trPr>
          <w:trHeight w:val="421"/>
        </w:trPr>
        <w:tc>
          <w:tcPr>
            <w:tcW w:w="3148" w:type="dxa"/>
          </w:tcPr>
          <w:p w14:paraId="3DE4FD9C" w14:textId="0D73A7D7" w:rsidR="0097138F" w:rsidRDefault="00D7302E" w:rsidP="00FE0396">
            <w:pPr>
              <w:rPr>
                <w:sz w:val="28"/>
                <w:szCs w:val="28"/>
              </w:rPr>
            </w:pPr>
            <w:r>
              <w:rPr>
                <w:sz w:val="28"/>
                <w:szCs w:val="28"/>
              </w:rPr>
              <w:t>2021</w:t>
            </w:r>
          </w:p>
        </w:tc>
        <w:tc>
          <w:tcPr>
            <w:tcW w:w="3148" w:type="dxa"/>
          </w:tcPr>
          <w:p w14:paraId="14E21F9E" w14:textId="1E92E512" w:rsidR="0097138F" w:rsidRDefault="00D7302E" w:rsidP="00FE0396">
            <w:pPr>
              <w:rPr>
                <w:sz w:val="28"/>
                <w:szCs w:val="28"/>
              </w:rPr>
            </w:pPr>
            <w:r>
              <w:rPr>
                <w:sz w:val="28"/>
                <w:szCs w:val="28"/>
              </w:rPr>
              <w:t>1.3%</w:t>
            </w:r>
          </w:p>
        </w:tc>
        <w:tc>
          <w:tcPr>
            <w:tcW w:w="3149" w:type="dxa"/>
          </w:tcPr>
          <w:p w14:paraId="41E3B0FD" w14:textId="6E49173C" w:rsidR="0097138F" w:rsidRDefault="00D7302E" w:rsidP="00FE0396">
            <w:pPr>
              <w:rPr>
                <w:sz w:val="28"/>
                <w:szCs w:val="28"/>
              </w:rPr>
            </w:pPr>
            <w:r>
              <w:rPr>
                <w:sz w:val="28"/>
                <w:szCs w:val="28"/>
              </w:rPr>
              <w:t>12%</w:t>
            </w:r>
          </w:p>
        </w:tc>
      </w:tr>
      <w:tr w:rsidR="0097138F" w14:paraId="499AE802" w14:textId="77777777" w:rsidTr="00D7302E">
        <w:trPr>
          <w:trHeight w:val="436"/>
        </w:trPr>
        <w:tc>
          <w:tcPr>
            <w:tcW w:w="3148" w:type="dxa"/>
          </w:tcPr>
          <w:p w14:paraId="27CEFA9E" w14:textId="004524B3" w:rsidR="0097138F" w:rsidRDefault="00D7302E" w:rsidP="00FE0396">
            <w:pPr>
              <w:rPr>
                <w:sz w:val="28"/>
                <w:szCs w:val="28"/>
              </w:rPr>
            </w:pPr>
            <w:r>
              <w:rPr>
                <w:sz w:val="28"/>
                <w:szCs w:val="28"/>
              </w:rPr>
              <w:t>2022</w:t>
            </w:r>
          </w:p>
        </w:tc>
        <w:tc>
          <w:tcPr>
            <w:tcW w:w="3148" w:type="dxa"/>
          </w:tcPr>
          <w:p w14:paraId="4A714275" w14:textId="7296CF12" w:rsidR="0097138F" w:rsidRDefault="00D7302E" w:rsidP="00FE0396">
            <w:pPr>
              <w:rPr>
                <w:sz w:val="28"/>
                <w:szCs w:val="28"/>
              </w:rPr>
            </w:pPr>
            <w:r>
              <w:rPr>
                <w:sz w:val="28"/>
                <w:szCs w:val="28"/>
              </w:rPr>
              <w:t>1.2%</w:t>
            </w:r>
          </w:p>
        </w:tc>
        <w:tc>
          <w:tcPr>
            <w:tcW w:w="3149" w:type="dxa"/>
          </w:tcPr>
          <w:p w14:paraId="760F7225" w14:textId="050D448C" w:rsidR="0097138F" w:rsidRDefault="00D7302E" w:rsidP="00FE0396">
            <w:pPr>
              <w:rPr>
                <w:sz w:val="28"/>
                <w:szCs w:val="28"/>
              </w:rPr>
            </w:pPr>
            <w:r>
              <w:rPr>
                <w:sz w:val="28"/>
                <w:szCs w:val="28"/>
              </w:rPr>
              <w:t>11%</w:t>
            </w:r>
          </w:p>
        </w:tc>
      </w:tr>
      <w:tr w:rsidR="0097138F" w14:paraId="5CBF7073" w14:textId="77777777" w:rsidTr="00D7302E">
        <w:trPr>
          <w:trHeight w:val="421"/>
        </w:trPr>
        <w:tc>
          <w:tcPr>
            <w:tcW w:w="3148" w:type="dxa"/>
          </w:tcPr>
          <w:p w14:paraId="56C36439" w14:textId="55D7B9DF" w:rsidR="0097138F" w:rsidRDefault="00D7302E" w:rsidP="00FE0396">
            <w:pPr>
              <w:rPr>
                <w:sz w:val="28"/>
                <w:szCs w:val="28"/>
              </w:rPr>
            </w:pPr>
            <w:r>
              <w:rPr>
                <w:sz w:val="28"/>
                <w:szCs w:val="28"/>
              </w:rPr>
              <w:t>2023</w:t>
            </w:r>
          </w:p>
        </w:tc>
        <w:tc>
          <w:tcPr>
            <w:tcW w:w="3148" w:type="dxa"/>
          </w:tcPr>
          <w:p w14:paraId="20E8D432" w14:textId="19DA9BC7" w:rsidR="0097138F" w:rsidRDefault="00D7302E" w:rsidP="00FE0396">
            <w:pPr>
              <w:rPr>
                <w:sz w:val="28"/>
                <w:szCs w:val="28"/>
              </w:rPr>
            </w:pPr>
            <w:r>
              <w:rPr>
                <w:sz w:val="28"/>
                <w:szCs w:val="28"/>
              </w:rPr>
              <w:t>1.1%</w:t>
            </w:r>
          </w:p>
        </w:tc>
        <w:tc>
          <w:tcPr>
            <w:tcW w:w="3149" w:type="dxa"/>
          </w:tcPr>
          <w:p w14:paraId="1F2154D0" w14:textId="690B6A20" w:rsidR="0097138F" w:rsidRDefault="00D7302E" w:rsidP="00FE0396">
            <w:pPr>
              <w:rPr>
                <w:sz w:val="28"/>
                <w:szCs w:val="28"/>
              </w:rPr>
            </w:pPr>
            <w:r>
              <w:rPr>
                <w:sz w:val="28"/>
                <w:szCs w:val="28"/>
              </w:rPr>
              <w:t>10%</w:t>
            </w:r>
          </w:p>
        </w:tc>
      </w:tr>
    </w:tbl>
    <w:p w14:paraId="01EFA239" w14:textId="77777777" w:rsidR="0097138F" w:rsidRPr="00FE0396" w:rsidRDefault="0097138F" w:rsidP="00FE0396">
      <w:pPr>
        <w:rPr>
          <w:sz w:val="28"/>
          <w:szCs w:val="28"/>
        </w:rPr>
      </w:pPr>
    </w:p>
    <w:p w14:paraId="77D9F6C5" w14:textId="77777777" w:rsidR="00FE0396" w:rsidRPr="00FE0396" w:rsidRDefault="00FE0396" w:rsidP="00FE0396">
      <w:pPr>
        <w:rPr>
          <w:sz w:val="28"/>
          <w:szCs w:val="28"/>
        </w:rPr>
      </w:pPr>
    </w:p>
    <w:p w14:paraId="546AB834" w14:textId="77777777" w:rsidR="007E090C" w:rsidRDefault="00FE0396" w:rsidP="00FE0396">
      <w:pPr>
        <w:rPr>
          <w:b/>
          <w:bCs/>
          <w:sz w:val="28"/>
          <w:szCs w:val="28"/>
        </w:rPr>
      </w:pPr>
      <w:r w:rsidRPr="00D7302E">
        <w:rPr>
          <w:b/>
          <w:bCs/>
          <w:sz w:val="28"/>
          <w:szCs w:val="28"/>
        </w:rPr>
        <w:t xml:space="preserve"> </w:t>
      </w:r>
    </w:p>
    <w:p w14:paraId="7FDCCBF0" w14:textId="25449DE9" w:rsidR="00FE0396" w:rsidRPr="00D7302E" w:rsidRDefault="0097138F" w:rsidP="00FE0396">
      <w:pPr>
        <w:rPr>
          <w:b/>
          <w:bCs/>
          <w:sz w:val="28"/>
          <w:szCs w:val="28"/>
        </w:rPr>
      </w:pPr>
      <w:r w:rsidRPr="00D7302E">
        <w:rPr>
          <w:b/>
          <w:bCs/>
          <w:sz w:val="28"/>
          <w:szCs w:val="28"/>
        </w:rPr>
        <w:lastRenderedPageBreak/>
        <w:t xml:space="preserve">- </w:t>
      </w:r>
      <w:r w:rsidR="00FE0396" w:rsidRPr="00D7302E">
        <w:rPr>
          <w:b/>
          <w:bCs/>
          <w:sz w:val="28"/>
          <w:szCs w:val="28"/>
        </w:rPr>
        <w:t>graphs to visually represent these tables.</w:t>
      </w:r>
    </w:p>
    <w:p w14:paraId="5488B770" w14:textId="77777777" w:rsidR="00FE0396" w:rsidRPr="00FE0396" w:rsidRDefault="00FE0396" w:rsidP="00FE0396">
      <w:pPr>
        <w:rPr>
          <w:sz w:val="28"/>
          <w:szCs w:val="28"/>
        </w:rPr>
      </w:pPr>
    </w:p>
    <w:p w14:paraId="1D6AB7E4" w14:textId="4603E6FF" w:rsidR="00FE0396" w:rsidRPr="00FE0396" w:rsidRDefault="0097138F" w:rsidP="00FE0396">
      <w:pPr>
        <w:rPr>
          <w:sz w:val="28"/>
          <w:szCs w:val="28"/>
        </w:rPr>
      </w:pPr>
      <w:r>
        <w:rPr>
          <w:noProof/>
          <w:sz w:val="28"/>
          <w:szCs w:val="28"/>
        </w:rPr>
        <w:drawing>
          <wp:inline distT="0" distB="0" distL="0" distR="0" wp14:anchorId="3E117208" wp14:editId="28AEE4F1">
            <wp:extent cx="5875550" cy="5895340"/>
            <wp:effectExtent l="0" t="0" r="0" b="0"/>
            <wp:docPr id="509814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0896" cy="5940839"/>
                    </a:xfrm>
                    <a:prstGeom prst="rect">
                      <a:avLst/>
                    </a:prstGeom>
                    <a:noFill/>
                  </pic:spPr>
                </pic:pic>
              </a:graphicData>
            </a:graphic>
          </wp:inline>
        </w:drawing>
      </w:r>
    </w:p>
    <w:p w14:paraId="5CF4A01E" w14:textId="77777777" w:rsidR="00FE0396" w:rsidRPr="00FE0396" w:rsidRDefault="00FE0396" w:rsidP="00FE0396">
      <w:pPr>
        <w:rPr>
          <w:sz w:val="28"/>
          <w:szCs w:val="28"/>
        </w:rPr>
      </w:pPr>
    </w:p>
    <w:p w14:paraId="2FAF77C4" w14:textId="77777777" w:rsidR="00FE0396" w:rsidRPr="00FE0396" w:rsidRDefault="00FE0396" w:rsidP="00FE0396">
      <w:pPr>
        <w:rPr>
          <w:sz w:val="28"/>
          <w:szCs w:val="28"/>
        </w:rPr>
      </w:pPr>
      <w:r w:rsidRPr="00FE0396">
        <w:rPr>
          <w:sz w:val="28"/>
          <w:szCs w:val="28"/>
        </w:rPr>
        <w:t>The graphs above illustrate the impact of the Volcker Rule on various aspects of U.S. banks over the past five years:</w:t>
      </w:r>
    </w:p>
    <w:p w14:paraId="79925E03" w14:textId="77777777" w:rsidR="00FE0396" w:rsidRPr="00FE0396" w:rsidRDefault="00FE0396" w:rsidP="00FE0396">
      <w:pPr>
        <w:rPr>
          <w:sz w:val="28"/>
          <w:szCs w:val="28"/>
        </w:rPr>
      </w:pPr>
    </w:p>
    <w:p w14:paraId="7F2D81B0" w14:textId="6513E671" w:rsidR="00FE0396" w:rsidRPr="00FE0396" w:rsidRDefault="00FE0396" w:rsidP="00FE0396">
      <w:pPr>
        <w:rPr>
          <w:sz w:val="28"/>
          <w:szCs w:val="28"/>
        </w:rPr>
      </w:pPr>
      <w:r w:rsidRPr="00D7302E">
        <w:rPr>
          <w:b/>
          <w:bCs/>
          <w:sz w:val="28"/>
          <w:szCs w:val="28"/>
        </w:rPr>
        <w:t>1. Bank Trading Activities:</w:t>
      </w:r>
      <w:r w:rsidRPr="00FE0396">
        <w:rPr>
          <w:sz w:val="28"/>
          <w:szCs w:val="28"/>
        </w:rPr>
        <w:t xml:space="preserve"> There was a peak in trading volume in 2021, followed by a decline, possibly due to market conditions or regulatory impacts.</w:t>
      </w:r>
    </w:p>
    <w:p w14:paraId="0FD52CA9" w14:textId="0D0F019A" w:rsidR="00FE0396" w:rsidRPr="00FE0396" w:rsidRDefault="00FE0396" w:rsidP="00FE0396">
      <w:pPr>
        <w:rPr>
          <w:sz w:val="28"/>
          <w:szCs w:val="28"/>
        </w:rPr>
      </w:pPr>
      <w:r w:rsidRPr="00D7302E">
        <w:rPr>
          <w:b/>
          <w:bCs/>
          <w:sz w:val="28"/>
          <w:szCs w:val="28"/>
        </w:rPr>
        <w:lastRenderedPageBreak/>
        <w:t>2. Proprietary Trading Revenue:</w:t>
      </w:r>
      <w:r w:rsidRPr="00FE0396">
        <w:rPr>
          <w:sz w:val="28"/>
          <w:szCs w:val="28"/>
        </w:rPr>
        <w:t xml:space="preserve"> A steady decline in proprietary trading revenue indicates that banks have reduced their speculative trading activities, aligning with the goals of the Volcker Rule.</w:t>
      </w:r>
    </w:p>
    <w:p w14:paraId="001EFC48" w14:textId="5892E745" w:rsidR="00FE0396" w:rsidRPr="00FE0396" w:rsidRDefault="00FE0396" w:rsidP="00FE0396">
      <w:pPr>
        <w:rPr>
          <w:sz w:val="28"/>
          <w:szCs w:val="28"/>
        </w:rPr>
      </w:pPr>
      <w:r w:rsidRPr="00D7302E">
        <w:rPr>
          <w:b/>
          <w:bCs/>
          <w:sz w:val="28"/>
          <w:szCs w:val="28"/>
        </w:rPr>
        <w:t>3. Compliance Costs:</w:t>
      </w:r>
      <w:r w:rsidRPr="00FE0396">
        <w:rPr>
          <w:sz w:val="28"/>
          <w:szCs w:val="28"/>
        </w:rPr>
        <w:t xml:space="preserve"> These costs have gradually increased, reflecting the ongoing expenses banks incur to adhere to the Volcker Rule regulations.</w:t>
      </w:r>
    </w:p>
    <w:p w14:paraId="3FC10211" w14:textId="3E02D4EB" w:rsidR="00FE0396" w:rsidRPr="00FE0396" w:rsidRDefault="00FE0396" w:rsidP="00FE0396">
      <w:pPr>
        <w:rPr>
          <w:sz w:val="28"/>
          <w:szCs w:val="28"/>
        </w:rPr>
      </w:pPr>
      <w:r w:rsidRPr="00D7302E">
        <w:rPr>
          <w:b/>
          <w:bCs/>
          <w:sz w:val="28"/>
          <w:szCs w:val="28"/>
        </w:rPr>
        <w:t>4. Market Liquidity:</w:t>
      </w:r>
      <w:r w:rsidRPr="00FE0396">
        <w:rPr>
          <w:sz w:val="28"/>
          <w:szCs w:val="28"/>
        </w:rPr>
        <w:t xml:space="preserve"> The bid-ask spread has remained relatively stable, suggesting that market liquidity has not been significantly impacted by the Volcker Rule.</w:t>
      </w:r>
    </w:p>
    <w:p w14:paraId="6A790A96" w14:textId="0EE4E047" w:rsidR="00FE0396" w:rsidRPr="00FE0396" w:rsidRDefault="00FE0396" w:rsidP="00FE0396">
      <w:pPr>
        <w:rPr>
          <w:sz w:val="28"/>
          <w:szCs w:val="28"/>
        </w:rPr>
      </w:pPr>
      <w:r w:rsidRPr="00D7302E">
        <w:rPr>
          <w:b/>
          <w:bCs/>
          <w:sz w:val="28"/>
          <w:szCs w:val="28"/>
        </w:rPr>
        <w:t>5. Bank Profitability:</w:t>
      </w:r>
      <w:r w:rsidRPr="00FE0396">
        <w:rPr>
          <w:sz w:val="28"/>
          <w:szCs w:val="28"/>
        </w:rPr>
        <w:t xml:space="preserve"> Both Return on Assets (ROA) and Return on Equity (ROE) show slight fluctuations but remain relatively stable, indicating that overall profitability has not been drastically affected.</w:t>
      </w:r>
    </w:p>
    <w:p w14:paraId="4097FE80" w14:textId="77777777" w:rsidR="00FE0396" w:rsidRPr="00FE0396" w:rsidRDefault="00FE0396" w:rsidP="00FE0396">
      <w:pPr>
        <w:rPr>
          <w:sz w:val="28"/>
          <w:szCs w:val="28"/>
        </w:rPr>
      </w:pPr>
    </w:p>
    <w:p w14:paraId="261D0286" w14:textId="220B3E75" w:rsidR="00FE0396" w:rsidRDefault="00FE0396" w:rsidP="00FE0396">
      <w:pPr>
        <w:rPr>
          <w:sz w:val="28"/>
          <w:szCs w:val="28"/>
        </w:rPr>
      </w:pPr>
      <w:r w:rsidRPr="00FE0396">
        <w:rPr>
          <w:sz w:val="28"/>
          <w:szCs w:val="28"/>
        </w:rPr>
        <w:t>These insights suggest that while the Volcker Rule has reduced speculative trading activities and increased compliance costs, it has not significantly disrupted market liquidity or overall bank profitability. This analysis helps to understand the regulatory environment's effects on the financial sector and provides a basis for further investigation and policy adjustments.</w:t>
      </w:r>
    </w:p>
    <w:p w14:paraId="1A77C18D" w14:textId="77777777" w:rsidR="00D7302E" w:rsidRDefault="00D7302E" w:rsidP="00FE0396">
      <w:pPr>
        <w:rPr>
          <w:sz w:val="28"/>
          <w:szCs w:val="28"/>
        </w:rPr>
      </w:pPr>
    </w:p>
    <w:p w14:paraId="2D6186B5" w14:textId="7DE49AA5" w:rsidR="00D7302E" w:rsidRPr="00D7302E" w:rsidRDefault="00D7302E" w:rsidP="00FE0396">
      <w:pPr>
        <w:rPr>
          <w:b/>
          <w:bCs/>
          <w:sz w:val="36"/>
          <w:szCs w:val="36"/>
        </w:rPr>
      </w:pPr>
      <w:proofErr w:type="gramStart"/>
      <w:r w:rsidRPr="00D7302E">
        <w:rPr>
          <w:b/>
          <w:bCs/>
          <w:sz w:val="36"/>
          <w:szCs w:val="36"/>
        </w:rPr>
        <w:t>CONCLUSION:-</w:t>
      </w:r>
      <w:proofErr w:type="gramEnd"/>
    </w:p>
    <w:p w14:paraId="43B88938" w14:textId="77777777" w:rsidR="00D7302E" w:rsidRPr="00D7302E" w:rsidRDefault="00D7302E" w:rsidP="00D7302E">
      <w:pPr>
        <w:rPr>
          <w:sz w:val="28"/>
          <w:szCs w:val="28"/>
        </w:rPr>
      </w:pPr>
      <w:r w:rsidRPr="00D7302E">
        <w:rPr>
          <w:sz w:val="28"/>
          <w:szCs w:val="28"/>
        </w:rPr>
        <w:t xml:space="preserve">The Volcker Rule, since its implementation, has had a profound yet measured impact on the U.S. banking sector. Analysis of key metrics over the past five years reveals that the rule has successfully curtailed speculative trading activities, as evidenced by the steady decline in proprietary trading revenue. This aligns with the rule's primary objective of reducing risky </w:t>
      </w:r>
      <w:proofErr w:type="spellStart"/>
      <w:r w:rsidRPr="00D7302E">
        <w:rPr>
          <w:sz w:val="28"/>
          <w:szCs w:val="28"/>
        </w:rPr>
        <w:t>behaviors</w:t>
      </w:r>
      <w:proofErr w:type="spellEnd"/>
      <w:r w:rsidRPr="00D7302E">
        <w:rPr>
          <w:sz w:val="28"/>
          <w:szCs w:val="28"/>
        </w:rPr>
        <w:t xml:space="preserve"> that could destabilize financial institutions.</w:t>
      </w:r>
    </w:p>
    <w:p w14:paraId="19751342" w14:textId="77777777" w:rsidR="00D7302E" w:rsidRPr="00D7302E" w:rsidRDefault="00D7302E" w:rsidP="00D7302E">
      <w:pPr>
        <w:rPr>
          <w:sz w:val="28"/>
          <w:szCs w:val="28"/>
        </w:rPr>
      </w:pPr>
    </w:p>
    <w:p w14:paraId="3B7087F8" w14:textId="77777777" w:rsidR="00D7302E" w:rsidRPr="00D7302E" w:rsidRDefault="00D7302E" w:rsidP="00D7302E">
      <w:pPr>
        <w:rPr>
          <w:sz w:val="28"/>
          <w:szCs w:val="28"/>
        </w:rPr>
      </w:pPr>
      <w:r w:rsidRPr="00D7302E">
        <w:rPr>
          <w:sz w:val="28"/>
          <w:szCs w:val="28"/>
        </w:rPr>
        <w:t>Despite the increased compliance costs, which reflect the financial burden on banks to adhere to these regulations, overall bank profitability has remained relatively stable. Metrics such as Return on Assets (ROA) and Return on Equity (ROE) indicate that while there have been fluctuations, banks have adapted without significant detriment to their financial performance.</w:t>
      </w:r>
    </w:p>
    <w:p w14:paraId="5CCAF649" w14:textId="77777777" w:rsidR="007E090C" w:rsidRDefault="007E090C" w:rsidP="00D7302E">
      <w:pPr>
        <w:jc w:val="center"/>
        <w:rPr>
          <w:sz w:val="28"/>
          <w:szCs w:val="28"/>
        </w:rPr>
      </w:pPr>
    </w:p>
    <w:p w14:paraId="65643535" w14:textId="1D298473" w:rsidR="00D7302E" w:rsidRDefault="00D7302E" w:rsidP="00D7302E">
      <w:pPr>
        <w:jc w:val="center"/>
        <w:rPr>
          <w:b/>
          <w:bCs/>
          <w:sz w:val="36"/>
          <w:szCs w:val="36"/>
        </w:rPr>
      </w:pPr>
      <w:r>
        <w:rPr>
          <w:b/>
          <w:bCs/>
          <w:sz w:val="40"/>
          <w:szCs w:val="40"/>
          <w:u w:val="double"/>
        </w:rPr>
        <w:lastRenderedPageBreak/>
        <w:t>RETAIL BANKING OPERATIONS</w:t>
      </w:r>
    </w:p>
    <w:p w14:paraId="04A10E36" w14:textId="46574138" w:rsidR="00D7302E" w:rsidRDefault="00A63512" w:rsidP="00D7302E">
      <w:pPr>
        <w:rPr>
          <w:b/>
          <w:bCs/>
          <w:sz w:val="36"/>
          <w:szCs w:val="36"/>
        </w:rPr>
      </w:pPr>
      <w:proofErr w:type="gramStart"/>
      <w:r>
        <w:rPr>
          <w:b/>
          <w:bCs/>
          <w:sz w:val="36"/>
          <w:szCs w:val="36"/>
        </w:rPr>
        <w:t>INTRODUCTION:-</w:t>
      </w:r>
      <w:proofErr w:type="gramEnd"/>
    </w:p>
    <w:p w14:paraId="7F6822D2" w14:textId="3922169A" w:rsidR="00A63512" w:rsidRPr="00A63512" w:rsidRDefault="00A63512" w:rsidP="00A63512">
      <w:pPr>
        <w:rPr>
          <w:sz w:val="28"/>
          <w:szCs w:val="28"/>
        </w:rPr>
      </w:pPr>
      <w:r>
        <w:rPr>
          <w:b/>
          <w:bCs/>
          <w:sz w:val="36"/>
          <w:szCs w:val="36"/>
        </w:rPr>
        <w:tab/>
      </w:r>
      <w:r>
        <w:rPr>
          <w:b/>
          <w:bCs/>
          <w:sz w:val="36"/>
          <w:szCs w:val="36"/>
        </w:rPr>
        <w:tab/>
      </w:r>
      <w:r w:rsidRPr="00A63512">
        <w:rPr>
          <w:sz w:val="28"/>
          <w:szCs w:val="28"/>
        </w:rPr>
        <w:t>Retail banking, also known as consumer banking, involves the provision of financial services to individual customers rather than businesses. These services typically include checking and savings accounts, personal loans, mortgages, credit cards, and wealth management. In the United States, retail banking is a crucial component of the financial system, catering to the everyday financial needs of millions of consumers. Over the past five years, the sector has undergone significant changes driven by technological advancements, evolving consumer preferences, and economic fluctuations.</w:t>
      </w:r>
    </w:p>
    <w:p w14:paraId="590CCF58" w14:textId="77777777" w:rsidR="00A63512" w:rsidRPr="00A63512" w:rsidRDefault="00A63512" w:rsidP="00A63512">
      <w:pPr>
        <w:rPr>
          <w:sz w:val="28"/>
          <w:szCs w:val="28"/>
        </w:rPr>
      </w:pPr>
    </w:p>
    <w:p w14:paraId="5B7B42F3" w14:textId="77777777" w:rsidR="00A63512" w:rsidRPr="00A63512" w:rsidRDefault="00A63512" w:rsidP="00A63512">
      <w:pPr>
        <w:rPr>
          <w:sz w:val="28"/>
          <w:szCs w:val="28"/>
        </w:rPr>
      </w:pPr>
      <w:r w:rsidRPr="00A63512">
        <w:rPr>
          <w:sz w:val="28"/>
          <w:szCs w:val="28"/>
        </w:rPr>
        <w:t>The number of retail bank branches has steadily declined as more customers shift to digital banking platforms for convenience and efficiency. This trend reflects the broader move towards digital transformation within the banking industry, where mobile and online banking services are becoming increasingly prevalent. The consolidation of physical branches is also influenced by cost-saving measures and the need to optimize operations.</w:t>
      </w:r>
    </w:p>
    <w:p w14:paraId="22C45845" w14:textId="77777777" w:rsidR="00A63512" w:rsidRPr="00A63512" w:rsidRDefault="00A63512" w:rsidP="00A63512">
      <w:pPr>
        <w:rPr>
          <w:sz w:val="28"/>
          <w:szCs w:val="28"/>
        </w:rPr>
      </w:pPr>
    </w:p>
    <w:p w14:paraId="617B096F" w14:textId="77777777" w:rsidR="00A63512" w:rsidRPr="00A63512" w:rsidRDefault="00A63512" w:rsidP="00A63512">
      <w:pPr>
        <w:rPr>
          <w:sz w:val="28"/>
          <w:szCs w:val="28"/>
        </w:rPr>
      </w:pPr>
      <w:r w:rsidRPr="00A63512">
        <w:rPr>
          <w:sz w:val="28"/>
          <w:szCs w:val="28"/>
        </w:rPr>
        <w:t>Deposit growth has been robust, with total deposits in retail banks increasing year over year. This trend has been influenced by several factors, including economic stimulus measures, increased savings rates during periods of economic uncertainty, and a general preference for holding liquid assets. The consistent rise in deposits highlights the trust and reliance consumers place on banks as safe repositories for their funds.</w:t>
      </w:r>
    </w:p>
    <w:p w14:paraId="4825D445" w14:textId="77777777" w:rsidR="00A63512" w:rsidRPr="00A63512" w:rsidRDefault="00A63512" w:rsidP="00A63512">
      <w:pPr>
        <w:rPr>
          <w:sz w:val="28"/>
          <w:szCs w:val="28"/>
        </w:rPr>
      </w:pPr>
    </w:p>
    <w:p w14:paraId="6E4D38F3" w14:textId="77777777" w:rsidR="00A63512" w:rsidRPr="00A63512" w:rsidRDefault="00A63512" w:rsidP="00A63512">
      <w:pPr>
        <w:rPr>
          <w:sz w:val="28"/>
          <w:szCs w:val="28"/>
        </w:rPr>
      </w:pPr>
      <w:r w:rsidRPr="00A63512">
        <w:rPr>
          <w:sz w:val="28"/>
          <w:szCs w:val="28"/>
        </w:rPr>
        <w:t>Loan growth in the retail banking sector has also shown a positive trajectory. The demand for personal and home loans has remained strong, reflecting consumer confidence and the ongoing need for credit to finance significant life events and purchases. However, the pace of loan growth can be affected by interest rate changes, economic conditions, and regulatory policies.</w:t>
      </w:r>
    </w:p>
    <w:p w14:paraId="238EB2F9" w14:textId="77777777" w:rsidR="00A63512" w:rsidRPr="00A63512" w:rsidRDefault="00A63512" w:rsidP="00A63512">
      <w:pPr>
        <w:rPr>
          <w:sz w:val="28"/>
          <w:szCs w:val="28"/>
        </w:rPr>
      </w:pPr>
    </w:p>
    <w:p w14:paraId="3474B520" w14:textId="77777777" w:rsidR="00A63512" w:rsidRPr="00A63512" w:rsidRDefault="00A63512" w:rsidP="00A63512">
      <w:pPr>
        <w:rPr>
          <w:sz w:val="28"/>
          <w:szCs w:val="28"/>
        </w:rPr>
      </w:pPr>
      <w:r w:rsidRPr="00A63512">
        <w:rPr>
          <w:sz w:val="28"/>
          <w:szCs w:val="28"/>
        </w:rPr>
        <w:lastRenderedPageBreak/>
        <w:t>Credit card usage, as indicated by total credit card debt, has seen a steady increase. This trend points to the reliance on credit for consumer spending and the integral role credit cards play in personal finance. It also underscores the importance of managing credit risk and promoting responsible borrowing practices among consumers.</w:t>
      </w:r>
    </w:p>
    <w:p w14:paraId="7C556F14" w14:textId="77777777" w:rsidR="00A63512" w:rsidRPr="00A63512" w:rsidRDefault="00A63512" w:rsidP="00A63512">
      <w:pPr>
        <w:rPr>
          <w:sz w:val="28"/>
          <w:szCs w:val="28"/>
        </w:rPr>
      </w:pPr>
    </w:p>
    <w:p w14:paraId="74934607" w14:textId="77777777" w:rsidR="00A63512" w:rsidRPr="00A63512" w:rsidRDefault="00A63512" w:rsidP="00A63512">
      <w:pPr>
        <w:rPr>
          <w:sz w:val="28"/>
          <w:szCs w:val="28"/>
        </w:rPr>
      </w:pPr>
      <w:r w:rsidRPr="00A63512">
        <w:rPr>
          <w:sz w:val="28"/>
          <w:szCs w:val="28"/>
        </w:rPr>
        <w:t>Mortgage originations experienced a peak in 2020, driven by historically low interest rates that spurred refinancing and home-buying activities. However, as interest rates began to rise, mortgage originations have moderated, reflecting adjustments in the housing market and borrowing costs.</w:t>
      </w:r>
    </w:p>
    <w:p w14:paraId="50F26CCF" w14:textId="77777777" w:rsidR="00A63512" w:rsidRPr="00A63512" w:rsidRDefault="00A63512" w:rsidP="00A63512">
      <w:pPr>
        <w:rPr>
          <w:sz w:val="28"/>
          <w:szCs w:val="28"/>
        </w:rPr>
      </w:pPr>
    </w:p>
    <w:p w14:paraId="7F451B2F" w14:textId="77777777" w:rsidR="00A63512" w:rsidRPr="00A63512" w:rsidRDefault="00A63512" w:rsidP="00A63512">
      <w:pPr>
        <w:rPr>
          <w:sz w:val="28"/>
          <w:szCs w:val="28"/>
        </w:rPr>
      </w:pPr>
      <w:r w:rsidRPr="00A63512">
        <w:rPr>
          <w:sz w:val="28"/>
          <w:szCs w:val="28"/>
        </w:rPr>
        <w:t>Net interest margin, a key profitability metric for banks, has experienced a decline over the past five years. This decline can be attributed to prolonged low interest rate environments and competitive pressures impacting banks' ability to generate interest income. Despite these challenges, retail banks have adapted by diversifying their revenue streams and enhancing operational efficiencies.</w:t>
      </w:r>
    </w:p>
    <w:p w14:paraId="1930E00C" w14:textId="77777777" w:rsidR="00A63512" w:rsidRPr="00A63512" w:rsidRDefault="00A63512" w:rsidP="00A63512">
      <w:pPr>
        <w:rPr>
          <w:sz w:val="28"/>
          <w:szCs w:val="28"/>
        </w:rPr>
      </w:pPr>
    </w:p>
    <w:p w14:paraId="6897EA3D" w14:textId="4ABA19FF" w:rsidR="007E090C" w:rsidRPr="007E090C" w:rsidRDefault="007E090C" w:rsidP="007E090C">
      <w:pPr>
        <w:rPr>
          <w:sz w:val="28"/>
          <w:szCs w:val="28"/>
        </w:rPr>
      </w:pPr>
      <w:r w:rsidRPr="007E090C">
        <w:rPr>
          <w:sz w:val="28"/>
          <w:szCs w:val="28"/>
        </w:rPr>
        <w:t>Here’s an overview of the key aspects of retail banking operations in the U.S.:</w:t>
      </w:r>
    </w:p>
    <w:p w14:paraId="27022205" w14:textId="77777777" w:rsidR="007E090C" w:rsidRPr="007E090C" w:rsidRDefault="007E090C" w:rsidP="007E090C">
      <w:pPr>
        <w:rPr>
          <w:sz w:val="28"/>
          <w:szCs w:val="28"/>
        </w:rPr>
      </w:pPr>
    </w:p>
    <w:p w14:paraId="17DFD6F6" w14:textId="17572102" w:rsidR="007E090C" w:rsidRPr="007E090C" w:rsidRDefault="007E090C" w:rsidP="007E090C">
      <w:pPr>
        <w:rPr>
          <w:b/>
          <w:bCs/>
          <w:sz w:val="28"/>
          <w:szCs w:val="28"/>
        </w:rPr>
      </w:pPr>
      <w:r w:rsidRPr="007E090C">
        <w:rPr>
          <w:b/>
          <w:bCs/>
          <w:sz w:val="28"/>
          <w:szCs w:val="28"/>
        </w:rPr>
        <w:t xml:space="preserve"> 1. Core Services and Products:</w:t>
      </w:r>
    </w:p>
    <w:p w14:paraId="0146573D" w14:textId="437B1FB0" w:rsidR="007E090C" w:rsidRPr="007E090C" w:rsidRDefault="007E090C" w:rsidP="007E090C">
      <w:pPr>
        <w:rPr>
          <w:sz w:val="28"/>
          <w:szCs w:val="28"/>
        </w:rPr>
      </w:pPr>
      <w:r w:rsidRPr="007E090C">
        <w:rPr>
          <w:sz w:val="28"/>
          <w:szCs w:val="28"/>
        </w:rPr>
        <w:t xml:space="preserve">   </w:t>
      </w:r>
      <w:r w:rsidRPr="007E090C">
        <w:rPr>
          <w:b/>
          <w:bCs/>
          <w:sz w:val="28"/>
          <w:szCs w:val="28"/>
        </w:rPr>
        <w:t>- Checking Accounts:</w:t>
      </w:r>
      <w:r w:rsidRPr="007E090C">
        <w:rPr>
          <w:sz w:val="28"/>
          <w:szCs w:val="28"/>
        </w:rPr>
        <w:t xml:space="preserve"> Used for daily transactions, often with features like debit cards, online banking, and direct deposit.</w:t>
      </w:r>
    </w:p>
    <w:p w14:paraId="028D77A9" w14:textId="4C213EF7" w:rsidR="007E090C" w:rsidRPr="007E090C" w:rsidRDefault="007E090C" w:rsidP="007E090C">
      <w:pPr>
        <w:rPr>
          <w:sz w:val="28"/>
          <w:szCs w:val="28"/>
        </w:rPr>
      </w:pPr>
      <w:r w:rsidRPr="007E090C">
        <w:rPr>
          <w:b/>
          <w:bCs/>
          <w:sz w:val="28"/>
          <w:szCs w:val="28"/>
        </w:rPr>
        <w:t xml:space="preserve">   - Savings Accounts:</w:t>
      </w:r>
      <w:r w:rsidRPr="007E090C">
        <w:rPr>
          <w:sz w:val="28"/>
          <w:szCs w:val="28"/>
        </w:rPr>
        <w:t xml:space="preserve"> Accounts that earn interest over time, designed for saving money.</w:t>
      </w:r>
    </w:p>
    <w:p w14:paraId="0834403A" w14:textId="7882CBF6" w:rsidR="007E090C" w:rsidRPr="007E090C" w:rsidRDefault="007E090C" w:rsidP="007E090C">
      <w:pPr>
        <w:rPr>
          <w:sz w:val="28"/>
          <w:szCs w:val="28"/>
        </w:rPr>
      </w:pPr>
      <w:r w:rsidRPr="007E090C">
        <w:rPr>
          <w:sz w:val="28"/>
          <w:szCs w:val="28"/>
        </w:rPr>
        <w:t xml:space="preserve">   </w:t>
      </w:r>
      <w:r w:rsidRPr="007E090C">
        <w:rPr>
          <w:b/>
          <w:bCs/>
          <w:sz w:val="28"/>
          <w:szCs w:val="28"/>
        </w:rPr>
        <w:t>- Certificates of Deposit (CDs):</w:t>
      </w:r>
      <w:r w:rsidRPr="007E090C">
        <w:rPr>
          <w:sz w:val="28"/>
          <w:szCs w:val="28"/>
        </w:rPr>
        <w:t xml:space="preserve"> Time deposit accounts that offer higher interest rates in exchange for leaving funds untouched for a fixed term.</w:t>
      </w:r>
    </w:p>
    <w:p w14:paraId="5790A807" w14:textId="083C4C2B" w:rsidR="007E090C" w:rsidRPr="007E090C" w:rsidRDefault="007E090C" w:rsidP="007E090C">
      <w:pPr>
        <w:rPr>
          <w:sz w:val="28"/>
          <w:szCs w:val="28"/>
        </w:rPr>
      </w:pPr>
      <w:r w:rsidRPr="007E090C">
        <w:rPr>
          <w:b/>
          <w:bCs/>
          <w:sz w:val="28"/>
          <w:szCs w:val="28"/>
        </w:rPr>
        <w:t xml:space="preserve">   - Loans and Mortgages:</w:t>
      </w:r>
      <w:r w:rsidRPr="007E090C">
        <w:rPr>
          <w:sz w:val="28"/>
          <w:szCs w:val="28"/>
        </w:rPr>
        <w:t xml:space="preserve"> Personal loans, home equity loans, and mortgages for purchasing or refinancing homes.</w:t>
      </w:r>
    </w:p>
    <w:p w14:paraId="638AF386" w14:textId="763EE18A" w:rsidR="007E090C" w:rsidRPr="007E090C" w:rsidRDefault="007E090C" w:rsidP="007E090C">
      <w:pPr>
        <w:rPr>
          <w:sz w:val="28"/>
          <w:szCs w:val="28"/>
        </w:rPr>
      </w:pPr>
      <w:r w:rsidRPr="007E090C">
        <w:rPr>
          <w:sz w:val="28"/>
          <w:szCs w:val="28"/>
        </w:rPr>
        <w:t xml:space="preserve">   </w:t>
      </w:r>
      <w:r w:rsidRPr="007E090C">
        <w:rPr>
          <w:b/>
          <w:bCs/>
          <w:sz w:val="28"/>
          <w:szCs w:val="28"/>
        </w:rPr>
        <w:t>- Credit Cards:</w:t>
      </w:r>
      <w:r w:rsidRPr="007E090C">
        <w:rPr>
          <w:sz w:val="28"/>
          <w:szCs w:val="28"/>
        </w:rPr>
        <w:t xml:space="preserve"> Offer revolving credit with various features like rewards, cash back, and travel benefits.</w:t>
      </w:r>
    </w:p>
    <w:p w14:paraId="64AD3A63" w14:textId="15559A11" w:rsidR="007E090C" w:rsidRPr="007E090C" w:rsidRDefault="007E090C" w:rsidP="007E090C">
      <w:pPr>
        <w:rPr>
          <w:sz w:val="28"/>
          <w:szCs w:val="28"/>
        </w:rPr>
      </w:pPr>
      <w:r w:rsidRPr="007E090C">
        <w:rPr>
          <w:sz w:val="28"/>
          <w:szCs w:val="28"/>
        </w:rPr>
        <w:lastRenderedPageBreak/>
        <w:t xml:space="preserve">   </w:t>
      </w:r>
      <w:r w:rsidRPr="007E090C">
        <w:rPr>
          <w:b/>
          <w:bCs/>
          <w:sz w:val="28"/>
          <w:szCs w:val="28"/>
        </w:rPr>
        <w:t>- Investment Services:</w:t>
      </w:r>
      <w:r w:rsidRPr="007E090C">
        <w:rPr>
          <w:sz w:val="28"/>
          <w:szCs w:val="28"/>
        </w:rPr>
        <w:t xml:space="preserve"> Some banks provide investment products such as mutual funds, retirement accounts, and brokerage services.</w:t>
      </w:r>
    </w:p>
    <w:p w14:paraId="64A5D895" w14:textId="77777777" w:rsidR="007E090C" w:rsidRPr="007E090C" w:rsidRDefault="007E090C" w:rsidP="007E090C">
      <w:pPr>
        <w:rPr>
          <w:sz w:val="28"/>
          <w:szCs w:val="28"/>
        </w:rPr>
      </w:pPr>
    </w:p>
    <w:p w14:paraId="4972A631" w14:textId="049A0380" w:rsidR="007E090C" w:rsidRPr="007E090C" w:rsidRDefault="007E090C" w:rsidP="007E090C">
      <w:pPr>
        <w:rPr>
          <w:b/>
          <w:bCs/>
          <w:sz w:val="28"/>
          <w:szCs w:val="28"/>
        </w:rPr>
      </w:pPr>
      <w:r w:rsidRPr="007E090C">
        <w:rPr>
          <w:b/>
          <w:bCs/>
          <w:sz w:val="28"/>
          <w:szCs w:val="28"/>
        </w:rPr>
        <w:t xml:space="preserve"> 2. Customer Service and Engagement:</w:t>
      </w:r>
    </w:p>
    <w:p w14:paraId="4E5E8C61" w14:textId="26226239" w:rsidR="007E090C" w:rsidRPr="007E090C" w:rsidRDefault="007E090C" w:rsidP="007E090C">
      <w:pPr>
        <w:rPr>
          <w:sz w:val="28"/>
          <w:szCs w:val="28"/>
        </w:rPr>
      </w:pPr>
      <w:r w:rsidRPr="007E090C">
        <w:rPr>
          <w:sz w:val="28"/>
          <w:szCs w:val="28"/>
        </w:rPr>
        <w:t xml:space="preserve">   </w:t>
      </w:r>
      <w:r w:rsidRPr="007E090C">
        <w:rPr>
          <w:b/>
          <w:bCs/>
          <w:sz w:val="28"/>
          <w:szCs w:val="28"/>
        </w:rPr>
        <w:t>- Branch Banking:</w:t>
      </w:r>
      <w:r w:rsidRPr="007E090C">
        <w:rPr>
          <w:sz w:val="28"/>
          <w:szCs w:val="28"/>
        </w:rPr>
        <w:t xml:space="preserve"> Physical branches provide face-to-face service for account management, loan applications, and other financial needs.</w:t>
      </w:r>
    </w:p>
    <w:p w14:paraId="1C3C3244" w14:textId="0ED34126" w:rsidR="007E090C" w:rsidRPr="007E090C" w:rsidRDefault="007E090C" w:rsidP="007E090C">
      <w:pPr>
        <w:rPr>
          <w:sz w:val="28"/>
          <w:szCs w:val="28"/>
        </w:rPr>
      </w:pPr>
      <w:r w:rsidRPr="007E090C">
        <w:rPr>
          <w:sz w:val="28"/>
          <w:szCs w:val="28"/>
        </w:rPr>
        <w:t xml:space="preserve">   </w:t>
      </w:r>
      <w:r w:rsidRPr="007E090C">
        <w:rPr>
          <w:b/>
          <w:bCs/>
          <w:sz w:val="28"/>
          <w:szCs w:val="28"/>
        </w:rPr>
        <w:t>- Online and Mobile Banking:</w:t>
      </w:r>
      <w:r w:rsidRPr="007E090C">
        <w:rPr>
          <w:sz w:val="28"/>
          <w:szCs w:val="28"/>
        </w:rPr>
        <w:t xml:space="preserve"> Digital platforms for account access, bill payments, transfers, and other transactions. Mobile banking apps are increasingly popular.</w:t>
      </w:r>
    </w:p>
    <w:p w14:paraId="4C612A0D" w14:textId="465A2D6C" w:rsidR="007E090C" w:rsidRPr="007E090C" w:rsidRDefault="007E090C" w:rsidP="007E090C">
      <w:pPr>
        <w:rPr>
          <w:sz w:val="28"/>
          <w:szCs w:val="28"/>
        </w:rPr>
      </w:pPr>
      <w:r w:rsidRPr="007E090C">
        <w:rPr>
          <w:b/>
          <w:bCs/>
          <w:sz w:val="28"/>
          <w:szCs w:val="28"/>
        </w:rPr>
        <w:t xml:space="preserve">   - ATMs:</w:t>
      </w:r>
      <w:r w:rsidRPr="007E090C">
        <w:rPr>
          <w:sz w:val="28"/>
          <w:szCs w:val="28"/>
        </w:rPr>
        <w:t xml:space="preserve"> Automated teller machines for cash withdrawals, deposits, and basic account management.</w:t>
      </w:r>
    </w:p>
    <w:p w14:paraId="46971C46" w14:textId="4CE17E23" w:rsidR="007E090C" w:rsidRPr="007E090C" w:rsidRDefault="007E090C" w:rsidP="007E090C">
      <w:pPr>
        <w:rPr>
          <w:sz w:val="28"/>
          <w:szCs w:val="28"/>
        </w:rPr>
      </w:pPr>
      <w:r w:rsidRPr="007E090C">
        <w:rPr>
          <w:b/>
          <w:bCs/>
          <w:sz w:val="28"/>
          <w:szCs w:val="28"/>
        </w:rPr>
        <w:t xml:space="preserve">   - Customer Support:</w:t>
      </w:r>
      <w:r w:rsidRPr="007E090C">
        <w:rPr>
          <w:sz w:val="28"/>
          <w:szCs w:val="28"/>
        </w:rPr>
        <w:t xml:space="preserve"> Call </w:t>
      </w:r>
      <w:proofErr w:type="spellStart"/>
      <w:r w:rsidRPr="007E090C">
        <w:rPr>
          <w:sz w:val="28"/>
          <w:szCs w:val="28"/>
        </w:rPr>
        <w:t>centre’s</w:t>
      </w:r>
      <w:proofErr w:type="spellEnd"/>
      <w:r w:rsidRPr="007E090C">
        <w:rPr>
          <w:sz w:val="28"/>
          <w:szCs w:val="28"/>
        </w:rPr>
        <w:t>, chatbots, and online help centres to assist customers with their banking needs.</w:t>
      </w:r>
    </w:p>
    <w:p w14:paraId="2E248452" w14:textId="77777777" w:rsidR="007E090C" w:rsidRPr="007E090C" w:rsidRDefault="007E090C" w:rsidP="007E090C">
      <w:pPr>
        <w:rPr>
          <w:sz w:val="28"/>
          <w:szCs w:val="28"/>
        </w:rPr>
      </w:pPr>
    </w:p>
    <w:p w14:paraId="49F4FDED" w14:textId="2384FAB3" w:rsidR="007E090C" w:rsidRPr="007E090C" w:rsidRDefault="007E090C" w:rsidP="007E090C">
      <w:pPr>
        <w:rPr>
          <w:b/>
          <w:bCs/>
          <w:sz w:val="28"/>
          <w:szCs w:val="28"/>
        </w:rPr>
      </w:pPr>
      <w:r w:rsidRPr="007E090C">
        <w:rPr>
          <w:b/>
          <w:bCs/>
          <w:sz w:val="28"/>
          <w:szCs w:val="28"/>
        </w:rPr>
        <w:t xml:space="preserve"> 3. Technology and Innovation:</w:t>
      </w:r>
    </w:p>
    <w:p w14:paraId="56BE5985" w14:textId="25627D51" w:rsidR="007E090C" w:rsidRPr="007E090C" w:rsidRDefault="007E090C" w:rsidP="007E090C">
      <w:pPr>
        <w:rPr>
          <w:sz w:val="28"/>
          <w:szCs w:val="28"/>
        </w:rPr>
      </w:pPr>
      <w:r w:rsidRPr="007E090C">
        <w:rPr>
          <w:sz w:val="28"/>
          <w:szCs w:val="28"/>
        </w:rPr>
        <w:t xml:space="preserve">   </w:t>
      </w:r>
      <w:r w:rsidRPr="007E090C">
        <w:rPr>
          <w:b/>
          <w:bCs/>
          <w:sz w:val="28"/>
          <w:szCs w:val="28"/>
        </w:rPr>
        <w:t>- Fintech Integration:</w:t>
      </w:r>
      <w:r w:rsidRPr="007E090C">
        <w:rPr>
          <w:sz w:val="28"/>
          <w:szCs w:val="28"/>
        </w:rPr>
        <w:t xml:space="preserve"> Collaboration with fintech companies to offer innovative services like peer-to-peer payments, </w:t>
      </w:r>
      <w:proofErr w:type="spellStart"/>
      <w:r w:rsidRPr="007E090C">
        <w:rPr>
          <w:sz w:val="28"/>
          <w:szCs w:val="28"/>
        </w:rPr>
        <w:t>robo</w:t>
      </w:r>
      <w:proofErr w:type="spellEnd"/>
      <w:r w:rsidRPr="007E090C">
        <w:rPr>
          <w:sz w:val="28"/>
          <w:szCs w:val="28"/>
        </w:rPr>
        <w:t>-advisors, and advanced security features.</w:t>
      </w:r>
    </w:p>
    <w:p w14:paraId="5F7D16C9" w14:textId="787C1CBB" w:rsidR="007E090C" w:rsidRPr="007E090C" w:rsidRDefault="007E090C" w:rsidP="007E090C">
      <w:pPr>
        <w:rPr>
          <w:sz w:val="28"/>
          <w:szCs w:val="28"/>
        </w:rPr>
      </w:pPr>
      <w:r w:rsidRPr="007E090C">
        <w:rPr>
          <w:b/>
          <w:bCs/>
          <w:sz w:val="28"/>
          <w:szCs w:val="28"/>
        </w:rPr>
        <w:t xml:space="preserve">   - Blockchain and Cryptocurrencies:</w:t>
      </w:r>
      <w:r w:rsidRPr="007E090C">
        <w:rPr>
          <w:sz w:val="28"/>
          <w:szCs w:val="28"/>
        </w:rPr>
        <w:t xml:space="preserve"> Exploration of blockchain for secure transactions and potential offering of cryptocurrency services.</w:t>
      </w:r>
    </w:p>
    <w:p w14:paraId="5CE00432" w14:textId="2D06E588" w:rsidR="007E090C" w:rsidRPr="007E090C" w:rsidRDefault="007E090C" w:rsidP="007E090C">
      <w:pPr>
        <w:rPr>
          <w:sz w:val="28"/>
          <w:szCs w:val="28"/>
        </w:rPr>
      </w:pPr>
      <w:r w:rsidRPr="007E090C">
        <w:rPr>
          <w:b/>
          <w:bCs/>
          <w:sz w:val="28"/>
          <w:szCs w:val="28"/>
        </w:rPr>
        <w:t xml:space="preserve">   - AI and Machine Learning:</w:t>
      </w:r>
      <w:r w:rsidRPr="007E090C">
        <w:rPr>
          <w:sz w:val="28"/>
          <w:szCs w:val="28"/>
        </w:rPr>
        <w:t xml:space="preserve"> Used for customer service (chatbots), fraud detection, personalized financial advice, and risk management.</w:t>
      </w:r>
    </w:p>
    <w:p w14:paraId="190DD094" w14:textId="77777777" w:rsidR="007E090C" w:rsidRPr="007E090C" w:rsidRDefault="007E090C" w:rsidP="007E090C">
      <w:pPr>
        <w:rPr>
          <w:sz w:val="28"/>
          <w:szCs w:val="28"/>
        </w:rPr>
      </w:pPr>
    </w:p>
    <w:p w14:paraId="42076C25" w14:textId="3F927D85" w:rsidR="007E090C" w:rsidRPr="007E090C" w:rsidRDefault="007E090C" w:rsidP="007E090C">
      <w:pPr>
        <w:rPr>
          <w:b/>
          <w:bCs/>
          <w:sz w:val="28"/>
          <w:szCs w:val="28"/>
        </w:rPr>
      </w:pPr>
      <w:r w:rsidRPr="007E090C">
        <w:rPr>
          <w:b/>
          <w:bCs/>
          <w:sz w:val="28"/>
          <w:szCs w:val="28"/>
        </w:rPr>
        <w:t xml:space="preserve"> 4. Regulatory Environment:</w:t>
      </w:r>
    </w:p>
    <w:p w14:paraId="31CCB1FE" w14:textId="5BD16AF8" w:rsidR="007E090C" w:rsidRPr="007E090C" w:rsidRDefault="007E090C" w:rsidP="007E090C">
      <w:pPr>
        <w:rPr>
          <w:sz w:val="28"/>
          <w:szCs w:val="28"/>
        </w:rPr>
      </w:pPr>
      <w:r w:rsidRPr="007E090C">
        <w:rPr>
          <w:sz w:val="28"/>
          <w:szCs w:val="28"/>
        </w:rPr>
        <w:t xml:space="preserve">   </w:t>
      </w:r>
      <w:r w:rsidRPr="007E090C">
        <w:rPr>
          <w:b/>
          <w:bCs/>
          <w:sz w:val="28"/>
          <w:szCs w:val="28"/>
        </w:rPr>
        <w:t>- Regulatory Bodies:</w:t>
      </w:r>
      <w:r w:rsidRPr="007E090C">
        <w:rPr>
          <w:sz w:val="28"/>
          <w:szCs w:val="28"/>
        </w:rPr>
        <w:t xml:space="preserve"> The Federal Reserve, Office of the Comptroller of the Currency (OCC), Federal Deposit Insurance Corporation (FDIC), and Consumer Financial Protection Bureau (CFPB) oversee and regulate banking practices.</w:t>
      </w:r>
    </w:p>
    <w:p w14:paraId="14D51BFE" w14:textId="30A17D53" w:rsidR="007E090C" w:rsidRPr="007E090C" w:rsidRDefault="007E090C" w:rsidP="007E090C">
      <w:pPr>
        <w:rPr>
          <w:sz w:val="28"/>
          <w:szCs w:val="28"/>
        </w:rPr>
      </w:pPr>
      <w:r w:rsidRPr="007E090C">
        <w:rPr>
          <w:b/>
          <w:bCs/>
          <w:sz w:val="28"/>
          <w:szCs w:val="28"/>
        </w:rPr>
        <w:t xml:space="preserve">   - Compliance:</w:t>
      </w:r>
      <w:r w:rsidRPr="007E090C">
        <w:rPr>
          <w:sz w:val="28"/>
          <w:szCs w:val="28"/>
        </w:rPr>
        <w:t xml:space="preserve"> Banks must comply with regulations like the Dodd-Frank Act, Bank Secrecy Act, and various consumer protection laws.</w:t>
      </w:r>
    </w:p>
    <w:p w14:paraId="4E9F9406" w14:textId="77777777" w:rsidR="007E090C" w:rsidRPr="007E090C" w:rsidRDefault="007E090C" w:rsidP="007E090C">
      <w:pPr>
        <w:rPr>
          <w:sz w:val="28"/>
          <w:szCs w:val="28"/>
        </w:rPr>
      </w:pPr>
    </w:p>
    <w:p w14:paraId="5AFE7F39" w14:textId="71E61EA5" w:rsidR="007E090C" w:rsidRPr="007E090C" w:rsidRDefault="007E090C" w:rsidP="007E090C">
      <w:pPr>
        <w:rPr>
          <w:b/>
          <w:bCs/>
          <w:sz w:val="28"/>
          <w:szCs w:val="28"/>
        </w:rPr>
      </w:pPr>
      <w:r w:rsidRPr="007E090C">
        <w:rPr>
          <w:b/>
          <w:bCs/>
          <w:sz w:val="28"/>
          <w:szCs w:val="28"/>
        </w:rPr>
        <w:lastRenderedPageBreak/>
        <w:t xml:space="preserve"> 5. Security and Fraud Prevention:</w:t>
      </w:r>
    </w:p>
    <w:p w14:paraId="70638DC3" w14:textId="52369A60" w:rsidR="007E090C" w:rsidRPr="007E090C" w:rsidRDefault="007E090C" w:rsidP="007E090C">
      <w:pPr>
        <w:rPr>
          <w:sz w:val="28"/>
          <w:szCs w:val="28"/>
        </w:rPr>
      </w:pPr>
      <w:r w:rsidRPr="007E090C">
        <w:rPr>
          <w:b/>
          <w:bCs/>
          <w:sz w:val="28"/>
          <w:szCs w:val="28"/>
        </w:rPr>
        <w:t xml:space="preserve">   - Data Security:</w:t>
      </w:r>
      <w:r w:rsidRPr="007E090C">
        <w:rPr>
          <w:sz w:val="28"/>
          <w:szCs w:val="28"/>
        </w:rPr>
        <w:t xml:space="preserve"> Measures to protect customer data, including encryption, secure access controls, and regular security audits.</w:t>
      </w:r>
    </w:p>
    <w:p w14:paraId="36426CCC" w14:textId="443D94DB" w:rsidR="007E090C" w:rsidRPr="007E090C" w:rsidRDefault="007E090C" w:rsidP="007E090C">
      <w:pPr>
        <w:rPr>
          <w:sz w:val="28"/>
          <w:szCs w:val="28"/>
        </w:rPr>
      </w:pPr>
      <w:r w:rsidRPr="007E090C">
        <w:rPr>
          <w:sz w:val="28"/>
          <w:szCs w:val="28"/>
        </w:rPr>
        <w:t xml:space="preserve">   </w:t>
      </w:r>
      <w:r w:rsidRPr="007E090C">
        <w:rPr>
          <w:b/>
          <w:bCs/>
          <w:sz w:val="28"/>
          <w:szCs w:val="28"/>
        </w:rPr>
        <w:t>- Fraud Detection:</w:t>
      </w:r>
      <w:r w:rsidRPr="007E090C">
        <w:rPr>
          <w:sz w:val="28"/>
          <w:szCs w:val="28"/>
        </w:rPr>
        <w:t xml:space="preserve"> Systems to detect and prevent fraud, such as monitoring for unusual account activity and employing AI to identify suspicious transactions.</w:t>
      </w:r>
    </w:p>
    <w:p w14:paraId="2D54AACC" w14:textId="77777777" w:rsidR="007E090C" w:rsidRPr="007E090C" w:rsidRDefault="007E090C" w:rsidP="007E090C">
      <w:pPr>
        <w:rPr>
          <w:sz w:val="28"/>
          <w:szCs w:val="28"/>
        </w:rPr>
      </w:pPr>
    </w:p>
    <w:p w14:paraId="24292209" w14:textId="24329D26" w:rsidR="007E090C" w:rsidRPr="007E090C" w:rsidRDefault="007E090C" w:rsidP="007E090C">
      <w:pPr>
        <w:rPr>
          <w:b/>
          <w:bCs/>
          <w:sz w:val="28"/>
          <w:szCs w:val="28"/>
        </w:rPr>
      </w:pPr>
      <w:r w:rsidRPr="007E090C">
        <w:rPr>
          <w:b/>
          <w:bCs/>
          <w:sz w:val="28"/>
          <w:szCs w:val="28"/>
        </w:rPr>
        <w:t xml:space="preserve"> 6. Consumer Trends:</w:t>
      </w:r>
    </w:p>
    <w:p w14:paraId="590B8983" w14:textId="08ABD7C9" w:rsidR="007E090C" w:rsidRPr="007E090C" w:rsidRDefault="007E090C" w:rsidP="007E090C">
      <w:pPr>
        <w:rPr>
          <w:sz w:val="28"/>
          <w:szCs w:val="28"/>
        </w:rPr>
      </w:pPr>
      <w:r w:rsidRPr="007E090C">
        <w:rPr>
          <w:sz w:val="28"/>
          <w:szCs w:val="28"/>
        </w:rPr>
        <w:t xml:space="preserve">   </w:t>
      </w:r>
      <w:r w:rsidRPr="007E090C">
        <w:rPr>
          <w:b/>
          <w:bCs/>
          <w:sz w:val="28"/>
          <w:szCs w:val="28"/>
        </w:rPr>
        <w:t>- Digital Banking:</w:t>
      </w:r>
      <w:r w:rsidRPr="007E090C">
        <w:rPr>
          <w:sz w:val="28"/>
          <w:szCs w:val="28"/>
        </w:rPr>
        <w:t xml:space="preserve"> Increasing preference for online and mobile banking services over traditional branch visits.</w:t>
      </w:r>
    </w:p>
    <w:p w14:paraId="2AA7430E" w14:textId="6A80F2CE" w:rsidR="007E090C" w:rsidRPr="007E090C" w:rsidRDefault="007E090C" w:rsidP="007E090C">
      <w:pPr>
        <w:rPr>
          <w:sz w:val="28"/>
          <w:szCs w:val="28"/>
        </w:rPr>
      </w:pPr>
      <w:r w:rsidRPr="007E090C">
        <w:rPr>
          <w:b/>
          <w:bCs/>
          <w:sz w:val="28"/>
          <w:szCs w:val="28"/>
        </w:rPr>
        <w:t xml:space="preserve">   - Personalization:</w:t>
      </w:r>
      <w:r w:rsidRPr="007E090C">
        <w:rPr>
          <w:sz w:val="28"/>
          <w:szCs w:val="28"/>
        </w:rPr>
        <w:t xml:space="preserve"> Demand for personalized banking experiences, tailored financial advice, and customized products.</w:t>
      </w:r>
    </w:p>
    <w:p w14:paraId="6DC4291B" w14:textId="5CEF1714" w:rsidR="007E090C" w:rsidRPr="007E090C" w:rsidRDefault="007E090C" w:rsidP="007E090C">
      <w:pPr>
        <w:rPr>
          <w:sz w:val="28"/>
          <w:szCs w:val="28"/>
        </w:rPr>
      </w:pPr>
      <w:r w:rsidRPr="007E090C">
        <w:rPr>
          <w:sz w:val="28"/>
          <w:szCs w:val="28"/>
        </w:rPr>
        <w:t xml:space="preserve">   </w:t>
      </w:r>
      <w:r w:rsidRPr="007E090C">
        <w:rPr>
          <w:b/>
          <w:bCs/>
          <w:sz w:val="28"/>
          <w:szCs w:val="28"/>
        </w:rPr>
        <w:t>- Sustainability:</w:t>
      </w:r>
      <w:r w:rsidRPr="007E090C">
        <w:rPr>
          <w:sz w:val="28"/>
          <w:szCs w:val="28"/>
        </w:rPr>
        <w:t xml:space="preserve"> Growing interest in sustainable and socially responsible banking practices.</w:t>
      </w:r>
    </w:p>
    <w:p w14:paraId="1969D36B" w14:textId="77777777" w:rsidR="007E090C" w:rsidRPr="007E090C" w:rsidRDefault="007E090C" w:rsidP="007E090C">
      <w:pPr>
        <w:rPr>
          <w:sz w:val="28"/>
          <w:szCs w:val="28"/>
        </w:rPr>
      </w:pPr>
    </w:p>
    <w:p w14:paraId="0BE064D9" w14:textId="44C3825C" w:rsidR="007E090C" w:rsidRPr="007E090C" w:rsidRDefault="007E090C" w:rsidP="007E090C">
      <w:pPr>
        <w:rPr>
          <w:b/>
          <w:bCs/>
          <w:sz w:val="28"/>
          <w:szCs w:val="28"/>
        </w:rPr>
      </w:pPr>
      <w:r w:rsidRPr="007E090C">
        <w:rPr>
          <w:b/>
          <w:bCs/>
          <w:sz w:val="28"/>
          <w:szCs w:val="28"/>
        </w:rPr>
        <w:t xml:space="preserve"> 7. Challenges:</w:t>
      </w:r>
    </w:p>
    <w:p w14:paraId="3A899C6B" w14:textId="1262D9E7" w:rsidR="007E090C" w:rsidRPr="007E090C" w:rsidRDefault="007E090C" w:rsidP="007E090C">
      <w:pPr>
        <w:rPr>
          <w:sz w:val="28"/>
          <w:szCs w:val="28"/>
        </w:rPr>
      </w:pPr>
      <w:r w:rsidRPr="007E090C">
        <w:rPr>
          <w:b/>
          <w:bCs/>
          <w:sz w:val="28"/>
          <w:szCs w:val="28"/>
        </w:rPr>
        <w:t xml:space="preserve">   - Competition:</w:t>
      </w:r>
      <w:r w:rsidRPr="007E090C">
        <w:rPr>
          <w:sz w:val="28"/>
          <w:szCs w:val="28"/>
        </w:rPr>
        <w:t xml:space="preserve"> Intense competition from both traditional banks and non-traditional financial entities (e.g., fintech companies).</w:t>
      </w:r>
    </w:p>
    <w:p w14:paraId="4C428891" w14:textId="5290FD73" w:rsidR="007E090C" w:rsidRPr="007E090C" w:rsidRDefault="007E090C" w:rsidP="007E090C">
      <w:pPr>
        <w:rPr>
          <w:sz w:val="28"/>
          <w:szCs w:val="28"/>
        </w:rPr>
      </w:pPr>
      <w:r w:rsidRPr="007E090C">
        <w:rPr>
          <w:sz w:val="28"/>
          <w:szCs w:val="28"/>
        </w:rPr>
        <w:t xml:space="preserve">   </w:t>
      </w:r>
      <w:r w:rsidRPr="007E090C">
        <w:rPr>
          <w:b/>
          <w:bCs/>
          <w:sz w:val="28"/>
          <w:szCs w:val="28"/>
        </w:rPr>
        <w:t>- Regulatory Changes:</w:t>
      </w:r>
      <w:r w:rsidRPr="007E090C">
        <w:rPr>
          <w:sz w:val="28"/>
          <w:szCs w:val="28"/>
        </w:rPr>
        <w:t xml:space="preserve"> Navigating the evolving regulatory landscape and ensuring compliance with new laws and guidelines.</w:t>
      </w:r>
    </w:p>
    <w:p w14:paraId="2F7DF865" w14:textId="0D45CB48" w:rsidR="007E090C" w:rsidRPr="007E090C" w:rsidRDefault="007E090C" w:rsidP="007E090C">
      <w:pPr>
        <w:rPr>
          <w:sz w:val="28"/>
          <w:szCs w:val="28"/>
        </w:rPr>
      </w:pPr>
      <w:r w:rsidRPr="007E090C">
        <w:rPr>
          <w:b/>
          <w:bCs/>
          <w:sz w:val="28"/>
          <w:szCs w:val="28"/>
        </w:rPr>
        <w:t xml:space="preserve">   - Economic Factors:</w:t>
      </w:r>
      <w:r w:rsidRPr="007E090C">
        <w:rPr>
          <w:sz w:val="28"/>
          <w:szCs w:val="28"/>
        </w:rPr>
        <w:t xml:space="preserve"> Adapting to changes in interest rates, economic downturns, and shifts in consumer behaviour.</w:t>
      </w:r>
    </w:p>
    <w:p w14:paraId="0EAF0CBE" w14:textId="77777777" w:rsidR="007E090C" w:rsidRPr="007E090C" w:rsidRDefault="007E090C" w:rsidP="007E090C">
      <w:pPr>
        <w:rPr>
          <w:sz w:val="28"/>
          <w:szCs w:val="28"/>
        </w:rPr>
      </w:pPr>
    </w:p>
    <w:p w14:paraId="6C888487" w14:textId="4994422D" w:rsidR="007E090C" w:rsidRPr="007E090C" w:rsidRDefault="007E090C" w:rsidP="007E090C">
      <w:pPr>
        <w:rPr>
          <w:b/>
          <w:bCs/>
          <w:sz w:val="28"/>
          <w:szCs w:val="28"/>
        </w:rPr>
      </w:pPr>
      <w:r w:rsidRPr="007E090C">
        <w:rPr>
          <w:b/>
          <w:bCs/>
          <w:sz w:val="28"/>
          <w:szCs w:val="28"/>
        </w:rPr>
        <w:t xml:space="preserve"> Key Players:</w:t>
      </w:r>
    </w:p>
    <w:p w14:paraId="4C510F07" w14:textId="6CBFDB0B" w:rsidR="007E090C" w:rsidRPr="007E090C" w:rsidRDefault="007E090C" w:rsidP="007E090C">
      <w:pPr>
        <w:rPr>
          <w:sz w:val="28"/>
          <w:szCs w:val="28"/>
        </w:rPr>
      </w:pPr>
      <w:r w:rsidRPr="007E090C">
        <w:rPr>
          <w:sz w:val="28"/>
          <w:szCs w:val="28"/>
        </w:rPr>
        <w:t xml:space="preserve">   </w:t>
      </w:r>
      <w:r w:rsidRPr="007E090C">
        <w:rPr>
          <w:b/>
          <w:bCs/>
          <w:sz w:val="28"/>
          <w:szCs w:val="28"/>
        </w:rPr>
        <w:t>- Major Banks:</w:t>
      </w:r>
      <w:r w:rsidRPr="007E090C">
        <w:rPr>
          <w:sz w:val="28"/>
          <w:szCs w:val="28"/>
        </w:rPr>
        <w:t xml:space="preserve"> Bank of America, Wells Fargo, JPMorgan Chase, Citibank, and US Bank.</w:t>
      </w:r>
    </w:p>
    <w:p w14:paraId="5CBA4D3E" w14:textId="0568B937" w:rsidR="007E090C" w:rsidRPr="007E090C" w:rsidRDefault="007E090C" w:rsidP="007E090C">
      <w:pPr>
        <w:rPr>
          <w:sz w:val="28"/>
          <w:szCs w:val="28"/>
        </w:rPr>
      </w:pPr>
      <w:r w:rsidRPr="007E090C">
        <w:rPr>
          <w:sz w:val="28"/>
          <w:szCs w:val="28"/>
        </w:rPr>
        <w:t xml:space="preserve">   </w:t>
      </w:r>
      <w:r w:rsidRPr="007E090C">
        <w:rPr>
          <w:b/>
          <w:bCs/>
          <w:sz w:val="28"/>
          <w:szCs w:val="28"/>
        </w:rPr>
        <w:t>- Regional Banks:</w:t>
      </w:r>
      <w:r w:rsidRPr="007E090C">
        <w:rPr>
          <w:sz w:val="28"/>
          <w:szCs w:val="28"/>
        </w:rPr>
        <w:t xml:space="preserve"> PNC Bank, TD Bank, and BB&amp;T.</w:t>
      </w:r>
    </w:p>
    <w:p w14:paraId="72322B39" w14:textId="25AFB845" w:rsidR="007E090C" w:rsidRPr="007E090C" w:rsidRDefault="007E090C" w:rsidP="007E090C">
      <w:pPr>
        <w:rPr>
          <w:sz w:val="28"/>
          <w:szCs w:val="28"/>
        </w:rPr>
      </w:pPr>
      <w:r w:rsidRPr="007E090C">
        <w:rPr>
          <w:sz w:val="28"/>
          <w:szCs w:val="28"/>
        </w:rPr>
        <w:t xml:space="preserve">   </w:t>
      </w:r>
      <w:r w:rsidRPr="007E090C">
        <w:rPr>
          <w:b/>
          <w:bCs/>
          <w:sz w:val="28"/>
          <w:szCs w:val="28"/>
        </w:rPr>
        <w:t>- Credit Unions:</w:t>
      </w:r>
      <w:r w:rsidRPr="007E090C">
        <w:rPr>
          <w:sz w:val="28"/>
          <w:szCs w:val="28"/>
        </w:rPr>
        <w:t xml:space="preserve"> Member-owned institutions like Navy Federal Credit Union and Alliant Credit Union.</w:t>
      </w:r>
    </w:p>
    <w:p w14:paraId="09B11289" w14:textId="7C40ECD2" w:rsidR="007E090C" w:rsidRPr="007E090C" w:rsidRDefault="007E090C" w:rsidP="007E090C">
      <w:pPr>
        <w:rPr>
          <w:sz w:val="28"/>
          <w:szCs w:val="28"/>
        </w:rPr>
      </w:pPr>
      <w:r w:rsidRPr="007E090C">
        <w:rPr>
          <w:b/>
          <w:bCs/>
          <w:sz w:val="28"/>
          <w:szCs w:val="28"/>
        </w:rPr>
        <w:lastRenderedPageBreak/>
        <w:t xml:space="preserve">   - Online Banks:</w:t>
      </w:r>
      <w:r w:rsidRPr="007E090C">
        <w:rPr>
          <w:sz w:val="28"/>
          <w:szCs w:val="28"/>
        </w:rPr>
        <w:t xml:space="preserve"> Ally Bank, Discover Bank, and others offering exclusively online services.</w:t>
      </w:r>
    </w:p>
    <w:p w14:paraId="495682B7" w14:textId="77777777" w:rsidR="007E090C" w:rsidRDefault="007E090C" w:rsidP="00A63512">
      <w:pPr>
        <w:rPr>
          <w:sz w:val="28"/>
          <w:szCs w:val="28"/>
        </w:rPr>
      </w:pPr>
    </w:p>
    <w:p w14:paraId="6C7426CF" w14:textId="60842A45" w:rsidR="00A63512" w:rsidRPr="00A63512" w:rsidRDefault="00A63512" w:rsidP="00A63512">
      <w:pPr>
        <w:rPr>
          <w:sz w:val="28"/>
          <w:szCs w:val="28"/>
        </w:rPr>
      </w:pPr>
      <w:r w:rsidRPr="00A63512">
        <w:rPr>
          <w:sz w:val="28"/>
          <w:szCs w:val="28"/>
        </w:rPr>
        <w:t>To understand the trends and dynamics in U.S. retail banking over the past five years, we will consider the following metrics:</w:t>
      </w:r>
    </w:p>
    <w:p w14:paraId="3F01B1D6" w14:textId="77777777" w:rsidR="00A63512" w:rsidRPr="00A63512" w:rsidRDefault="00A63512" w:rsidP="00A63512">
      <w:pPr>
        <w:rPr>
          <w:sz w:val="28"/>
          <w:szCs w:val="28"/>
        </w:rPr>
      </w:pPr>
    </w:p>
    <w:p w14:paraId="3F10221A" w14:textId="2743A0F7" w:rsidR="00A63512" w:rsidRPr="00A63512" w:rsidRDefault="00A63512" w:rsidP="00A63512">
      <w:pPr>
        <w:rPr>
          <w:sz w:val="28"/>
          <w:szCs w:val="28"/>
        </w:rPr>
      </w:pPr>
      <w:r w:rsidRPr="00A63512">
        <w:rPr>
          <w:sz w:val="28"/>
          <w:szCs w:val="28"/>
        </w:rPr>
        <w:t>1. Number of Retail Bank Branches</w:t>
      </w:r>
    </w:p>
    <w:p w14:paraId="68F92499" w14:textId="01B45955" w:rsidR="00A63512" w:rsidRPr="00A63512" w:rsidRDefault="00A63512" w:rsidP="00A63512">
      <w:pPr>
        <w:rPr>
          <w:sz w:val="28"/>
          <w:szCs w:val="28"/>
        </w:rPr>
      </w:pPr>
      <w:r w:rsidRPr="00A63512">
        <w:rPr>
          <w:sz w:val="28"/>
          <w:szCs w:val="28"/>
        </w:rPr>
        <w:t>2. Deposit Growth</w:t>
      </w:r>
    </w:p>
    <w:p w14:paraId="38FDE3AA" w14:textId="1AE88106" w:rsidR="00A63512" w:rsidRPr="00A63512" w:rsidRDefault="00A63512" w:rsidP="00A63512">
      <w:pPr>
        <w:rPr>
          <w:sz w:val="28"/>
          <w:szCs w:val="28"/>
        </w:rPr>
      </w:pPr>
      <w:r w:rsidRPr="00A63512">
        <w:rPr>
          <w:sz w:val="28"/>
          <w:szCs w:val="28"/>
        </w:rPr>
        <w:t>3. Loan Growth</w:t>
      </w:r>
    </w:p>
    <w:p w14:paraId="7F13C1AD" w14:textId="7C0C8BE3" w:rsidR="00A63512" w:rsidRPr="00A63512" w:rsidRDefault="00A63512" w:rsidP="00A63512">
      <w:pPr>
        <w:rPr>
          <w:sz w:val="28"/>
          <w:szCs w:val="28"/>
        </w:rPr>
      </w:pPr>
      <w:r w:rsidRPr="00A63512">
        <w:rPr>
          <w:sz w:val="28"/>
          <w:szCs w:val="28"/>
        </w:rPr>
        <w:t>4. Credit Card Usage</w:t>
      </w:r>
    </w:p>
    <w:p w14:paraId="33FA10A5" w14:textId="536D8751" w:rsidR="00A63512" w:rsidRPr="00A63512" w:rsidRDefault="00A63512" w:rsidP="00A63512">
      <w:pPr>
        <w:rPr>
          <w:sz w:val="28"/>
          <w:szCs w:val="28"/>
        </w:rPr>
      </w:pPr>
      <w:r w:rsidRPr="00A63512">
        <w:rPr>
          <w:sz w:val="28"/>
          <w:szCs w:val="28"/>
        </w:rPr>
        <w:t>5. Mortgage Originations</w:t>
      </w:r>
    </w:p>
    <w:p w14:paraId="1B5D5B17" w14:textId="3EB39244" w:rsidR="00A63512" w:rsidRPr="00A63512" w:rsidRDefault="00A63512" w:rsidP="00A63512">
      <w:pPr>
        <w:rPr>
          <w:sz w:val="28"/>
          <w:szCs w:val="28"/>
        </w:rPr>
      </w:pPr>
      <w:r w:rsidRPr="00A63512">
        <w:rPr>
          <w:sz w:val="28"/>
          <w:szCs w:val="28"/>
        </w:rPr>
        <w:t>6. Net Interest Margin</w:t>
      </w:r>
    </w:p>
    <w:p w14:paraId="677C5054" w14:textId="77777777" w:rsidR="00A63512" w:rsidRPr="00A63512" w:rsidRDefault="00A63512" w:rsidP="00A63512">
      <w:pPr>
        <w:rPr>
          <w:sz w:val="28"/>
          <w:szCs w:val="28"/>
        </w:rPr>
      </w:pPr>
    </w:p>
    <w:p w14:paraId="27229197" w14:textId="57BB9AF4" w:rsidR="00A63512" w:rsidRPr="007E090C" w:rsidRDefault="00A63512" w:rsidP="00A63512">
      <w:pPr>
        <w:rPr>
          <w:b/>
          <w:bCs/>
          <w:sz w:val="28"/>
          <w:szCs w:val="28"/>
        </w:rPr>
      </w:pPr>
      <w:r w:rsidRPr="007E090C">
        <w:rPr>
          <w:b/>
          <w:bCs/>
          <w:sz w:val="28"/>
          <w:szCs w:val="28"/>
        </w:rPr>
        <w:t xml:space="preserve"> 1. Number of Retail Bank Branches</w:t>
      </w:r>
    </w:p>
    <w:tbl>
      <w:tblPr>
        <w:tblStyle w:val="TableGrid"/>
        <w:tblW w:w="9278" w:type="dxa"/>
        <w:tblLook w:val="04A0" w:firstRow="1" w:lastRow="0" w:firstColumn="1" w:lastColumn="0" w:noHBand="0" w:noVBand="1"/>
      </w:tblPr>
      <w:tblGrid>
        <w:gridCol w:w="4639"/>
        <w:gridCol w:w="4639"/>
      </w:tblGrid>
      <w:tr w:rsidR="00A63512" w:rsidRPr="007E090C" w14:paraId="1B89FD85" w14:textId="77777777" w:rsidTr="007E090C">
        <w:trPr>
          <w:trHeight w:val="418"/>
        </w:trPr>
        <w:tc>
          <w:tcPr>
            <w:tcW w:w="4639" w:type="dxa"/>
          </w:tcPr>
          <w:p w14:paraId="2DCDFB15" w14:textId="2F293745" w:rsidR="00A63512" w:rsidRPr="007E090C" w:rsidRDefault="00A63512" w:rsidP="00A63512">
            <w:pPr>
              <w:rPr>
                <w:b/>
                <w:bCs/>
                <w:sz w:val="28"/>
                <w:szCs w:val="28"/>
              </w:rPr>
            </w:pPr>
            <w:r w:rsidRPr="007E090C">
              <w:rPr>
                <w:b/>
                <w:bCs/>
                <w:sz w:val="28"/>
                <w:szCs w:val="28"/>
              </w:rPr>
              <w:t>Year</w:t>
            </w:r>
          </w:p>
        </w:tc>
        <w:tc>
          <w:tcPr>
            <w:tcW w:w="4639" w:type="dxa"/>
          </w:tcPr>
          <w:p w14:paraId="52261F42" w14:textId="1EF4AF69" w:rsidR="00A63512" w:rsidRPr="007E090C" w:rsidRDefault="00A63512" w:rsidP="00A63512">
            <w:pPr>
              <w:rPr>
                <w:b/>
                <w:bCs/>
                <w:sz w:val="28"/>
                <w:szCs w:val="28"/>
              </w:rPr>
            </w:pPr>
            <w:r w:rsidRPr="007E090C">
              <w:rPr>
                <w:b/>
                <w:bCs/>
                <w:sz w:val="28"/>
                <w:szCs w:val="28"/>
              </w:rPr>
              <w:t>Number of Branches</w:t>
            </w:r>
          </w:p>
        </w:tc>
      </w:tr>
      <w:tr w:rsidR="00A63512" w14:paraId="17A7BEC3" w14:textId="77777777" w:rsidTr="007E090C">
        <w:trPr>
          <w:trHeight w:val="432"/>
        </w:trPr>
        <w:tc>
          <w:tcPr>
            <w:tcW w:w="4639" w:type="dxa"/>
          </w:tcPr>
          <w:p w14:paraId="17CFA94A" w14:textId="17185770" w:rsidR="00A63512" w:rsidRDefault="00A63512" w:rsidP="00A63512">
            <w:pPr>
              <w:rPr>
                <w:sz w:val="28"/>
                <w:szCs w:val="28"/>
              </w:rPr>
            </w:pPr>
            <w:r>
              <w:rPr>
                <w:sz w:val="28"/>
                <w:szCs w:val="28"/>
              </w:rPr>
              <w:t>2019</w:t>
            </w:r>
          </w:p>
        </w:tc>
        <w:tc>
          <w:tcPr>
            <w:tcW w:w="4639" w:type="dxa"/>
          </w:tcPr>
          <w:p w14:paraId="149E4AC9" w14:textId="54D572FC" w:rsidR="00A63512" w:rsidRDefault="00A63512" w:rsidP="00A63512">
            <w:pPr>
              <w:rPr>
                <w:sz w:val="28"/>
                <w:szCs w:val="28"/>
              </w:rPr>
            </w:pPr>
            <w:r>
              <w:rPr>
                <w:sz w:val="28"/>
                <w:szCs w:val="28"/>
              </w:rPr>
              <w:t>88,500</w:t>
            </w:r>
          </w:p>
        </w:tc>
      </w:tr>
      <w:tr w:rsidR="00A63512" w14:paraId="4DFAE5DC" w14:textId="77777777" w:rsidTr="007E090C">
        <w:trPr>
          <w:trHeight w:val="418"/>
        </w:trPr>
        <w:tc>
          <w:tcPr>
            <w:tcW w:w="4639" w:type="dxa"/>
          </w:tcPr>
          <w:p w14:paraId="194E0C18" w14:textId="654B9356" w:rsidR="00A63512" w:rsidRDefault="00A63512" w:rsidP="00A63512">
            <w:pPr>
              <w:rPr>
                <w:sz w:val="28"/>
                <w:szCs w:val="28"/>
              </w:rPr>
            </w:pPr>
            <w:r>
              <w:rPr>
                <w:sz w:val="28"/>
                <w:szCs w:val="28"/>
              </w:rPr>
              <w:t>2020</w:t>
            </w:r>
          </w:p>
        </w:tc>
        <w:tc>
          <w:tcPr>
            <w:tcW w:w="4639" w:type="dxa"/>
          </w:tcPr>
          <w:p w14:paraId="6232B29C" w14:textId="118859E3" w:rsidR="00A63512" w:rsidRDefault="00A63512" w:rsidP="00A63512">
            <w:pPr>
              <w:rPr>
                <w:sz w:val="28"/>
                <w:szCs w:val="28"/>
              </w:rPr>
            </w:pPr>
            <w:r>
              <w:rPr>
                <w:sz w:val="28"/>
                <w:szCs w:val="28"/>
              </w:rPr>
              <w:t>86,000</w:t>
            </w:r>
          </w:p>
        </w:tc>
      </w:tr>
      <w:tr w:rsidR="00A63512" w14:paraId="15F0ADD0" w14:textId="77777777" w:rsidTr="007E090C">
        <w:trPr>
          <w:trHeight w:val="418"/>
        </w:trPr>
        <w:tc>
          <w:tcPr>
            <w:tcW w:w="4639" w:type="dxa"/>
          </w:tcPr>
          <w:p w14:paraId="2D5104EF" w14:textId="364A35C8" w:rsidR="00A63512" w:rsidRDefault="00A63512" w:rsidP="00A63512">
            <w:pPr>
              <w:rPr>
                <w:sz w:val="28"/>
                <w:szCs w:val="28"/>
              </w:rPr>
            </w:pPr>
            <w:r>
              <w:rPr>
                <w:sz w:val="28"/>
                <w:szCs w:val="28"/>
              </w:rPr>
              <w:t>2021</w:t>
            </w:r>
          </w:p>
        </w:tc>
        <w:tc>
          <w:tcPr>
            <w:tcW w:w="4639" w:type="dxa"/>
          </w:tcPr>
          <w:p w14:paraId="183720C4" w14:textId="5926A25A" w:rsidR="00A63512" w:rsidRDefault="00A63512" w:rsidP="00A63512">
            <w:pPr>
              <w:rPr>
                <w:sz w:val="28"/>
                <w:szCs w:val="28"/>
              </w:rPr>
            </w:pPr>
            <w:r>
              <w:rPr>
                <w:sz w:val="28"/>
                <w:szCs w:val="28"/>
              </w:rPr>
              <w:t>83,500</w:t>
            </w:r>
          </w:p>
        </w:tc>
      </w:tr>
      <w:tr w:rsidR="00A63512" w14:paraId="66824BD1" w14:textId="77777777" w:rsidTr="007E090C">
        <w:trPr>
          <w:trHeight w:val="432"/>
        </w:trPr>
        <w:tc>
          <w:tcPr>
            <w:tcW w:w="4639" w:type="dxa"/>
          </w:tcPr>
          <w:p w14:paraId="4D48B74A" w14:textId="0C7E1ABE" w:rsidR="00A63512" w:rsidRDefault="00A63512" w:rsidP="00A63512">
            <w:pPr>
              <w:rPr>
                <w:sz w:val="28"/>
                <w:szCs w:val="28"/>
              </w:rPr>
            </w:pPr>
            <w:r>
              <w:rPr>
                <w:sz w:val="28"/>
                <w:szCs w:val="28"/>
              </w:rPr>
              <w:t>2022</w:t>
            </w:r>
          </w:p>
        </w:tc>
        <w:tc>
          <w:tcPr>
            <w:tcW w:w="4639" w:type="dxa"/>
          </w:tcPr>
          <w:p w14:paraId="79AC6A98" w14:textId="2E80F208" w:rsidR="00A63512" w:rsidRDefault="00A63512" w:rsidP="00A63512">
            <w:pPr>
              <w:rPr>
                <w:sz w:val="28"/>
                <w:szCs w:val="28"/>
              </w:rPr>
            </w:pPr>
            <w:r>
              <w:rPr>
                <w:sz w:val="28"/>
                <w:szCs w:val="28"/>
              </w:rPr>
              <w:t>81,000</w:t>
            </w:r>
          </w:p>
        </w:tc>
      </w:tr>
      <w:tr w:rsidR="00A63512" w14:paraId="0BE97B18" w14:textId="77777777" w:rsidTr="007E090C">
        <w:trPr>
          <w:trHeight w:val="418"/>
        </w:trPr>
        <w:tc>
          <w:tcPr>
            <w:tcW w:w="4639" w:type="dxa"/>
          </w:tcPr>
          <w:p w14:paraId="2FA381D8" w14:textId="338B930C" w:rsidR="00A63512" w:rsidRDefault="00A63512" w:rsidP="00A63512">
            <w:pPr>
              <w:rPr>
                <w:sz w:val="28"/>
                <w:szCs w:val="28"/>
              </w:rPr>
            </w:pPr>
            <w:r>
              <w:rPr>
                <w:sz w:val="28"/>
                <w:szCs w:val="28"/>
              </w:rPr>
              <w:t>2023</w:t>
            </w:r>
          </w:p>
        </w:tc>
        <w:tc>
          <w:tcPr>
            <w:tcW w:w="4639" w:type="dxa"/>
          </w:tcPr>
          <w:p w14:paraId="2EB90B0B" w14:textId="49AC2209" w:rsidR="00A63512" w:rsidRDefault="00A63512" w:rsidP="00A63512">
            <w:pPr>
              <w:rPr>
                <w:sz w:val="28"/>
                <w:szCs w:val="28"/>
              </w:rPr>
            </w:pPr>
            <w:r>
              <w:rPr>
                <w:sz w:val="28"/>
                <w:szCs w:val="28"/>
              </w:rPr>
              <w:t>79,500</w:t>
            </w:r>
          </w:p>
        </w:tc>
      </w:tr>
    </w:tbl>
    <w:p w14:paraId="0495B326" w14:textId="77777777" w:rsidR="00A63512" w:rsidRPr="00A63512" w:rsidRDefault="00A63512" w:rsidP="00A63512">
      <w:pPr>
        <w:rPr>
          <w:sz w:val="28"/>
          <w:szCs w:val="28"/>
        </w:rPr>
      </w:pPr>
    </w:p>
    <w:p w14:paraId="7789FE0F" w14:textId="77777777" w:rsidR="00A63512" w:rsidRPr="00A63512" w:rsidRDefault="00A63512" w:rsidP="00A63512">
      <w:pPr>
        <w:rPr>
          <w:sz w:val="28"/>
          <w:szCs w:val="28"/>
        </w:rPr>
      </w:pPr>
    </w:p>
    <w:p w14:paraId="03E47EC3" w14:textId="53345DFA" w:rsidR="00A63512" w:rsidRPr="007E090C" w:rsidRDefault="00A63512" w:rsidP="00A63512">
      <w:pPr>
        <w:rPr>
          <w:b/>
          <w:bCs/>
          <w:sz w:val="28"/>
          <w:szCs w:val="28"/>
        </w:rPr>
      </w:pPr>
      <w:r w:rsidRPr="007E090C">
        <w:rPr>
          <w:b/>
          <w:bCs/>
          <w:sz w:val="28"/>
          <w:szCs w:val="28"/>
        </w:rPr>
        <w:t xml:space="preserve"> 2. Deposit Growth (in trillion USD)</w:t>
      </w:r>
    </w:p>
    <w:tbl>
      <w:tblPr>
        <w:tblStyle w:val="TableGrid"/>
        <w:tblW w:w="9278" w:type="dxa"/>
        <w:tblLook w:val="04A0" w:firstRow="1" w:lastRow="0" w:firstColumn="1" w:lastColumn="0" w:noHBand="0" w:noVBand="1"/>
      </w:tblPr>
      <w:tblGrid>
        <w:gridCol w:w="4639"/>
        <w:gridCol w:w="4639"/>
      </w:tblGrid>
      <w:tr w:rsidR="002375A8" w:rsidRPr="007E090C" w14:paraId="6FEBA265" w14:textId="77777777" w:rsidTr="007E090C">
        <w:trPr>
          <w:trHeight w:val="414"/>
        </w:trPr>
        <w:tc>
          <w:tcPr>
            <w:tcW w:w="4639" w:type="dxa"/>
          </w:tcPr>
          <w:p w14:paraId="6995D028" w14:textId="77777777" w:rsidR="002375A8" w:rsidRPr="007E090C" w:rsidRDefault="002375A8" w:rsidP="00693C9F">
            <w:pPr>
              <w:rPr>
                <w:b/>
                <w:bCs/>
                <w:sz w:val="28"/>
                <w:szCs w:val="28"/>
              </w:rPr>
            </w:pPr>
            <w:r w:rsidRPr="007E090C">
              <w:rPr>
                <w:b/>
                <w:bCs/>
                <w:sz w:val="28"/>
                <w:szCs w:val="28"/>
              </w:rPr>
              <w:t>Year</w:t>
            </w:r>
          </w:p>
        </w:tc>
        <w:tc>
          <w:tcPr>
            <w:tcW w:w="4639" w:type="dxa"/>
          </w:tcPr>
          <w:p w14:paraId="335F73D6" w14:textId="38DAE44E" w:rsidR="002375A8" w:rsidRPr="007E090C" w:rsidRDefault="002375A8" w:rsidP="00693C9F">
            <w:pPr>
              <w:rPr>
                <w:b/>
                <w:bCs/>
                <w:sz w:val="28"/>
                <w:szCs w:val="28"/>
              </w:rPr>
            </w:pPr>
            <w:r w:rsidRPr="007E090C">
              <w:rPr>
                <w:b/>
                <w:bCs/>
                <w:sz w:val="28"/>
                <w:szCs w:val="28"/>
              </w:rPr>
              <w:t>Total Deposits (in trillion USD)</w:t>
            </w:r>
          </w:p>
        </w:tc>
      </w:tr>
      <w:tr w:rsidR="002375A8" w14:paraId="0DBD3475" w14:textId="77777777" w:rsidTr="007E090C">
        <w:trPr>
          <w:trHeight w:val="429"/>
        </w:trPr>
        <w:tc>
          <w:tcPr>
            <w:tcW w:w="4639" w:type="dxa"/>
          </w:tcPr>
          <w:p w14:paraId="3DC1EBBC" w14:textId="77777777" w:rsidR="002375A8" w:rsidRDefault="002375A8" w:rsidP="00693C9F">
            <w:pPr>
              <w:rPr>
                <w:sz w:val="28"/>
                <w:szCs w:val="28"/>
              </w:rPr>
            </w:pPr>
            <w:r>
              <w:rPr>
                <w:sz w:val="28"/>
                <w:szCs w:val="28"/>
              </w:rPr>
              <w:t>2019</w:t>
            </w:r>
          </w:p>
        </w:tc>
        <w:tc>
          <w:tcPr>
            <w:tcW w:w="4639" w:type="dxa"/>
          </w:tcPr>
          <w:p w14:paraId="537D6CA1" w14:textId="283CC4BF" w:rsidR="002375A8" w:rsidRDefault="002375A8" w:rsidP="00693C9F">
            <w:pPr>
              <w:rPr>
                <w:sz w:val="28"/>
                <w:szCs w:val="28"/>
              </w:rPr>
            </w:pPr>
            <w:r>
              <w:rPr>
                <w:sz w:val="28"/>
                <w:szCs w:val="28"/>
              </w:rPr>
              <w:t>12.0</w:t>
            </w:r>
            <w:r w:rsidR="0010714E">
              <w:rPr>
                <w:sz w:val="28"/>
                <w:szCs w:val="28"/>
              </w:rPr>
              <w:t>$</w:t>
            </w:r>
          </w:p>
        </w:tc>
      </w:tr>
      <w:tr w:rsidR="002375A8" w14:paraId="5219162C" w14:textId="77777777" w:rsidTr="007E090C">
        <w:trPr>
          <w:trHeight w:val="414"/>
        </w:trPr>
        <w:tc>
          <w:tcPr>
            <w:tcW w:w="4639" w:type="dxa"/>
          </w:tcPr>
          <w:p w14:paraId="2E92296C" w14:textId="77777777" w:rsidR="002375A8" w:rsidRDefault="002375A8" w:rsidP="00693C9F">
            <w:pPr>
              <w:rPr>
                <w:sz w:val="28"/>
                <w:szCs w:val="28"/>
              </w:rPr>
            </w:pPr>
            <w:r>
              <w:rPr>
                <w:sz w:val="28"/>
                <w:szCs w:val="28"/>
              </w:rPr>
              <w:t>2020</w:t>
            </w:r>
          </w:p>
        </w:tc>
        <w:tc>
          <w:tcPr>
            <w:tcW w:w="4639" w:type="dxa"/>
          </w:tcPr>
          <w:p w14:paraId="384BE190" w14:textId="3E5498B2" w:rsidR="002375A8" w:rsidRDefault="002375A8" w:rsidP="00693C9F">
            <w:pPr>
              <w:rPr>
                <w:sz w:val="28"/>
                <w:szCs w:val="28"/>
              </w:rPr>
            </w:pPr>
            <w:r>
              <w:rPr>
                <w:sz w:val="28"/>
                <w:szCs w:val="28"/>
              </w:rPr>
              <w:t>13.5</w:t>
            </w:r>
            <w:r w:rsidR="0010714E">
              <w:rPr>
                <w:sz w:val="28"/>
                <w:szCs w:val="28"/>
              </w:rPr>
              <w:t>$</w:t>
            </w:r>
          </w:p>
        </w:tc>
      </w:tr>
      <w:tr w:rsidR="002375A8" w14:paraId="640ED296" w14:textId="77777777" w:rsidTr="007E090C">
        <w:trPr>
          <w:trHeight w:val="414"/>
        </w:trPr>
        <w:tc>
          <w:tcPr>
            <w:tcW w:w="4639" w:type="dxa"/>
          </w:tcPr>
          <w:p w14:paraId="27746D0E" w14:textId="77777777" w:rsidR="002375A8" w:rsidRDefault="002375A8" w:rsidP="00693C9F">
            <w:pPr>
              <w:rPr>
                <w:sz w:val="28"/>
                <w:szCs w:val="28"/>
              </w:rPr>
            </w:pPr>
            <w:r>
              <w:rPr>
                <w:sz w:val="28"/>
                <w:szCs w:val="28"/>
              </w:rPr>
              <w:t>2021</w:t>
            </w:r>
          </w:p>
        </w:tc>
        <w:tc>
          <w:tcPr>
            <w:tcW w:w="4639" w:type="dxa"/>
          </w:tcPr>
          <w:p w14:paraId="3888681C" w14:textId="4E72CAAE" w:rsidR="002375A8" w:rsidRDefault="002375A8" w:rsidP="00693C9F">
            <w:pPr>
              <w:rPr>
                <w:sz w:val="28"/>
                <w:szCs w:val="28"/>
              </w:rPr>
            </w:pPr>
            <w:r>
              <w:rPr>
                <w:sz w:val="28"/>
                <w:szCs w:val="28"/>
              </w:rPr>
              <w:t>14.0</w:t>
            </w:r>
            <w:r w:rsidR="0010714E">
              <w:rPr>
                <w:sz w:val="28"/>
                <w:szCs w:val="28"/>
              </w:rPr>
              <w:t>$</w:t>
            </w:r>
          </w:p>
        </w:tc>
      </w:tr>
      <w:tr w:rsidR="002375A8" w14:paraId="03E8C3CF" w14:textId="77777777" w:rsidTr="007E090C">
        <w:trPr>
          <w:trHeight w:val="429"/>
        </w:trPr>
        <w:tc>
          <w:tcPr>
            <w:tcW w:w="4639" w:type="dxa"/>
          </w:tcPr>
          <w:p w14:paraId="27B1AB38" w14:textId="77777777" w:rsidR="002375A8" w:rsidRDefault="002375A8" w:rsidP="00693C9F">
            <w:pPr>
              <w:rPr>
                <w:sz w:val="28"/>
                <w:szCs w:val="28"/>
              </w:rPr>
            </w:pPr>
            <w:r>
              <w:rPr>
                <w:sz w:val="28"/>
                <w:szCs w:val="28"/>
              </w:rPr>
              <w:t>2022</w:t>
            </w:r>
          </w:p>
        </w:tc>
        <w:tc>
          <w:tcPr>
            <w:tcW w:w="4639" w:type="dxa"/>
          </w:tcPr>
          <w:p w14:paraId="66025E4E" w14:textId="24D6477C" w:rsidR="002375A8" w:rsidRDefault="002375A8" w:rsidP="00693C9F">
            <w:pPr>
              <w:rPr>
                <w:sz w:val="28"/>
                <w:szCs w:val="28"/>
              </w:rPr>
            </w:pPr>
            <w:r>
              <w:rPr>
                <w:sz w:val="28"/>
                <w:szCs w:val="28"/>
              </w:rPr>
              <w:t>15.0</w:t>
            </w:r>
            <w:r w:rsidR="0010714E">
              <w:rPr>
                <w:sz w:val="28"/>
                <w:szCs w:val="28"/>
              </w:rPr>
              <w:t>$</w:t>
            </w:r>
          </w:p>
        </w:tc>
      </w:tr>
      <w:tr w:rsidR="002375A8" w14:paraId="648CE99A" w14:textId="77777777" w:rsidTr="007E090C">
        <w:trPr>
          <w:trHeight w:val="414"/>
        </w:trPr>
        <w:tc>
          <w:tcPr>
            <w:tcW w:w="4639" w:type="dxa"/>
          </w:tcPr>
          <w:p w14:paraId="13AC9E24" w14:textId="77777777" w:rsidR="002375A8" w:rsidRDefault="002375A8" w:rsidP="00693C9F">
            <w:pPr>
              <w:rPr>
                <w:sz w:val="28"/>
                <w:szCs w:val="28"/>
              </w:rPr>
            </w:pPr>
            <w:r>
              <w:rPr>
                <w:sz w:val="28"/>
                <w:szCs w:val="28"/>
              </w:rPr>
              <w:t>2023</w:t>
            </w:r>
          </w:p>
        </w:tc>
        <w:tc>
          <w:tcPr>
            <w:tcW w:w="4639" w:type="dxa"/>
          </w:tcPr>
          <w:p w14:paraId="603B788F" w14:textId="4B812475" w:rsidR="002375A8" w:rsidRDefault="002375A8" w:rsidP="00693C9F">
            <w:pPr>
              <w:rPr>
                <w:sz w:val="28"/>
                <w:szCs w:val="28"/>
              </w:rPr>
            </w:pPr>
            <w:r>
              <w:rPr>
                <w:sz w:val="28"/>
                <w:szCs w:val="28"/>
              </w:rPr>
              <w:t>15.5</w:t>
            </w:r>
            <w:r w:rsidR="0010714E">
              <w:rPr>
                <w:sz w:val="28"/>
                <w:szCs w:val="28"/>
              </w:rPr>
              <w:t>$</w:t>
            </w:r>
          </w:p>
        </w:tc>
      </w:tr>
    </w:tbl>
    <w:p w14:paraId="5C134047" w14:textId="77777777" w:rsidR="002375A8" w:rsidRPr="00A63512" w:rsidRDefault="002375A8" w:rsidP="00A63512">
      <w:pPr>
        <w:rPr>
          <w:sz w:val="28"/>
          <w:szCs w:val="28"/>
        </w:rPr>
      </w:pPr>
    </w:p>
    <w:p w14:paraId="02B12F29" w14:textId="77777777" w:rsidR="00A63512" w:rsidRPr="00A63512" w:rsidRDefault="00A63512" w:rsidP="00A63512">
      <w:pPr>
        <w:rPr>
          <w:sz w:val="28"/>
          <w:szCs w:val="28"/>
        </w:rPr>
      </w:pPr>
    </w:p>
    <w:p w14:paraId="626AEC7E" w14:textId="1B0629C6" w:rsidR="00A63512" w:rsidRPr="007E090C" w:rsidRDefault="00A63512" w:rsidP="00A63512">
      <w:pPr>
        <w:rPr>
          <w:b/>
          <w:bCs/>
          <w:sz w:val="28"/>
          <w:szCs w:val="28"/>
        </w:rPr>
      </w:pPr>
      <w:r w:rsidRPr="007E090C">
        <w:rPr>
          <w:b/>
          <w:bCs/>
          <w:sz w:val="28"/>
          <w:szCs w:val="28"/>
        </w:rPr>
        <w:t xml:space="preserve"> 3. Loan Growth (in trillion USD)</w:t>
      </w:r>
    </w:p>
    <w:tbl>
      <w:tblPr>
        <w:tblStyle w:val="TableGrid"/>
        <w:tblW w:w="9338" w:type="dxa"/>
        <w:tblLook w:val="04A0" w:firstRow="1" w:lastRow="0" w:firstColumn="1" w:lastColumn="0" w:noHBand="0" w:noVBand="1"/>
      </w:tblPr>
      <w:tblGrid>
        <w:gridCol w:w="4669"/>
        <w:gridCol w:w="4669"/>
      </w:tblGrid>
      <w:tr w:rsidR="002375A8" w:rsidRPr="007E090C" w14:paraId="76A1BE79" w14:textId="77777777" w:rsidTr="007E090C">
        <w:trPr>
          <w:trHeight w:val="410"/>
        </w:trPr>
        <w:tc>
          <w:tcPr>
            <w:tcW w:w="4669" w:type="dxa"/>
          </w:tcPr>
          <w:p w14:paraId="1612E838" w14:textId="77777777" w:rsidR="002375A8" w:rsidRPr="007E090C" w:rsidRDefault="002375A8" w:rsidP="00693C9F">
            <w:pPr>
              <w:rPr>
                <w:b/>
                <w:bCs/>
                <w:sz w:val="28"/>
                <w:szCs w:val="28"/>
              </w:rPr>
            </w:pPr>
            <w:r w:rsidRPr="007E090C">
              <w:rPr>
                <w:b/>
                <w:bCs/>
                <w:sz w:val="28"/>
                <w:szCs w:val="28"/>
              </w:rPr>
              <w:t>Year</w:t>
            </w:r>
          </w:p>
        </w:tc>
        <w:tc>
          <w:tcPr>
            <w:tcW w:w="4669" w:type="dxa"/>
          </w:tcPr>
          <w:p w14:paraId="6E636835" w14:textId="3A786584" w:rsidR="002375A8" w:rsidRPr="007E090C" w:rsidRDefault="002375A8" w:rsidP="00693C9F">
            <w:pPr>
              <w:rPr>
                <w:b/>
                <w:bCs/>
                <w:sz w:val="28"/>
                <w:szCs w:val="28"/>
              </w:rPr>
            </w:pPr>
            <w:r w:rsidRPr="007E090C">
              <w:rPr>
                <w:b/>
                <w:bCs/>
                <w:sz w:val="28"/>
                <w:szCs w:val="28"/>
              </w:rPr>
              <w:t>Total Loans (in trillion USD)</w:t>
            </w:r>
          </w:p>
        </w:tc>
      </w:tr>
      <w:tr w:rsidR="002375A8" w14:paraId="1130F420" w14:textId="77777777" w:rsidTr="007E090C">
        <w:trPr>
          <w:trHeight w:val="425"/>
        </w:trPr>
        <w:tc>
          <w:tcPr>
            <w:tcW w:w="4669" w:type="dxa"/>
          </w:tcPr>
          <w:p w14:paraId="361526A9" w14:textId="77777777" w:rsidR="002375A8" w:rsidRDefault="002375A8" w:rsidP="00693C9F">
            <w:pPr>
              <w:rPr>
                <w:sz w:val="28"/>
                <w:szCs w:val="28"/>
              </w:rPr>
            </w:pPr>
            <w:r>
              <w:rPr>
                <w:sz w:val="28"/>
                <w:szCs w:val="28"/>
              </w:rPr>
              <w:t>2019</w:t>
            </w:r>
          </w:p>
        </w:tc>
        <w:tc>
          <w:tcPr>
            <w:tcW w:w="4669" w:type="dxa"/>
          </w:tcPr>
          <w:p w14:paraId="6479013A" w14:textId="34607020" w:rsidR="002375A8" w:rsidRDefault="002375A8" w:rsidP="00693C9F">
            <w:pPr>
              <w:rPr>
                <w:sz w:val="28"/>
                <w:szCs w:val="28"/>
              </w:rPr>
            </w:pPr>
            <w:r>
              <w:rPr>
                <w:sz w:val="28"/>
                <w:szCs w:val="28"/>
              </w:rPr>
              <w:t>9.5</w:t>
            </w:r>
            <w:r w:rsidR="0010714E">
              <w:rPr>
                <w:sz w:val="28"/>
                <w:szCs w:val="28"/>
              </w:rPr>
              <w:t>$</w:t>
            </w:r>
          </w:p>
        </w:tc>
      </w:tr>
      <w:tr w:rsidR="002375A8" w14:paraId="0BF1DC35" w14:textId="77777777" w:rsidTr="007E090C">
        <w:trPr>
          <w:trHeight w:val="410"/>
        </w:trPr>
        <w:tc>
          <w:tcPr>
            <w:tcW w:w="4669" w:type="dxa"/>
          </w:tcPr>
          <w:p w14:paraId="1E12323D" w14:textId="77777777" w:rsidR="002375A8" w:rsidRDefault="002375A8" w:rsidP="00693C9F">
            <w:pPr>
              <w:rPr>
                <w:sz w:val="28"/>
                <w:szCs w:val="28"/>
              </w:rPr>
            </w:pPr>
            <w:r>
              <w:rPr>
                <w:sz w:val="28"/>
                <w:szCs w:val="28"/>
              </w:rPr>
              <w:t>2020</w:t>
            </w:r>
          </w:p>
        </w:tc>
        <w:tc>
          <w:tcPr>
            <w:tcW w:w="4669" w:type="dxa"/>
          </w:tcPr>
          <w:p w14:paraId="3B1E13FE" w14:textId="72BA4A5F" w:rsidR="002375A8" w:rsidRDefault="002375A8" w:rsidP="00693C9F">
            <w:pPr>
              <w:rPr>
                <w:sz w:val="28"/>
                <w:szCs w:val="28"/>
              </w:rPr>
            </w:pPr>
            <w:r>
              <w:rPr>
                <w:sz w:val="28"/>
                <w:szCs w:val="28"/>
              </w:rPr>
              <w:t>9.8</w:t>
            </w:r>
            <w:r w:rsidR="0010714E">
              <w:rPr>
                <w:sz w:val="28"/>
                <w:szCs w:val="28"/>
              </w:rPr>
              <w:t>$</w:t>
            </w:r>
          </w:p>
        </w:tc>
      </w:tr>
      <w:tr w:rsidR="002375A8" w14:paraId="1C4A572E" w14:textId="77777777" w:rsidTr="007E090C">
        <w:trPr>
          <w:trHeight w:val="410"/>
        </w:trPr>
        <w:tc>
          <w:tcPr>
            <w:tcW w:w="4669" w:type="dxa"/>
          </w:tcPr>
          <w:p w14:paraId="58998411" w14:textId="77777777" w:rsidR="002375A8" w:rsidRDefault="002375A8" w:rsidP="00693C9F">
            <w:pPr>
              <w:rPr>
                <w:sz w:val="28"/>
                <w:szCs w:val="28"/>
              </w:rPr>
            </w:pPr>
            <w:r>
              <w:rPr>
                <w:sz w:val="28"/>
                <w:szCs w:val="28"/>
              </w:rPr>
              <w:t>2021</w:t>
            </w:r>
          </w:p>
        </w:tc>
        <w:tc>
          <w:tcPr>
            <w:tcW w:w="4669" w:type="dxa"/>
          </w:tcPr>
          <w:p w14:paraId="146C5D77" w14:textId="6FC41B0A" w:rsidR="002375A8" w:rsidRDefault="002375A8" w:rsidP="00693C9F">
            <w:pPr>
              <w:rPr>
                <w:sz w:val="28"/>
                <w:szCs w:val="28"/>
              </w:rPr>
            </w:pPr>
            <w:r>
              <w:rPr>
                <w:sz w:val="28"/>
                <w:szCs w:val="28"/>
              </w:rPr>
              <w:t>10.2</w:t>
            </w:r>
            <w:r w:rsidR="0010714E">
              <w:rPr>
                <w:sz w:val="28"/>
                <w:szCs w:val="28"/>
              </w:rPr>
              <w:t>$</w:t>
            </w:r>
          </w:p>
        </w:tc>
      </w:tr>
      <w:tr w:rsidR="002375A8" w14:paraId="38681B16" w14:textId="77777777" w:rsidTr="007E090C">
        <w:trPr>
          <w:trHeight w:val="425"/>
        </w:trPr>
        <w:tc>
          <w:tcPr>
            <w:tcW w:w="4669" w:type="dxa"/>
          </w:tcPr>
          <w:p w14:paraId="6AFF34FC" w14:textId="77777777" w:rsidR="002375A8" w:rsidRDefault="002375A8" w:rsidP="00693C9F">
            <w:pPr>
              <w:rPr>
                <w:sz w:val="28"/>
                <w:szCs w:val="28"/>
              </w:rPr>
            </w:pPr>
            <w:r>
              <w:rPr>
                <w:sz w:val="28"/>
                <w:szCs w:val="28"/>
              </w:rPr>
              <w:t>2022</w:t>
            </w:r>
          </w:p>
        </w:tc>
        <w:tc>
          <w:tcPr>
            <w:tcW w:w="4669" w:type="dxa"/>
          </w:tcPr>
          <w:p w14:paraId="5BA08701" w14:textId="514E4AA3" w:rsidR="002375A8" w:rsidRDefault="002375A8" w:rsidP="00693C9F">
            <w:pPr>
              <w:rPr>
                <w:sz w:val="28"/>
                <w:szCs w:val="28"/>
              </w:rPr>
            </w:pPr>
            <w:r>
              <w:rPr>
                <w:sz w:val="28"/>
                <w:szCs w:val="28"/>
              </w:rPr>
              <w:t>10.5</w:t>
            </w:r>
            <w:r w:rsidR="0010714E">
              <w:rPr>
                <w:sz w:val="28"/>
                <w:szCs w:val="28"/>
              </w:rPr>
              <w:t>$</w:t>
            </w:r>
          </w:p>
        </w:tc>
      </w:tr>
      <w:tr w:rsidR="002375A8" w14:paraId="20047E9B" w14:textId="77777777" w:rsidTr="007E090C">
        <w:trPr>
          <w:trHeight w:val="410"/>
        </w:trPr>
        <w:tc>
          <w:tcPr>
            <w:tcW w:w="4669" w:type="dxa"/>
          </w:tcPr>
          <w:p w14:paraId="0CE40026" w14:textId="77777777" w:rsidR="002375A8" w:rsidRDefault="002375A8" w:rsidP="00693C9F">
            <w:pPr>
              <w:rPr>
                <w:sz w:val="28"/>
                <w:szCs w:val="28"/>
              </w:rPr>
            </w:pPr>
            <w:r>
              <w:rPr>
                <w:sz w:val="28"/>
                <w:szCs w:val="28"/>
              </w:rPr>
              <w:t>2023</w:t>
            </w:r>
          </w:p>
        </w:tc>
        <w:tc>
          <w:tcPr>
            <w:tcW w:w="4669" w:type="dxa"/>
          </w:tcPr>
          <w:p w14:paraId="21E66D86" w14:textId="439240BB" w:rsidR="002375A8" w:rsidRDefault="002375A8" w:rsidP="00693C9F">
            <w:pPr>
              <w:rPr>
                <w:sz w:val="28"/>
                <w:szCs w:val="28"/>
              </w:rPr>
            </w:pPr>
            <w:r>
              <w:rPr>
                <w:sz w:val="28"/>
                <w:szCs w:val="28"/>
              </w:rPr>
              <w:t>10.8</w:t>
            </w:r>
            <w:r w:rsidR="0010714E">
              <w:rPr>
                <w:sz w:val="28"/>
                <w:szCs w:val="28"/>
              </w:rPr>
              <w:t>$</w:t>
            </w:r>
          </w:p>
        </w:tc>
      </w:tr>
    </w:tbl>
    <w:p w14:paraId="291DDA68" w14:textId="77777777" w:rsidR="002375A8" w:rsidRPr="00A63512" w:rsidRDefault="002375A8" w:rsidP="00A63512">
      <w:pPr>
        <w:rPr>
          <w:sz w:val="28"/>
          <w:szCs w:val="28"/>
        </w:rPr>
      </w:pPr>
    </w:p>
    <w:p w14:paraId="76C9D87E" w14:textId="77777777" w:rsidR="00A63512" w:rsidRPr="00A63512" w:rsidRDefault="00A63512" w:rsidP="00A63512">
      <w:pPr>
        <w:rPr>
          <w:sz w:val="28"/>
          <w:szCs w:val="28"/>
        </w:rPr>
      </w:pPr>
    </w:p>
    <w:p w14:paraId="388361C5" w14:textId="567D3E43" w:rsidR="00A63512" w:rsidRPr="007E090C" w:rsidRDefault="00A63512" w:rsidP="00A63512">
      <w:pPr>
        <w:rPr>
          <w:b/>
          <w:bCs/>
          <w:sz w:val="28"/>
          <w:szCs w:val="28"/>
        </w:rPr>
      </w:pPr>
      <w:r w:rsidRPr="007E090C">
        <w:rPr>
          <w:b/>
          <w:bCs/>
          <w:sz w:val="28"/>
          <w:szCs w:val="28"/>
        </w:rPr>
        <w:t xml:space="preserve"> 4. Credit Card Usage (Total Credit Card Debt in trillion USD)</w:t>
      </w:r>
    </w:p>
    <w:tbl>
      <w:tblPr>
        <w:tblStyle w:val="TableGrid"/>
        <w:tblW w:w="9386" w:type="dxa"/>
        <w:tblLook w:val="04A0" w:firstRow="1" w:lastRow="0" w:firstColumn="1" w:lastColumn="0" w:noHBand="0" w:noVBand="1"/>
      </w:tblPr>
      <w:tblGrid>
        <w:gridCol w:w="4693"/>
        <w:gridCol w:w="4693"/>
      </w:tblGrid>
      <w:tr w:rsidR="002375A8" w:rsidRPr="007E090C" w14:paraId="6DEE7780" w14:textId="77777777" w:rsidTr="007E090C">
        <w:trPr>
          <w:trHeight w:val="418"/>
        </w:trPr>
        <w:tc>
          <w:tcPr>
            <w:tcW w:w="4693" w:type="dxa"/>
          </w:tcPr>
          <w:p w14:paraId="5411C7C7" w14:textId="77777777" w:rsidR="002375A8" w:rsidRPr="007E090C" w:rsidRDefault="002375A8" w:rsidP="00693C9F">
            <w:pPr>
              <w:rPr>
                <w:b/>
                <w:bCs/>
                <w:sz w:val="28"/>
                <w:szCs w:val="28"/>
              </w:rPr>
            </w:pPr>
            <w:r w:rsidRPr="007E090C">
              <w:rPr>
                <w:b/>
                <w:bCs/>
                <w:sz w:val="28"/>
                <w:szCs w:val="28"/>
              </w:rPr>
              <w:t>Year</w:t>
            </w:r>
          </w:p>
        </w:tc>
        <w:tc>
          <w:tcPr>
            <w:tcW w:w="4693" w:type="dxa"/>
          </w:tcPr>
          <w:p w14:paraId="492A1182" w14:textId="1DFBEF82" w:rsidR="002375A8" w:rsidRPr="007E090C" w:rsidRDefault="002375A8" w:rsidP="00693C9F">
            <w:pPr>
              <w:rPr>
                <w:b/>
                <w:bCs/>
                <w:sz w:val="28"/>
                <w:szCs w:val="28"/>
              </w:rPr>
            </w:pPr>
            <w:r w:rsidRPr="007E090C">
              <w:rPr>
                <w:b/>
                <w:bCs/>
                <w:sz w:val="28"/>
                <w:szCs w:val="28"/>
              </w:rPr>
              <w:t>Total Debt (in trillion USD)</w:t>
            </w:r>
          </w:p>
        </w:tc>
      </w:tr>
      <w:tr w:rsidR="002375A8" w14:paraId="0070C14B" w14:textId="77777777" w:rsidTr="007E090C">
        <w:trPr>
          <w:trHeight w:val="432"/>
        </w:trPr>
        <w:tc>
          <w:tcPr>
            <w:tcW w:w="4693" w:type="dxa"/>
          </w:tcPr>
          <w:p w14:paraId="706B4A14" w14:textId="77777777" w:rsidR="002375A8" w:rsidRDefault="002375A8" w:rsidP="00693C9F">
            <w:pPr>
              <w:rPr>
                <w:sz w:val="28"/>
                <w:szCs w:val="28"/>
              </w:rPr>
            </w:pPr>
            <w:r>
              <w:rPr>
                <w:sz w:val="28"/>
                <w:szCs w:val="28"/>
              </w:rPr>
              <w:t>2019</w:t>
            </w:r>
          </w:p>
        </w:tc>
        <w:tc>
          <w:tcPr>
            <w:tcW w:w="4693" w:type="dxa"/>
          </w:tcPr>
          <w:p w14:paraId="5F05E6B6" w14:textId="5CCA26E4" w:rsidR="002375A8" w:rsidRDefault="002375A8" w:rsidP="00693C9F">
            <w:pPr>
              <w:rPr>
                <w:sz w:val="28"/>
                <w:szCs w:val="28"/>
              </w:rPr>
            </w:pPr>
            <w:r>
              <w:rPr>
                <w:sz w:val="28"/>
                <w:szCs w:val="28"/>
              </w:rPr>
              <w:t>0.93</w:t>
            </w:r>
            <w:r w:rsidR="0010714E">
              <w:rPr>
                <w:sz w:val="28"/>
                <w:szCs w:val="28"/>
              </w:rPr>
              <w:t>$</w:t>
            </w:r>
          </w:p>
        </w:tc>
      </w:tr>
      <w:tr w:rsidR="002375A8" w14:paraId="101FE934" w14:textId="77777777" w:rsidTr="007E090C">
        <w:trPr>
          <w:trHeight w:val="418"/>
        </w:trPr>
        <w:tc>
          <w:tcPr>
            <w:tcW w:w="4693" w:type="dxa"/>
          </w:tcPr>
          <w:p w14:paraId="00B40050" w14:textId="77777777" w:rsidR="002375A8" w:rsidRDefault="002375A8" w:rsidP="00693C9F">
            <w:pPr>
              <w:rPr>
                <w:sz w:val="28"/>
                <w:szCs w:val="28"/>
              </w:rPr>
            </w:pPr>
            <w:r>
              <w:rPr>
                <w:sz w:val="28"/>
                <w:szCs w:val="28"/>
              </w:rPr>
              <w:t>2020</w:t>
            </w:r>
          </w:p>
        </w:tc>
        <w:tc>
          <w:tcPr>
            <w:tcW w:w="4693" w:type="dxa"/>
          </w:tcPr>
          <w:p w14:paraId="147CBB08" w14:textId="5242D451" w:rsidR="002375A8" w:rsidRDefault="002375A8" w:rsidP="00693C9F">
            <w:pPr>
              <w:rPr>
                <w:sz w:val="28"/>
                <w:szCs w:val="28"/>
              </w:rPr>
            </w:pPr>
            <w:r>
              <w:rPr>
                <w:sz w:val="28"/>
                <w:szCs w:val="28"/>
              </w:rPr>
              <w:t>0.92</w:t>
            </w:r>
            <w:r w:rsidR="0010714E">
              <w:rPr>
                <w:sz w:val="28"/>
                <w:szCs w:val="28"/>
              </w:rPr>
              <w:t>$</w:t>
            </w:r>
          </w:p>
        </w:tc>
      </w:tr>
      <w:tr w:rsidR="002375A8" w14:paraId="672ED7B6" w14:textId="77777777" w:rsidTr="007E090C">
        <w:trPr>
          <w:trHeight w:val="418"/>
        </w:trPr>
        <w:tc>
          <w:tcPr>
            <w:tcW w:w="4693" w:type="dxa"/>
          </w:tcPr>
          <w:p w14:paraId="33421911" w14:textId="77777777" w:rsidR="002375A8" w:rsidRDefault="002375A8" w:rsidP="00693C9F">
            <w:pPr>
              <w:rPr>
                <w:sz w:val="28"/>
                <w:szCs w:val="28"/>
              </w:rPr>
            </w:pPr>
            <w:r>
              <w:rPr>
                <w:sz w:val="28"/>
                <w:szCs w:val="28"/>
              </w:rPr>
              <w:t>2021</w:t>
            </w:r>
          </w:p>
        </w:tc>
        <w:tc>
          <w:tcPr>
            <w:tcW w:w="4693" w:type="dxa"/>
          </w:tcPr>
          <w:p w14:paraId="09C8609B" w14:textId="68D7F8F2" w:rsidR="002375A8" w:rsidRDefault="002375A8" w:rsidP="00693C9F">
            <w:pPr>
              <w:rPr>
                <w:sz w:val="28"/>
                <w:szCs w:val="28"/>
              </w:rPr>
            </w:pPr>
            <w:r>
              <w:rPr>
                <w:sz w:val="28"/>
                <w:szCs w:val="28"/>
              </w:rPr>
              <w:t>0.97</w:t>
            </w:r>
            <w:r w:rsidR="0010714E">
              <w:rPr>
                <w:sz w:val="28"/>
                <w:szCs w:val="28"/>
              </w:rPr>
              <w:t>$</w:t>
            </w:r>
          </w:p>
        </w:tc>
      </w:tr>
      <w:tr w:rsidR="002375A8" w14:paraId="68883B53" w14:textId="77777777" w:rsidTr="007E090C">
        <w:trPr>
          <w:trHeight w:val="432"/>
        </w:trPr>
        <w:tc>
          <w:tcPr>
            <w:tcW w:w="4693" w:type="dxa"/>
          </w:tcPr>
          <w:p w14:paraId="0B16488F" w14:textId="77777777" w:rsidR="002375A8" w:rsidRDefault="002375A8" w:rsidP="00693C9F">
            <w:pPr>
              <w:rPr>
                <w:sz w:val="28"/>
                <w:szCs w:val="28"/>
              </w:rPr>
            </w:pPr>
            <w:r>
              <w:rPr>
                <w:sz w:val="28"/>
                <w:szCs w:val="28"/>
              </w:rPr>
              <w:t>2022</w:t>
            </w:r>
          </w:p>
        </w:tc>
        <w:tc>
          <w:tcPr>
            <w:tcW w:w="4693" w:type="dxa"/>
          </w:tcPr>
          <w:p w14:paraId="70EA533D" w14:textId="40764DBB" w:rsidR="002375A8" w:rsidRDefault="002375A8" w:rsidP="00693C9F">
            <w:pPr>
              <w:rPr>
                <w:sz w:val="28"/>
                <w:szCs w:val="28"/>
              </w:rPr>
            </w:pPr>
            <w:r>
              <w:rPr>
                <w:sz w:val="28"/>
                <w:szCs w:val="28"/>
              </w:rPr>
              <w:t>1.01</w:t>
            </w:r>
            <w:r w:rsidR="0010714E">
              <w:rPr>
                <w:sz w:val="28"/>
                <w:szCs w:val="28"/>
              </w:rPr>
              <w:t>$</w:t>
            </w:r>
          </w:p>
        </w:tc>
      </w:tr>
      <w:tr w:rsidR="002375A8" w14:paraId="01D9BAEB" w14:textId="77777777" w:rsidTr="007E090C">
        <w:trPr>
          <w:trHeight w:val="418"/>
        </w:trPr>
        <w:tc>
          <w:tcPr>
            <w:tcW w:w="4693" w:type="dxa"/>
          </w:tcPr>
          <w:p w14:paraId="4D58DC35" w14:textId="77777777" w:rsidR="002375A8" w:rsidRDefault="002375A8" w:rsidP="00693C9F">
            <w:pPr>
              <w:rPr>
                <w:sz w:val="28"/>
                <w:szCs w:val="28"/>
              </w:rPr>
            </w:pPr>
            <w:r>
              <w:rPr>
                <w:sz w:val="28"/>
                <w:szCs w:val="28"/>
              </w:rPr>
              <w:t>2023</w:t>
            </w:r>
          </w:p>
        </w:tc>
        <w:tc>
          <w:tcPr>
            <w:tcW w:w="4693" w:type="dxa"/>
          </w:tcPr>
          <w:p w14:paraId="6504BD29" w14:textId="1590D567" w:rsidR="002375A8" w:rsidRDefault="002375A8" w:rsidP="00693C9F">
            <w:pPr>
              <w:rPr>
                <w:sz w:val="28"/>
                <w:szCs w:val="28"/>
              </w:rPr>
            </w:pPr>
            <w:r>
              <w:rPr>
                <w:sz w:val="28"/>
                <w:szCs w:val="28"/>
              </w:rPr>
              <w:t>1.05</w:t>
            </w:r>
            <w:r w:rsidR="0010714E">
              <w:rPr>
                <w:sz w:val="28"/>
                <w:szCs w:val="28"/>
              </w:rPr>
              <w:t>$</w:t>
            </w:r>
          </w:p>
        </w:tc>
      </w:tr>
    </w:tbl>
    <w:p w14:paraId="726CD419" w14:textId="77777777" w:rsidR="002375A8" w:rsidRPr="00A63512" w:rsidRDefault="002375A8" w:rsidP="00A63512">
      <w:pPr>
        <w:rPr>
          <w:sz w:val="28"/>
          <w:szCs w:val="28"/>
        </w:rPr>
      </w:pPr>
    </w:p>
    <w:p w14:paraId="11E929EC" w14:textId="77777777" w:rsidR="00A63512" w:rsidRPr="00A63512" w:rsidRDefault="00A63512" w:rsidP="00A63512">
      <w:pPr>
        <w:rPr>
          <w:sz w:val="28"/>
          <w:szCs w:val="28"/>
        </w:rPr>
      </w:pPr>
    </w:p>
    <w:p w14:paraId="38F9EDE5" w14:textId="1DCA660F" w:rsidR="00A63512" w:rsidRPr="007E090C" w:rsidRDefault="00A63512" w:rsidP="00A63512">
      <w:pPr>
        <w:rPr>
          <w:b/>
          <w:bCs/>
          <w:sz w:val="28"/>
          <w:szCs w:val="28"/>
        </w:rPr>
      </w:pPr>
      <w:r w:rsidRPr="007E090C">
        <w:rPr>
          <w:b/>
          <w:bCs/>
          <w:sz w:val="28"/>
          <w:szCs w:val="28"/>
        </w:rPr>
        <w:t xml:space="preserve"> 5. Mortgage Originations (in trillion USD)</w:t>
      </w:r>
    </w:p>
    <w:tbl>
      <w:tblPr>
        <w:tblStyle w:val="TableGrid"/>
        <w:tblW w:w="9434" w:type="dxa"/>
        <w:tblLook w:val="04A0" w:firstRow="1" w:lastRow="0" w:firstColumn="1" w:lastColumn="0" w:noHBand="0" w:noVBand="1"/>
      </w:tblPr>
      <w:tblGrid>
        <w:gridCol w:w="4717"/>
        <w:gridCol w:w="4717"/>
      </w:tblGrid>
      <w:tr w:rsidR="002375A8" w:rsidRPr="007E090C" w14:paraId="56066CE9" w14:textId="77777777" w:rsidTr="007E090C">
        <w:trPr>
          <w:trHeight w:val="419"/>
        </w:trPr>
        <w:tc>
          <w:tcPr>
            <w:tcW w:w="4717" w:type="dxa"/>
          </w:tcPr>
          <w:p w14:paraId="2F0499B4" w14:textId="77777777" w:rsidR="002375A8" w:rsidRPr="007E090C" w:rsidRDefault="002375A8" w:rsidP="00693C9F">
            <w:pPr>
              <w:rPr>
                <w:b/>
                <w:bCs/>
                <w:sz w:val="28"/>
                <w:szCs w:val="28"/>
              </w:rPr>
            </w:pPr>
            <w:r w:rsidRPr="007E090C">
              <w:rPr>
                <w:b/>
                <w:bCs/>
                <w:sz w:val="28"/>
                <w:szCs w:val="28"/>
              </w:rPr>
              <w:t>Year</w:t>
            </w:r>
          </w:p>
        </w:tc>
        <w:tc>
          <w:tcPr>
            <w:tcW w:w="4717" w:type="dxa"/>
          </w:tcPr>
          <w:p w14:paraId="5E89581E" w14:textId="59C8DC6C" w:rsidR="002375A8" w:rsidRPr="007E090C" w:rsidRDefault="002375A8" w:rsidP="00693C9F">
            <w:pPr>
              <w:rPr>
                <w:b/>
                <w:bCs/>
                <w:sz w:val="28"/>
                <w:szCs w:val="28"/>
              </w:rPr>
            </w:pPr>
            <w:r w:rsidRPr="007E090C">
              <w:rPr>
                <w:b/>
                <w:bCs/>
                <w:sz w:val="28"/>
                <w:szCs w:val="28"/>
              </w:rPr>
              <w:t>Total Originations (in trillion USD)</w:t>
            </w:r>
          </w:p>
        </w:tc>
      </w:tr>
      <w:tr w:rsidR="002375A8" w14:paraId="333D4388" w14:textId="77777777" w:rsidTr="007E090C">
        <w:trPr>
          <w:trHeight w:val="434"/>
        </w:trPr>
        <w:tc>
          <w:tcPr>
            <w:tcW w:w="4717" w:type="dxa"/>
          </w:tcPr>
          <w:p w14:paraId="4F8D03B4" w14:textId="77777777" w:rsidR="002375A8" w:rsidRDefault="002375A8" w:rsidP="00693C9F">
            <w:pPr>
              <w:rPr>
                <w:sz w:val="28"/>
                <w:szCs w:val="28"/>
              </w:rPr>
            </w:pPr>
            <w:r>
              <w:rPr>
                <w:sz w:val="28"/>
                <w:szCs w:val="28"/>
              </w:rPr>
              <w:t>2019</w:t>
            </w:r>
          </w:p>
        </w:tc>
        <w:tc>
          <w:tcPr>
            <w:tcW w:w="4717" w:type="dxa"/>
          </w:tcPr>
          <w:p w14:paraId="6FD40128" w14:textId="70579B6B" w:rsidR="002375A8" w:rsidRDefault="002375A8" w:rsidP="00693C9F">
            <w:pPr>
              <w:rPr>
                <w:sz w:val="28"/>
                <w:szCs w:val="28"/>
              </w:rPr>
            </w:pPr>
            <w:r>
              <w:rPr>
                <w:sz w:val="28"/>
                <w:szCs w:val="28"/>
              </w:rPr>
              <w:t>2.1</w:t>
            </w:r>
            <w:r w:rsidR="0010714E">
              <w:rPr>
                <w:sz w:val="28"/>
                <w:szCs w:val="28"/>
              </w:rPr>
              <w:t>$</w:t>
            </w:r>
          </w:p>
        </w:tc>
      </w:tr>
      <w:tr w:rsidR="002375A8" w14:paraId="08B5B4C8" w14:textId="77777777" w:rsidTr="007E090C">
        <w:trPr>
          <w:trHeight w:val="419"/>
        </w:trPr>
        <w:tc>
          <w:tcPr>
            <w:tcW w:w="4717" w:type="dxa"/>
          </w:tcPr>
          <w:p w14:paraId="505496BE" w14:textId="77777777" w:rsidR="002375A8" w:rsidRDefault="002375A8" w:rsidP="00693C9F">
            <w:pPr>
              <w:rPr>
                <w:sz w:val="28"/>
                <w:szCs w:val="28"/>
              </w:rPr>
            </w:pPr>
            <w:r>
              <w:rPr>
                <w:sz w:val="28"/>
                <w:szCs w:val="28"/>
              </w:rPr>
              <w:t>2020</w:t>
            </w:r>
          </w:p>
        </w:tc>
        <w:tc>
          <w:tcPr>
            <w:tcW w:w="4717" w:type="dxa"/>
          </w:tcPr>
          <w:p w14:paraId="5827C4CC" w14:textId="6BF25141" w:rsidR="002375A8" w:rsidRDefault="002375A8" w:rsidP="00693C9F">
            <w:pPr>
              <w:rPr>
                <w:sz w:val="28"/>
                <w:szCs w:val="28"/>
              </w:rPr>
            </w:pPr>
            <w:r>
              <w:rPr>
                <w:sz w:val="28"/>
                <w:szCs w:val="28"/>
              </w:rPr>
              <w:t>2.8</w:t>
            </w:r>
            <w:r w:rsidR="0010714E">
              <w:rPr>
                <w:sz w:val="28"/>
                <w:szCs w:val="28"/>
              </w:rPr>
              <w:t>$</w:t>
            </w:r>
          </w:p>
        </w:tc>
      </w:tr>
      <w:tr w:rsidR="002375A8" w14:paraId="34D74BB7" w14:textId="77777777" w:rsidTr="007E090C">
        <w:trPr>
          <w:trHeight w:val="419"/>
        </w:trPr>
        <w:tc>
          <w:tcPr>
            <w:tcW w:w="4717" w:type="dxa"/>
          </w:tcPr>
          <w:p w14:paraId="3DE51AFF" w14:textId="77777777" w:rsidR="002375A8" w:rsidRDefault="002375A8" w:rsidP="00693C9F">
            <w:pPr>
              <w:rPr>
                <w:sz w:val="28"/>
                <w:szCs w:val="28"/>
              </w:rPr>
            </w:pPr>
            <w:r>
              <w:rPr>
                <w:sz w:val="28"/>
                <w:szCs w:val="28"/>
              </w:rPr>
              <w:t>2021</w:t>
            </w:r>
          </w:p>
        </w:tc>
        <w:tc>
          <w:tcPr>
            <w:tcW w:w="4717" w:type="dxa"/>
          </w:tcPr>
          <w:p w14:paraId="19498746" w14:textId="4A240E58" w:rsidR="002375A8" w:rsidRDefault="002375A8" w:rsidP="00693C9F">
            <w:pPr>
              <w:rPr>
                <w:sz w:val="28"/>
                <w:szCs w:val="28"/>
              </w:rPr>
            </w:pPr>
            <w:r>
              <w:rPr>
                <w:sz w:val="28"/>
                <w:szCs w:val="28"/>
              </w:rPr>
              <w:t>2.6</w:t>
            </w:r>
            <w:r w:rsidR="0010714E">
              <w:rPr>
                <w:sz w:val="28"/>
                <w:szCs w:val="28"/>
              </w:rPr>
              <w:t>$</w:t>
            </w:r>
          </w:p>
        </w:tc>
      </w:tr>
      <w:tr w:rsidR="002375A8" w14:paraId="7D4CC1E9" w14:textId="77777777" w:rsidTr="007E090C">
        <w:trPr>
          <w:trHeight w:val="434"/>
        </w:trPr>
        <w:tc>
          <w:tcPr>
            <w:tcW w:w="4717" w:type="dxa"/>
          </w:tcPr>
          <w:p w14:paraId="428089AA" w14:textId="77777777" w:rsidR="002375A8" w:rsidRDefault="002375A8" w:rsidP="00693C9F">
            <w:pPr>
              <w:rPr>
                <w:sz w:val="28"/>
                <w:szCs w:val="28"/>
              </w:rPr>
            </w:pPr>
            <w:r>
              <w:rPr>
                <w:sz w:val="28"/>
                <w:szCs w:val="28"/>
              </w:rPr>
              <w:t>2022</w:t>
            </w:r>
          </w:p>
        </w:tc>
        <w:tc>
          <w:tcPr>
            <w:tcW w:w="4717" w:type="dxa"/>
          </w:tcPr>
          <w:p w14:paraId="582E24F5" w14:textId="644716D1" w:rsidR="002375A8" w:rsidRDefault="002375A8" w:rsidP="00693C9F">
            <w:pPr>
              <w:rPr>
                <w:sz w:val="28"/>
                <w:szCs w:val="28"/>
              </w:rPr>
            </w:pPr>
            <w:r>
              <w:rPr>
                <w:sz w:val="28"/>
                <w:szCs w:val="28"/>
              </w:rPr>
              <w:t>2.4</w:t>
            </w:r>
            <w:r w:rsidR="0010714E">
              <w:rPr>
                <w:sz w:val="28"/>
                <w:szCs w:val="28"/>
              </w:rPr>
              <w:t>$</w:t>
            </w:r>
          </w:p>
        </w:tc>
      </w:tr>
      <w:tr w:rsidR="002375A8" w14:paraId="272C823C" w14:textId="77777777" w:rsidTr="007E090C">
        <w:trPr>
          <w:trHeight w:val="419"/>
        </w:trPr>
        <w:tc>
          <w:tcPr>
            <w:tcW w:w="4717" w:type="dxa"/>
          </w:tcPr>
          <w:p w14:paraId="04B811F7" w14:textId="77777777" w:rsidR="002375A8" w:rsidRDefault="002375A8" w:rsidP="00693C9F">
            <w:pPr>
              <w:rPr>
                <w:sz w:val="28"/>
                <w:szCs w:val="28"/>
              </w:rPr>
            </w:pPr>
            <w:r>
              <w:rPr>
                <w:sz w:val="28"/>
                <w:szCs w:val="28"/>
              </w:rPr>
              <w:t>2023</w:t>
            </w:r>
          </w:p>
        </w:tc>
        <w:tc>
          <w:tcPr>
            <w:tcW w:w="4717" w:type="dxa"/>
          </w:tcPr>
          <w:p w14:paraId="2495F032" w14:textId="16432965" w:rsidR="002375A8" w:rsidRDefault="002375A8" w:rsidP="00693C9F">
            <w:pPr>
              <w:rPr>
                <w:sz w:val="28"/>
                <w:szCs w:val="28"/>
              </w:rPr>
            </w:pPr>
            <w:r>
              <w:rPr>
                <w:sz w:val="28"/>
                <w:szCs w:val="28"/>
              </w:rPr>
              <w:t>2.2</w:t>
            </w:r>
            <w:r w:rsidR="0010714E">
              <w:rPr>
                <w:sz w:val="28"/>
                <w:szCs w:val="28"/>
              </w:rPr>
              <w:t>$</w:t>
            </w:r>
          </w:p>
        </w:tc>
      </w:tr>
    </w:tbl>
    <w:p w14:paraId="359BA48E" w14:textId="77777777" w:rsidR="002375A8" w:rsidRPr="00A63512" w:rsidRDefault="002375A8" w:rsidP="00A63512">
      <w:pPr>
        <w:rPr>
          <w:sz w:val="28"/>
          <w:szCs w:val="28"/>
        </w:rPr>
      </w:pPr>
    </w:p>
    <w:p w14:paraId="3D7A88D4" w14:textId="77777777" w:rsidR="00A63512" w:rsidRPr="00A63512" w:rsidRDefault="00A63512" w:rsidP="00A63512">
      <w:pPr>
        <w:rPr>
          <w:sz w:val="28"/>
          <w:szCs w:val="28"/>
        </w:rPr>
      </w:pPr>
    </w:p>
    <w:p w14:paraId="2CB964B9" w14:textId="77777777" w:rsidR="007E090C" w:rsidRDefault="00A63512" w:rsidP="00A63512">
      <w:pPr>
        <w:rPr>
          <w:sz w:val="28"/>
          <w:szCs w:val="28"/>
        </w:rPr>
      </w:pPr>
      <w:r w:rsidRPr="00A63512">
        <w:rPr>
          <w:sz w:val="28"/>
          <w:szCs w:val="28"/>
        </w:rPr>
        <w:t xml:space="preserve"> </w:t>
      </w:r>
    </w:p>
    <w:p w14:paraId="20DFF446" w14:textId="7B2A9C41" w:rsidR="00A63512" w:rsidRPr="007E090C" w:rsidRDefault="00A63512" w:rsidP="00A63512">
      <w:pPr>
        <w:rPr>
          <w:b/>
          <w:bCs/>
          <w:sz w:val="28"/>
          <w:szCs w:val="28"/>
        </w:rPr>
      </w:pPr>
      <w:r w:rsidRPr="007E090C">
        <w:rPr>
          <w:b/>
          <w:bCs/>
          <w:sz w:val="28"/>
          <w:szCs w:val="28"/>
        </w:rPr>
        <w:lastRenderedPageBreak/>
        <w:t>6. Net Interest Margin (Percentage)</w:t>
      </w:r>
    </w:p>
    <w:tbl>
      <w:tblPr>
        <w:tblStyle w:val="TableGrid"/>
        <w:tblW w:w="9374" w:type="dxa"/>
        <w:tblLook w:val="04A0" w:firstRow="1" w:lastRow="0" w:firstColumn="1" w:lastColumn="0" w:noHBand="0" w:noVBand="1"/>
      </w:tblPr>
      <w:tblGrid>
        <w:gridCol w:w="4687"/>
        <w:gridCol w:w="4687"/>
      </w:tblGrid>
      <w:tr w:rsidR="002375A8" w:rsidRPr="007E090C" w14:paraId="28674815" w14:textId="77777777" w:rsidTr="007E090C">
        <w:trPr>
          <w:trHeight w:val="425"/>
        </w:trPr>
        <w:tc>
          <w:tcPr>
            <w:tcW w:w="4687" w:type="dxa"/>
          </w:tcPr>
          <w:p w14:paraId="0E986C22" w14:textId="77777777" w:rsidR="002375A8" w:rsidRPr="007E090C" w:rsidRDefault="002375A8" w:rsidP="00693C9F">
            <w:pPr>
              <w:rPr>
                <w:b/>
                <w:bCs/>
                <w:sz w:val="28"/>
                <w:szCs w:val="28"/>
              </w:rPr>
            </w:pPr>
            <w:r w:rsidRPr="007E090C">
              <w:rPr>
                <w:b/>
                <w:bCs/>
                <w:sz w:val="28"/>
                <w:szCs w:val="28"/>
              </w:rPr>
              <w:t>Year</w:t>
            </w:r>
          </w:p>
        </w:tc>
        <w:tc>
          <w:tcPr>
            <w:tcW w:w="4687" w:type="dxa"/>
          </w:tcPr>
          <w:p w14:paraId="087916AB" w14:textId="55ED9637" w:rsidR="002375A8" w:rsidRPr="007E090C" w:rsidRDefault="002375A8" w:rsidP="00693C9F">
            <w:pPr>
              <w:rPr>
                <w:b/>
                <w:bCs/>
                <w:sz w:val="28"/>
                <w:szCs w:val="28"/>
              </w:rPr>
            </w:pPr>
            <w:r w:rsidRPr="007E090C">
              <w:rPr>
                <w:b/>
                <w:bCs/>
                <w:sz w:val="28"/>
                <w:szCs w:val="28"/>
              </w:rPr>
              <w:t>Net Interest Margin (Percentage)</w:t>
            </w:r>
          </w:p>
        </w:tc>
      </w:tr>
      <w:tr w:rsidR="002375A8" w14:paraId="223091D7" w14:textId="77777777" w:rsidTr="007E090C">
        <w:trPr>
          <w:trHeight w:val="440"/>
        </w:trPr>
        <w:tc>
          <w:tcPr>
            <w:tcW w:w="4687" w:type="dxa"/>
          </w:tcPr>
          <w:p w14:paraId="1D451CAE" w14:textId="77777777" w:rsidR="002375A8" w:rsidRDefault="002375A8" w:rsidP="00693C9F">
            <w:pPr>
              <w:rPr>
                <w:sz w:val="28"/>
                <w:szCs w:val="28"/>
              </w:rPr>
            </w:pPr>
            <w:r>
              <w:rPr>
                <w:sz w:val="28"/>
                <w:szCs w:val="28"/>
              </w:rPr>
              <w:t>2019</w:t>
            </w:r>
          </w:p>
        </w:tc>
        <w:tc>
          <w:tcPr>
            <w:tcW w:w="4687" w:type="dxa"/>
          </w:tcPr>
          <w:p w14:paraId="7F6A0AE3" w14:textId="59D51FEE" w:rsidR="002375A8" w:rsidRDefault="002375A8" w:rsidP="00693C9F">
            <w:pPr>
              <w:rPr>
                <w:sz w:val="28"/>
                <w:szCs w:val="28"/>
              </w:rPr>
            </w:pPr>
            <w:r>
              <w:rPr>
                <w:sz w:val="28"/>
                <w:szCs w:val="28"/>
              </w:rPr>
              <w:t>3.25%</w:t>
            </w:r>
          </w:p>
        </w:tc>
      </w:tr>
      <w:tr w:rsidR="002375A8" w14:paraId="3FAE6676" w14:textId="77777777" w:rsidTr="007E090C">
        <w:trPr>
          <w:trHeight w:val="425"/>
        </w:trPr>
        <w:tc>
          <w:tcPr>
            <w:tcW w:w="4687" w:type="dxa"/>
          </w:tcPr>
          <w:p w14:paraId="3C57A3D2" w14:textId="77777777" w:rsidR="002375A8" w:rsidRDefault="002375A8" w:rsidP="00693C9F">
            <w:pPr>
              <w:rPr>
                <w:sz w:val="28"/>
                <w:szCs w:val="28"/>
              </w:rPr>
            </w:pPr>
            <w:r>
              <w:rPr>
                <w:sz w:val="28"/>
                <w:szCs w:val="28"/>
              </w:rPr>
              <w:t>2020</w:t>
            </w:r>
          </w:p>
        </w:tc>
        <w:tc>
          <w:tcPr>
            <w:tcW w:w="4687" w:type="dxa"/>
          </w:tcPr>
          <w:p w14:paraId="09348A68" w14:textId="0F1C4F6C" w:rsidR="002375A8" w:rsidRDefault="002375A8" w:rsidP="00693C9F">
            <w:pPr>
              <w:rPr>
                <w:sz w:val="28"/>
                <w:szCs w:val="28"/>
              </w:rPr>
            </w:pPr>
            <w:r>
              <w:rPr>
                <w:sz w:val="28"/>
                <w:szCs w:val="28"/>
              </w:rPr>
              <w:t>3.10%</w:t>
            </w:r>
          </w:p>
        </w:tc>
      </w:tr>
      <w:tr w:rsidR="002375A8" w14:paraId="04B2D6EB" w14:textId="77777777" w:rsidTr="007E090C">
        <w:trPr>
          <w:trHeight w:val="425"/>
        </w:trPr>
        <w:tc>
          <w:tcPr>
            <w:tcW w:w="4687" w:type="dxa"/>
          </w:tcPr>
          <w:p w14:paraId="209D9CED" w14:textId="77777777" w:rsidR="002375A8" w:rsidRDefault="002375A8" w:rsidP="00693C9F">
            <w:pPr>
              <w:rPr>
                <w:sz w:val="28"/>
                <w:szCs w:val="28"/>
              </w:rPr>
            </w:pPr>
            <w:r>
              <w:rPr>
                <w:sz w:val="28"/>
                <w:szCs w:val="28"/>
              </w:rPr>
              <w:t>2021</w:t>
            </w:r>
          </w:p>
        </w:tc>
        <w:tc>
          <w:tcPr>
            <w:tcW w:w="4687" w:type="dxa"/>
          </w:tcPr>
          <w:p w14:paraId="599A04B1" w14:textId="7A90E46A" w:rsidR="002375A8" w:rsidRDefault="002375A8" w:rsidP="00693C9F">
            <w:pPr>
              <w:rPr>
                <w:sz w:val="28"/>
                <w:szCs w:val="28"/>
              </w:rPr>
            </w:pPr>
            <w:r>
              <w:rPr>
                <w:sz w:val="28"/>
                <w:szCs w:val="28"/>
              </w:rPr>
              <w:t>3.05%</w:t>
            </w:r>
          </w:p>
        </w:tc>
      </w:tr>
      <w:tr w:rsidR="002375A8" w14:paraId="271B17CF" w14:textId="77777777" w:rsidTr="007E090C">
        <w:trPr>
          <w:trHeight w:val="440"/>
        </w:trPr>
        <w:tc>
          <w:tcPr>
            <w:tcW w:w="4687" w:type="dxa"/>
          </w:tcPr>
          <w:p w14:paraId="5BEB95F7" w14:textId="77777777" w:rsidR="002375A8" w:rsidRDefault="002375A8" w:rsidP="00693C9F">
            <w:pPr>
              <w:rPr>
                <w:sz w:val="28"/>
                <w:szCs w:val="28"/>
              </w:rPr>
            </w:pPr>
            <w:r>
              <w:rPr>
                <w:sz w:val="28"/>
                <w:szCs w:val="28"/>
              </w:rPr>
              <w:t>2022</w:t>
            </w:r>
          </w:p>
        </w:tc>
        <w:tc>
          <w:tcPr>
            <w:tcW w:w="4687" w:type="dxa"/>
          </w:tcPr>
          <w:p w14:paraId="77E4FF17" w14:textId="51C27C0F" w:rsidR="002375A8" w:rsidRDefault="002375A8" w:rsidP="00693C9F">
            <w:pPr>
              <w:rPr>
                <w:sz w:val="28"/>
                <w:szCs w:val="28"/>
              </w:rPr>
            </w:pPr>
            <w:r>
              <w:rPr>
                <w:sz w:val="28"/>
                <w:szCs w:val="28"/>
              </w:rPr>
              <w:t>2.95%</w:t>
            </w:r>
          </w:p>
        </w:tc>
      </w:tr>
      <w:tr w:rsidR="002375A8" w14:paraId="0CA12F5F" w14:textId="77777777" w:rsidTr="007E090C">
        <w:trPr>
          <w:trHeight w:val="425"/>
        </w:trPr>
        <w:tc>
          <w:tcPr>
            <w:tcW w:w="4687" w:type="dxa"/>
          </w:tcPr>
          <w:p w14:paraId="556D1CD1" w14:textId="77777777" w:rsidR="002375A8" w:rsidRDefault="002375A8" w:rsidP="00693C9F">
            <w:pPr>
              <w:rPr>
                <w:sz w:val="28"/>
                <w:szCs w:val="28"/>
              </w:rPr>
            </w:pPr>
            <w:r>
              <w:rPr>
                <w:sz w:val="28"/>
                <w:szCs w:val="28"/>
              </w:rPr>
              <w:t>2023</w:t>
            </w:r>
          </w:p>
        </w:tc>
        <w:tc>
          <w:tcPr>
            <w:tcW w:w="4687" w:type="dxa"/>
          </w:tcPr>
          <w:p w14:paraId="55F755BE" w14:textId="76DEFEC2" w:rsidR="002375A8" w:rsidRDefault="002375A8" w:rsidP="00693C9F">
            <w:pPr>
              <w:rPr>
                <w:sz w:val="28"/>
                <w:szCs w:val="28"/>
              </w:rPr>
            </w:pPr>
            <w:r>
              <w:rPr>
                <w:sz w:val="28"/>
                <w:szCs w:val="28"/>
              </w:rPr>
              <w:t>2.85%</w:t>
            </w:r>
          </w:p>
        </w:tc>
      </w:tr>
    </w:tbl>
    <w:p w14:paraId="4E32D168" w14:textId="77777777" w:rsidR="002375A8" w:rsidRPr="00A63512" w:rsidRDefault="002375A8" w:rsidP="00A63512">
      <w:pPr>
        <w:rPr>
          <w:sz w:val="28"/>
          <w:szCs w:val="28"/>
        </w:rPr>
      </w:pPr>
    </w:p>
    <w:p w14:paraId="4A6BF1F2" w14:textId="77777777" w:rsidR="00A63512" w:rsidRPr="00A63512" w:rsidRDefault="00A63512" w:rsidP="00A63512">
      <w:pPr>
        <w:rPr>
          <w:sz w:val="28"/>
          <w:szCs w:val="28"/>
        </w:rPr>
      </w:pPr>
    </w:p>
    <w:p w14:paraId="3C41FA50" w14:textId="77777777" w:rsidR="0010714E" w:rsidRDefault="0010714E" w:rsidP="00A63512">
      <w:pPr>
        <w:rPr>
          <w:sz w:val="28"/>
          <w:szCs w:val="28"/>
        </w:rPr>
      </w:pPr>
    </w:p>
    <w:p w14:paraId="2C530EDF" w14:textId="77777777" w:rsidR="0010714E" w:rsidRDefault="0010714E" w:rsidP="00A63512">
      <w:pPr>
        <w:rPr>
          <w:sz w:val="28"/>
          <w:szCs w:val="28"/>
        </w:rPr>
      </w:pPr>
    </w:p>
    <w:p w14:paraId="65BD9B9D" w14:textId="77777777" w:rsidR="0010714E" w:rsidRDefault="0010714E" w:rsidP="00A63512">
      <w:pPr>
        <w:rPr>
          <w:sz w:val="28"/>
          <w:szCs w:val="28"/>
        </w:rPr>
      </w:pPr>
    </w:p>
    <w:p w14:paraId="60D8EBB3" w14:textId="77777777" w:rsidR="0010714E" w:rsidRDefault="0010714E" w:rsidP="00A63512">
      <w:pPr>
        <w:rPr>
          <w:sz w:val="28"/>
          <w:szCs w:val="28"/>
        </w:rPr>
      </w:pPr>
    </w:p>
    <w:p w14:paraId="6333BB32" w14:textId="77777777" w:rsidR="0010714E" w:rsidRDefault="0010714E" w:rsidP="00A63512">
      <w:pPr>
        <w:rPr>
          <w:sz w:val="28"/>
          <w:szCs w:val="28"/>
        </w:rPr>
      </w:pPr>
    </w:p>
    <w:p w14:paraId="11D72FE6" w14:textId="77777777" w:rsidR="0010714E" w:rsidRDefault="0010714E" w:rsidP="00A63512">
      <w:pPr>
        <w:rPr>
          <w:sz w:val="28"/>
          <w:szCs w:val="28"/>
        </w:rPr>
      </w:pPr>
    </w:p>
    <w:p w14:paraId="6CBDC4A0" w14:textId="77777777" w:rsidR="0010714E" w:rsidRDefault="0010714E" w:rsidP="00A63512">
      <w:pPr>
        <w:rPr>
          <w:sz w:val="28"/>
          <w:szCs w:val="28"/>
        </w:rPr>
      </w:pPr>
    </w:p>
    <w:p w14:paraId="2B9C1B29" w14:textId="77777777" w:rsidR="0010714E" w:rsidRDefault="0010714E" w:rsidP="00A63512">
      <w:pPr>
        <w:rPr>
          <w:sz w:val="28"/>
          <w:szCs w:val="28"/>
        </w:rPr>
      </w:pPr>
    </w:p>
    <w:p w14:paraId="62EAB1FF" w14:textId="77777777" w:rsidR="0010714E" w:rsidRDefault="0010714E" w:rsidP="00A63512">
      <w:pPr>
        <w:rPr>
          <w:sz w:val="28"/>
          <w:szCs w:val="28"/>
        </w:rPr>
      </w:pPr>
    </w:p>
    <w:p w14:paraId="1184A5E6" w14:textId="77777777" w:rsidR="0010714E" w:rsidRDefault="0010714E" w:rsidP="00A63512">
      <w:pPr>
        <w:rPr>
          <w:sz w:val="28"/>
          <w:szCs w:val="28"/>
        </w:rPr>
      </w:pPr>
    </w:p>
    <w:p w14:paraId="447DDC9B" w14:textId="77777777" w:rsidR="0010714E" w:rsidRDefault="0010714E" w:rsidP="00A63512">
      <w:pPr>
        <w:rPr>
          <w:sz w:val="28"/>
          <w:szCs w:val="28"/>
        </w:rPr>
      </w:pPr>
    </w:p>
    <w:p w14:paraId="2843E4E7" w14:textId="77777777" w:rsidR="0010714E" w:rsidRDefault="0010714E" w:rsidP="00A63512">
      <w:pPr>
        <w:rPr>
          <w:sz w:val="28"/>
          <w:szCs w:val="28"/>
        </w:rPr>
      </w:pPr>
    </w:p>
    <w:p w14:paraId="5AEE7A1C" w14:textId="77777777" w:rsidR="0010714E" w:rsidRDefault="0010714E" w:rsidP="00A63512">
      <w:pPr>
        <w:rPr>
          <w:sz w:val="28"/>
          <w:szCs w:val="28"/>
        </w:rPr>
      </w:pPr>
    </w:p>
    <w:p w14:paraId="77082036" w14:textId="77777777" w:rsidR="0010714E" w:rsidRDefault="0010714E" w:rsidP="00A63512">
      <w:pPr>
        <w:rPr>
          <w:sz w:val="28"/>
          <w:szCs w:val="28"/>
        </w:rPr>
      </w:pPr>
    </w:p>
    <w:p w14:paraId="66387C84" w14:textId="77777777" w:rsidR="0010714E" w:rsidRDefault="0010714E" w:rsidP="00A63512">
      <w:pPr>
        <w:rPr>
          <w:sz w:val="28"/>
          <w:szCs w:val="28"/>
        </w:rPr>
      </w:pPr>
    </w:p>
    <w:p w14:paraId="4C6301C8" w14:textId="77777777" w:rsidR="0010714E" w:rsidRDefault="0010714E" w:rsidP="00A63512">
      <w:pPr>
        <w:rPr>
          <w:sz w:val="28"/>
          <w:szCs w:val="28"/>
        </w:rPr>
      </w:pPr>
    </w:p>
    <w:p w14:paraId="26DCBB18" w14:textId="77777777" w:rsidR="0010714E" w:rsidRDefault="0010714E" w:rsidP="00A63512">
      <w:pPr>
        <w:rPr>
          <w:sz w:val="28"/>
          <w:szCs w:val="28"/>
        </w:rPr>
      </w:pPr>
    </w:p>
    <w:p w14:paraId="5B354CDC" w14:textId="77777777" w:rsidR="0010714E" w:rsidRDefault="0010714E" w:rsidP="00A63512">
      <w:pPr>
        <w:rPr>
          <w:sz w:val="28"/>
          <w:szCs w:val="28"/>
        </w:rPr>
      </w:pPr>
    </w:p>
    <w:p w14:paraId="0528D7C0" w14:textId="7D02459B" w:rsidR="00A63512" w:rsidRPr="00A63512" w:rsidRDefault="002375A8" w:rsidP="00A63512">
      <w:pPr>
        <w:rPr>
          <w:sz w:val="28"/>
          <w:szCs w:val="28"/>
        </w:rPr>
      </w:pPr>
      <w:r>
        <w:rPr>
          <w:sz w:val="28"/>
          <w:szCs w:val="28"/>
        </w:rPr>
        <w:lastRenderedPageBreak/>
        <w:t>- G</w:t>
      </w:r>
      <w:r w:rsidR="00A63512" w:rsidRPr="00A63512">
        <w:rPr>
          <w:sz w:val="28"/>
          <w:szCs w:val="28"/>
        </w:rPr>
        <w:t>raphs to visually represent these tables.</w:t>
      </w:r>
    </w:p>
    <w:p w14:paraId="5AB6C747" w14:textId="77777777" w:rsidR="002375A8" w:rsidRDefault="002375A8" w:rsidP="00A63512">
      <w:pPr>
        <w:rPr>
          <w:sz w:val="28"/>
          <w:szCs w:val="28"/>
        </w:rPr>
      </w:pPr>
    </w:p>
    <w:p w14:paraId="58C9B435" w14:textId="5DDDAAF1" w:rsidR="002375A8" w:rsidRPr="00A63512" w:rsidRDefault="002375A8" w:rsidP="00A63512">
      <w:pPr>
        <w:rPr>
          <w:sz w:val="28"/>
          <w:szCs w:val="28"/>
        </w:rPr>
      </w:pPr>
      <w:r>
        <w:rPr>
          <w:noProof/>
          <w:sz w:val="28"/>
          <w:szCs w:val="28"/>
        </w:rPr>
        <w:drawing>
          <wp:inline distT="0" distB="0" distL="0" distR="0" wp14:anchorId="70932416" wp14:editId="5F1B48BB">
            <wp:extent cx="5882640" cy="6103620"/>
            <wp:effectExtent l="0" t="0" r="3810" b="0"/>
            <wp:docPr id="1348611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3674" cy="6187698"/>
                    </a:xfrm>
                    <a:prstGeom prst="rect">
                      <a:avLst/>
                    </a:prstGeom>
                    <a:noFill/>
                  </pic:spPr>
                </pic:pic>
              </a:graphicData>
            </a:graphic>
          </wp:inline>
        </w:drawing>
      </w:r>
    </w:p>
    <w:p w14:paraId="2EF182AD" w14:textId="77777777" w:rsidR="00A63512" w:rsidRPr="00A63512" w:rsidRDefault="00A63512" w:rsidP="00A63512">
      <w:pPr>
        <w:rPr>
          <w:sz w:val="28"/>
          <w:szCs w:val="28"/>
        </w:rPr>
      </w:pPr>
    </w:p>
    <w:p w14:paraId="022EEEC8" w14:textId="77777777" w:rsidR="00A63512" w:rsidRPr="00A63512" w:rsidRDefault="00A63512" w:rsidP="00A63512">
      <w:pPr>
        <w:rPr>
          <w:sz w:val="28"/>
          <w:szCs w:val="28"/>
        </w:rPr>
      </w:pPr>
      <w:r w:rsidRPr="00A63512">
        <w:rPr>
          <w:sz w:val="28"/>
          <w:szCs w:val="28"/>
        </w:rPr>
        <w:t>The graphs above illustrate the trends in U.S. retail banking over the past five years across various key metrics:</w:t>
      </w:r>
    </w:p>
    <w:p w14:paraId="5D8B3084" w14:textId="77777777" w:rsidR="00A63512" w:rsidRPr="00A63512" w:rsidRDefault="00A63512" w:rsidP="00A63512">
      <w:pPr>
        <w:rPr>
          <w:sz w:val="28"/>
          <w:szCs w:val="28"/>
        </w:rPr>
      </w:pPr>
    </w:p>
    <w:p w14:paraId="3FD12B32" w14:textId="6AD7064C" w:rsidR="00A63512" w:rsidRPr="00A63512" w:rsidRDefault="00A63512" w:rsidP="00A63512">
      <w:pPr>
        <w:rPr>
          <w:sz w:val="28"/>
          <w:szCs w:val="28"/>
        </w:rPr>
      </w:pPr>
      <w:r w:rsidRPr="00A63512">
        <w:rPr>
          <w:sz w:val="28"/>
          <w:szCs w:val="28"/>
        </w:rPr>
        <w:t xml:space="preserve">1. Number of Retail Bank Branches: There has been a steady decline in the number of retail bank branches from 88,500 in 2019 to 79,500 in 2023. This </w:t>
      </w:r>
      <w:r w:rsidRPr="00A63512">
        <w:rPr>
          <w:sz w:val="28"/>
          <w:szCs w:val="28"/>
        </w:rPr>
        <w:lastRenderedPageBreak/>
        <w:t>trend reflects the industry's shift towards digital banking and the consolidation of physical locations.</w:t>
      </w:r>
    </w:p>
    <w:p w14:paraId="5672F594" w14:textId="77777777" w:rsidR="00A63512" w:rsidRPr="00A63512" w:rsidRDefault="00A63512" w:rsidP="00A63512">
      <w:pPr>
        <w:rPr>
          <w:sz w:val="28"/>
          <w:szCs w:val="28"/>
        </w:rPr>
      </w:pPr>
    </w:p>
    <w:p w14:paraId="1344157F" w14:textId="2E3247EE" w:rsidR="00A63512" w:rsidRPr="00A63512" w:rsidRDefault="00A63512" w:rsidP="00A63512">
      <w:pPr>
        <w:rPr>
          <w:sz w:val="28"/>
          <w:szCs w:val="28"/>
        </w:rPr>
      </w:pPr>
      <w:r w:rsidRPr="00A63512">
        <w:rPr>
          <w:sz w:val="28"/>
          <w:szCs w:val="28"/>
        </w:rPr>
        <w:t>2. Deposit Growth: Total deposits in retail banks have consistently increased from $12.0 trillion in 2019 to $15.5 trillion in 2023. This growth can be attributed to heightened savings rates, economic stimulus measures, and consumer preference for safe, liquid assets.</w:t>
      </w:r>
    </w:p>
    <w:p w14:paraId="35F95DBD" w14:textId="77777777" w:rsidR="00A63512" w:rsidRPr="00A63512" w:rsidRDefault="00A63512" w:rsidP="00A63512">
      <w:pPr>
        <w:rPr>
          <w:sz w:val="28"/>
          <w:szCs w:val="28"/>
        </w:rPr>
      </w:pPr>
    </w:p>
    <w:p w14:paraId="3A8DE2C5" w14:textId="083E5C4D" w:rsidR="00A63512" w:rsidRPr="00A63512" w:rsidRDefault="00A63512" w:rsidP="00A63512">
      <w:pPr>
        <w:rPr>
          <w:sz w:val="28"/>
          <w:szCs w:val="28"/>
        </w:rPr>
      </w:pPr>
      <w:r w:rsidRPr="00A63512">
        <w:rPr>
          <w:sz w:val="28"/>
          <w:szCs w:val="28"/>
        </w:rPr>
        <w:t>3. Loan Growth: Retail bank loans have also grown steadily from $9.5 trillion in 2019 to $10.8 trillion in 2023, indicating sustained demand for personal and home loans despite economic fluctuations.</w:t>
      </w:r>
    </w:p>
    <w:p w14:paraId="70416180" w14:textId="77777777" w:rsidR="00A63512" w:rsidRPr="00A63512" w:rsidRDefault="00A63512" w:rsidP="00A63512">
      <w:pPr>
        <w:rPr>
          <w:sz w:val="28"/>
          <w:szCs w:val="28"/>
        </w:rPr>
      </w:pPr>
    </w:p>
    <w:p w14:paraId="174665B6" w14:textId="32555887" w:rsidR="00A63512" w:rsidRPr="00A63512" w:rsidRDefault="00A63512" w:rsidP="00A63512">
      <w:pPr>
        <w:rPr>
          <w:sz w:val="28"/>
          <w:szCs w:val="28"/>
        </w:rPr>
      </w:pPr>
      <w:r w:rsidRPr="00A63512">
        <w:rPr>
          <w:sz w:val="28"/>
          <w:szCs w:val="28"/>
        </w:rPr>
        <w:t>4. Credit Card Usage: Total credit card debt has risen from $0.93 trillion in 2019 to $1.05 trillion in 2023. This increase reflects consumer reliance on credit for spending and indicates the health of consumer credit markets.</w:t>
      </w:r>
    </w:p>
    <w:p w14:paraId="02B8B47D" w14:textId="77777777" w:rsidR="00A63512" w:rsidRPr="00A63512" w:rsidRDefault="00A63512" w:rsidP="00A63512">
      <w:pPr>
        <w:rPr>
          <w:sz w:val="28"/>
          <w:szCs w:val="28"/>
        </w:rPr>
      </w:pPr>
    </w:p>
    <w:p w14:paraId="02F0C9D3" w14:textId="0E5BA952" w:rsidR="00A63512" w:rsidRPr="00A63512" w:rsidRDefault="00A63512" w:rsidP="00A63512">
      <w:pPr>
        <w:rPr>
          <w:sz w:val="28"/>
          <w:szCs w:val="28"/>
        </w:rPr>
      </w:pPr>
      <w:r w:rsidRPr="00A63512">
        <w:rPr>
          <w:sz w:val="28"/>
          <w:szCs w:val="28"/>
        </w:rPr>
        <w:t>5. Mortgage Originations: Mortgage originations saw a peak in 2020 at $2.8 trillion, followed by a decline to $2.2 trillion in 2023. The initial surge was driven by historically low interest rates, which later moderated as rates began to rise and the housing market stabilized.</w:t>
      </w:r>
    </w:p>
    <w:p w14:paraId="6A7B4FC9" w14:textId="77777777" w:rsidR="00A63512" w:rsidRPr="00A63512" w:rsidRDefault="00A63512" w:rsidP="00A63512">
      <w:pPr>
        <w:rPr>
          <w:sz w:val="28"/>
          <w:szCs w:val="28"/>
        </w:rPr>
      </w:pPr>
    </w:p>
    <w:p w14:paraId="17B0C256" w14:textId="3127FFDE" w:rsidR="00A63512" w:rsidRPr="00A63512" w:rsidRDefault="00A63512" w:rsidP="00A63512">
      <w:pPr>
        <w:rPr>
          <w:sz w:val="28"/>
          <w:szCs w:val="28"/>
        </w:rPr>
      </w:pPr>
      <w:r w:rsidRPr="00A63512">
        <w:rPr>
          <w:sz w:val="28"/>
          <w:szCs w:val="28"/>
        </w:rPr>
        <w:t>6. Net Interest Margin: The net interest margin, a key indicator of bank profitability, has declined from 3.25% in 2019 to 2.85% in 2023. This decline reflects the impact of low interest rates and competitive pressures on banks' interest income.</w:t>
      </w:r>
    </w:p>
    <w:p w14:paraId="731C13CA" w14:textId="77777777" w:rsidR="00A63512" w:rsidRPr="00A63512" w:rsidRDefault="00A63512" w:rsidP="00A63512">
      <w:pPr>
        <w:rPr>
          <w:sz w:val="28"/>
          <w:szCs w:val="28"/>
        </w:rPr>
      </w:pPr>
    </w:p>
    <w:p w14:paraId="48B4CF3F" w14:textId="1E957C02" w:rsidR="00A63512" w:rsidRDefault="00A63512" w:rsidP="00A63512">
      <w:pPr>
        <w:rPr>
          <w:sz w:val="28"/>
          <w:szCs w:val="28"/>
        </w:rPr>
      </w:pPr>
      <w:r w:rsidRPr="00A63512">
        <w:rPr>
          <w:sz w:val="28"/>
          <w:szCs w:val="28"/>
        </w:rPr>
        <w:t xml:space="preserve">These insights highlight significant shifts in the retail banking landscape, driven by technological advancements, economic policies, and changing consumer </w:t>
      </w:r>
      <w:r w:rsidR="002375A8" w:rsidRPr="00A63512">
        <w:rPr>
          <w:sz w:val="28"/>
          <w:szCs w:val="28"/>
        </w:rPr>
        <w:t>behaviours</w:t>
      </w:r>
      <w:r w:rsidRPr="00A63512">
        <w:rPr>
          <w:sz w:val="28"/>
          <w:szCs w:val="28"/>
        </w:rPr>
        <w:t>.</w:t>
      </w:r>
    </w:p>
    <w:p w14:paraId="154F3902" w14:textId="77777777" w:rsidR="002375A8" w:rsidRDefault="002375A8" w:rsidP="00A63512">
      <w:pPr>
        <w:rPr>
          <w:sz w:val="28"/>
          <w:szCs w:val="28"/>
        </w:rPr>
      </w:pPr>
    </w:p>
    <w:p w14:paraId="13C5AE48" w14:textId="77777777" w:rsidR="007E090C" w:rsidRDefault="007E090C" w:rsidP="00A63512">
      <w:pPr>
        <w:rPr>
          <w:b/>
          <w:bCs/>
          <w:sz w:val="36"/>
          <w:szCs w:val="36"/>
        </w:rPr>
      </w:pPr>
    </w:p>
    <w:p w14:paraId="3879E470" w14:textId="77777777" w:rsidR="007E090C" w:rsidRDefault="007E090C" w:rsidP="00A63512">
      <w:pPr>
        <w:rPr>
          <w:b/>
          <w:bCs/>
          <w:sz w:val="36"/>
          <w:szCs w:val="36"/>
        </w:rPr>
      </w:pPr>
    </w:p>
    <w:p w14:paraId="4C60660F" w14:textId="77777777" w:rsidR="007E090C" w:rsidRDefault="007E090C" w:rsidP="00A63512">
      <w:pPr>
        <w:rPr>
          <w:b/>
          <w:bCs/>
          <w:sz w:val="36"/>
          <w:szCs w:val="36"/>
        </w:rPr>
      </w:pPr>
    </w:p>
    <w:p w14:paraId="1E63A30E" w14:textId="373D793A" w:rsidR="002375A8" w:rsidRDefault="002375A8" w:rsidP="00A63512">
      <w:pPr>
        <w:rPr>
          <w:b/>
          <w:bCs/>
          <w:sz w:val="36"/>
          <w:szCs w:val="36"/>
        </w:rPr>
      </w:pPr>
      <w:proofErr w:type="gramStart"/>
      <w:r w:rsidRPr="002375A8">
        <w:rPr>
          <w:b/>
          <w:bCs/>
          <w:sz w:val="36"/>
          <w:szCs w:val="36"/>
        </w:rPr>
        <w:t>CONCLUSION:-</w:t>
      </w:r>
      <w:proofErr w:type="gramEnd"/>
    </w:p>
    <w:p w14:paraId="2AF8F5E4" w14:textId="6B12FDBB" w:rsidR="002375A8" w:rsidRPr="002375A8" w:rsidRDefault="002375A8" w:rsidP="002375A8">
      <w:pPr>
        <w:rPr>
          <w:sz w:val="28"/>
          <w:szCs w:val="28"/>
        </w:rPr>
      </w:pPr>
      <w:r>
        <w:rPr>
          <w:sz w:val="28"/>
          <w:szCs w:val="28"/>
        </w:rPr>
        <w:tab/>
      </w:r>
      <w:r w:rsidRPr="002375A8">
        <w:rPr>
          <w:sz w:val="28"/>
          <w:szCs w:val="28"/>
        </w:rPr>
        <w:t>The U.S. retail banking sector has undergone notable transformations over the past five years, driven by digital advancements, economic conditions, and shifting consumer preferences. The steady decline in the number of bank branches reflects the industry's move towards digital banking, providing customers with convenient, technology-driven services. This shift has been accompanied by robust deposit growth, underscoring consumer confidence in banks as safe havens for their funds.</w:t>
      </w:r>
    </w:p>
    <w:p w14:paraId="2BFE025F" w14:textId="77777777" w:rsidR="002375A8" w:rsidRPr="002375A8" w:rsidRDefault="002375A8" w:rsidP="002375A8">
      <w:pPr>
        <w:rPr>
          <w:sz w:val="28"/>
          <w:szCs w:val="28"/>
        </w:rPr>
      </w:pPr>
    </w:p>
    <w:p w14:paraId="4AADC87C" w14:textId="77777777" w:rsidR="002375A8" w:rsidRPr="002375A8" w:rsidRDefault="002375A8" w:rsidP="002375A8">
      <w:pPr>
        <w:rPr>
          <w:sz w:val="28"/>
          <w:szCs w:val="28"/>
        </w:rPr>
      </w:pPr>
      <w:r w:rsidRPr="002375A8">
        <w:rPr>
          <w:sz w:val="28"/>
          <w:szCs w:val="28"/>
        </w:rPr>
        <w:t xml:space="preserve">Loan growth, particularly in personal and home loans, indicates sustained demand for credit, while the increase in credit card usage highlights the ongoing reliance on credit for consumer spending. The peak in mortgage originations in 2020, followed by a moderation, mirrors </w:t>
      </w:r>
      <w:proofErr w:type="gramStart"/>
      <w:r w:rsidRPr="002375A8">
        <w:rPr>
          <w:sz w:val="28"/>
          <w:szCs w:val="28"/>
        </w:rPr>
        <w:t>changes</w:t>
      </w:r>
      <w:proofErr w:type="gramEnd"/>
      <w:r w:rsidRPr="002375A8">
        <w:rPr>
          <w:sz w:val="28"/>
          <w:szCs w:val="28"/>
        </w:rPr>
        <w:t xml:space="preserve"> in interest rates and housing market dynamics.</w:t>
      </w:r>
    </w:p>
    <w:p w14:paraId="07F10BF3" w14:textId="77777777" w:rsidR="002375A8" w:rsidRPr="002375A8" w:rsidRDefault="002375A8" w:rsidP="002375A8">
      <w:pPr>
        <w:rPr>
          <w:sz w:val="28"/>
          <w:szCs w:val="28"/>
        </w:rPr>
      </w:pPr>
    </w:p>
    <w:p w14:paraId="45642705" w14:textId="77777777" w:rsidR="002375A8" w:rsidRPr="002375A8" w:rsidRDefault="002375A8" w:rsidP="002375A8">
      <w:pPr>
        <w:rPr>
          <w:sz w:val="28"/>
          <w:szCs w:val="28"/>
        </w:rPr>
      </w:pPr>
      <w:r w:rsidRPr="002375A8">
        <w:rPr>
          <w:sz w:val="28"/>
          <w:szCs w:val="28"/>
        </w:rPr>
        <w:t xml:space="preserve">Despite a declining net interest margin, which challenges profitability, retail banks have managed to adapt by diversifying their income sources and enhancing operational efficiencies. The overall stability in key financial metrics such as deposits and loans </w:t>
      </w:r>
      <w:proofErr w:type="gramStart"/>
      <w:r w:rsidRPr="002375A8">
        <w:rPr>
          <w:sz w:val="28"/>
          <w:szCs w:val="28"/>
        </w:rPr>
        <w:t>demonstrates</w:t>
      </w:r>
      <w:proofErr w:type="gramEnd"/>
      <w:r w:rsidRPr="002375A8">
        <w:rPr>
          <w:sz w:val="28"/>
          <w:szCs w:val="28"/>
        </w:rPr>
        <w:t xml:space="preserve"> the sector's resilience and ability to navigate economic fluctuations.</w:t>
      </w:r>
    </w:p>
    <w:p w14:paraId="2E39B812" w14:textId="77777777" w:rsidR="002375A8" w:rsidRPr="002375A8" w:rsidRDefault="002375A8" w:rsidP="002375A8">
      <w:pPr>
        <w:rPr>
          <w:sz w:val="28"/>
          <w:szCs w:val="28"/>
        </w:rPr>
      </w:pPr>
    </w:p>
    <w:p w14:paraId="6F59E1D8" w14:textId="2399D208" w:rsidR="002375A8" w:rsidRPr="002375A8" w:rsidRDefault="002375A8" w:rsidP="002375A8">
      <w:pPr>
        <w:rPr>
          <w:sz w:val="28"/>
          <w:szCs w:val="28"/>
        </w:rPr>
      </w:pPr>
      <w:r>
        <w:rPr>
          <w:sz w:val="28"/>
          <w:szCs w:val="28"/>
        </w:rPr>
        <w:t xml:space="preserve">The </w:t>
      </w:r>
      <w:r w:rsidRPr="002375A8">
        <w:rPr>
          <w:sz w:val="28"/>
          <w:szCs w:val="28"/>
        </w:rPr>
        <w:t>U.S. retail banking has successfully evolved to meet changing consumer needs and market conditions. By embracing digital transformation and maintaining financial stability, the sector continues to play a vital role in the economy, ensuring the provision of essential financial services to millions of consumers.</w:t>
      </w:r>
    </w:p>
    <w:sectPr w:rsidR="002375A8" w:rsidRPr="00237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96"/>
    <w:rsid w:val="0010714E"/>
    <w:rsid w:val="002375A8"/>
    <w:rsid w:val="004022D4"/>
    <w:rsid w:val="0052122A"/>
    <w:rsid w:val="007E090C"/>
    <w:rsid w:val="0097138F"/>
    <w:rsid w:val="009F7EFD"/>
    <w:rsid w:val="00A63512"/>
    <w:rsid w:val="00AA5E8A"/>
    <w:rsid w:val="00D7302E"/>
    <w:rsid w:val="00F82311"/>
    <w:rsid w:val="00FE0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CE21"/>
  <w15:chartTrackingRefBased/>
  <w15:docId w15:val="{0B355F02-865C-493A-B6E3-7FB5604D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18</Pages>
  <Words>3044</Words>
  <Characters>17354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2</cp:revision>
  <dcterms:created xsi:type="dcterms:W3CDTF">2024-06-15T03:04:00Z</dcterms:created>
  <dcterms:modified xsi:type="dcterms:W3CDTF">2024-06-15T10:53:00Z</dcterms:modified>
</cp:coreProperties>
</file>