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C589" w14:textId="2A1206D8" w:rsidR="00BB0D88" w:rsidRPr="00771572" w:rsidRDefault="00BB0D88" w:rsidP="00771572">
      <w:pPr>
        <w:jc w:val="center"/>
        <w:rPr>
          <w:b/>
          <w:bCs/>
          <w:sz w:val="40"/>
          <w:szCs w:val="40"/>
          <w:u w:val="double"/>
        </w:rPr>
      </w:pPr>
      <w:r w:rsidRPr="00771572">
        <w:rPr>
          <w:b/>
          <w:bCs/>
          <w:sz w:val="40"/>
          <w:szCs w:val="40"/>
          <w:u w:val="double"/>
        </w:rPr>
        <w:t>W</w:t>
      </w:r>
      <w:r w:rsidR="00771572" w:rsidRPr="00771572">
        <w:rPr>
          <w:b/>
          <w:bCs/>
          <w:sz w:val="40"/>
          <w:szCs w:val="40"/>
          <w:u w:val="double"/>
        </w:rPr>
        <w:t>EALTH</w:t>
      </w:r>
      <w:r w:rsidRPr="00771572">
        <w:rPr>
          <w:b/>
          <w:bCs/>
          <w:sz w:val="40"/>
          <w:szCs w:val="40"/>
          <w:u w:val="double"/>
        </w:rPr>
        <w:t xml:space="preserve"> M</w:t>
      </w:r>
      <w:r w:rsidR="00771572" w:rsidRPr="00771572">
        <w:rPr>
          <w:b/>
          <w:bCs/>
          <w:sz w:val="40"/>
          <w:szCs w:val="40"/>
          <w:u w:val="double"/>
        </w:rPr>
        <w:t>ANAGEMENT</w:t>
      </w:r>
      <w:r w:rsidRPr="00771572">
        <w:rPr>
          <w:b/>
          <w:bCs/>
          <w:sz w:val="40"/>
          <w:szCs w:val="40"/>
          <w:u w:val="double"/>
        </w:rPr>
        <w:t xml:space="preserve"> O</w:t>
      </w:r>
      <w:r w:rsidR="00771572" w:rsidRPr="00771572">
        <w:rPr>
          <w:b/>
          <w:bCs/>
          <w:sz w:val="40"/>
          <w:szCs w:val="40"/>
          <w:u w:val="double"/>
        </w:rPr>
        <w:t>PERATIONS</w:t>
      </w:r>
    </w:p>
    <w:p w14:paraId="46FD19B9" w14:textId="77777777" w:rsidR="00BB0D88" w:rsidRPr="00BB0D88" w:rsidRDefault="00BB0D88" w:rsidP="00BB0D88">
      <w:pPr>
        <w:rPr>
          <w:sz w:val="28"/>
          <w:szCs w:val="28"/>
        </w:rPr>
      </w:pPr>
    </w:p>
    <w:p w14:paraId="76D098E8" w14:textId="77777777" w:rsidR="00BB0D88" w:rsidRPr="00BB0D88" w:rsidRDefault="00BB0D88" w:rsidP="00BB0D88">
      <w:pPr>
        <w:rPr>
          <w:sz w:val="28"/>
          <w:szCs w:val="28"/>
        </w:rPr>
      </w:pPr>
      <w:r w:rsidRPr="00BB0D88">
        <w:rPr>
          <w:sz w:val="28"/>
          <w:szCs w:val="28"/>
        </w:rPr>
        <w:t>Wealth management operations in U.S. banking encompass a wide range of services designed to help high-net-worth individuals and families manage their financial resources. These services typically include:</w:t>
      </w:r>
    </w:p>
    <w:p w14:paraId="3B870028" w14:textId="77777777" w:rsidR="00BB0D88" w:rsidRPr="00BB0D88" w:rsidRDefault="00BB0D88" w:rsidP="00BB0D88">
      <w:pPr>
        <w:rPr>
          <w:sz w:val="28"/>
          <w:szCs w:val="28"/>
        </w:rPr>
      </w:pPr>
    </w:p>
    <w:p w14:paraId="451DCC62" w14:textId="20BED21E" w:rsidR="00BB0D88" w:rsidRPr="00BB0D88" w:rsidRDefault="00BB0D88" w:rsidP="00BB0D88">
      <w:pPr>
        <w:rPr>
          <w:sz w:val="28"/>
          <w:szCs w:val="28"/>
        </w:rPr>
      </w:pPr>
      <w:r w:rsidRPr="00771572">
        <w:rPr>
          <w:b/>
          <w:bCs/>
          <w:sz w:val="28"/>
          <w:szCs w:val="28"/>
        </w:rPr>
        <w:t>1. Investment Management:</w:t>
      </w:r>
      <w:r w:rsidRPr="00BB0D88">
        <w:rPr>
          <w:sz w:val="28"/>
          <w:szCs w:val="28"/>
        </w:rPr>
        <w:t xml:space="preserve"> Creating and managing investment portfolios tailored to the client's risk tolerance, financial goals, and time horizon. This includes asset allocation, selection of individual securities, and continuous portfolio monitoring.</w:t>
      </w:r>
    </w:p>
    <w:p w14:paraId="23369AE1" w14:textId="77777777" w:rsidR="00BB0D88" w:rsidRPr="00BB0D88" w:rsidRDefault="00BB0D88" w:rsidP="00BB0D88">
      <w:pPr>
        <w:rPr>
          <w:sz w:val="28"/>
          <w:szCs w:val="28"/>
        </w:rPr>
      </w:pPr>
    </w:p>
    <w:p w14:paraId="00E063F6" w14:textId="424184F2" w:rsidR="00BB0D88" w:rsidRPr="00BB0D88" w:rsidRDefault="00BB0D88" w:rsidP="00BB0D88">
      <w:pPr>
        <w:rPr>
          <w:sz w:val="28"/>
          <w:szCs w:val="28"/>
        </w:rPr>
      </w:pPr>
      <w:r w:rsidRPr="00771572">
        <w:rPr>
          <w:b/>
          <w:bCs/>
          <w:sz w:val="28"/>
          <w:szCs w:val="28"/>
        </w:rPr>
        <w:t>2. Financial Planning:</w:t>
      </w:r>
      <w:r w:rsidRPr="00BB0D88">
        <w:rPr>
          <w:sz w:val="28"/>
          <w:szCs w:val="28"/>
        </w:rPr>
        <w:t xml:space="preserve"> Comprehensive planning to address various aspects of a client's financial life, including retirement planning, tax planning, estate planning, and education funding.</w:t>
      </w:r>
    </w:p>
    <w:p w14:paraId="3B678D03" w14:textId="77777777" w:rsidR="00BB0D88" w:rsidRPr="00BB0D88" w:rsidRDefault="00BB0D88" w:rsidP="00BB0D88">
      <w:pPr>
        <w:rPr>
          <w:sz w:val="28"/>
          <w:szCs w:val="28"/>
        </w:rPr>
      </w:pPr>
    </w:p>
    <w:p w14:paraId="0E999239" w14:textId="24230295" w:rsidR="00BB0D88" w:rsidRPr="00BB0D88" w:rsidRDefault="00BB0D88" w:rsidP="00BB0D88">
      <w:pPr>
        <w:rPr>
          <w:sz w:val="28"/>
          <w:szCs w:val="28"/>
        </w:rPr>
      </w:pPr>
      <w:r w:rsidRPr="00771572">
        <w:rPr>
          <w:b/>
          <w:bCs/>
          <w:sz w:val="28"/>
          <w:szCs w:val="28"/>
        </w:rPr>
        <w:t>3. Trust and Estate Services:</w:t>
      </w:r>
      <w:r w:rsidRPr="00BB0D88">
        <w:rPr>
          <w:sz w:val="28"/>
          <w:szCs w:val="28"/>
        </w:rPr>
        <w:t xml:space="preserve"> Managing trusts and estates to ensure assets are distributed according to the client's wishes, minimizing taxes and legal issues.</w:t>
      </w:r>
    </w:p>
    <w:p w14:paraId="348B4363" w14:textId="77777777" w:rsidR="00BB0D88" w:rsidRPr="00BB0D88" w:rsidRDefault="00BB0D88" w:rsidP="00BB0D88">
      <w:pPr>
        <w:rPr>
          <w:sz w:val="28"/>
          <w:szCs w:val="28"/>
        </w:rPr>
      </w:pPr>
    </w:p>
    <w:p w14:paraId="5DA50D05" w14:textId="6433B70F" w:rsidR="00BB0D88" w:rsidRPr="00BB0D88" w:rsidRDefault="00BB0D88" w:rsidP="00BB0D88">
      <w:pPr>
        <w:rPr>
          <w:sz w:val="28"/>
          <w:szCs w:val="28"/>
        </w:rPr>
      </w:pPr>
      <w:r w:rsidRPr="00771572">
        <w:rPr>
          <w:b/>
          <w:bCs/>
          <w:sz w:val="28"/>
          <w:szCs w:val="28"/>
        </w:rPr>
        <w:t>4. Private Banking:</w:t>
      </w:r>
      <w:r w:rsidRPr="00BB0D88">
        <w:rPr>
          <w:sz w:val="28"/>
          <w:szCs w:val="28"/>
        </w:rPr>
        <w:t xml:space="preserve"> Providing personalized banking services, including credit and lending solutions, deposit services, and cash management tailored to the needs of high-net-worth clients.</w:t>
      </w:r>
    </w:p>
    <w:p w14:paraId="1FF173C7" w14:textId="77777777" w:rsidR="00BB0D88" w:rsidRPr="00BB0D88" w:rsidRDefault="00BB0D88" w:rsidP="00BB0D88">
      <w:pPr>
        <w:rPr>
          <w:sz w:val="28"/>
          <w:szCs w:val="28"/>
        </w:rPr>
      </w:pPr>
    </w:p>
    <w:p w14:paraId="0CF34F8B" w14:textId="140209E6" w:rsidR="00BB0D88" w:rsidRPr="00BB0D88" w:rsidRDefault="00BB0D88" w:rsidP="00BB0D88">
      <w:pPr>
        <w:rPr>
          <w:sz w:val="28"/>
          <w:szCs w:val="28"/>
        </w:rPr>
      </w:pPr>
      <w:r w:rsidRPr="00771572">
        <w:rPr>
          <w:b/>
          <w:bCs/>
          <w:sz w:val="28"/>
          <w:szCs w:val="28"/>
        </w:rPr>
        <w:t>5. Philanthropic Services:</w:t>
      </w:r>
      <w:r w:rsidRPr="00BB0D88">
        <w:rPr>
          <w:sz w:val="28"/>
          <w:szCs w:val="28"/>
        </w:rPr>
        <w:t xml:space="preserve"> Assisting clients in structuring and managing charitable giving to maximize the impact of their philanthropic efforts.</w:t>
      </w:r>
    </w:p>
    <w:p w14:paraId="6D3F4E73" w14:textId="77777777" w:rsidR="00BB0D88" w:rsidRPr="00BB0D88" w:rsidRDefault="00BB0D88" w:rsidP="00BB0D88">
      <w:pPr>
        <w:rPr>
          <w:sz w:val="28"/>
          <w:szCs w:val="28"/>
        </w:rPr>
      </w:pPr>
    </w:p>
    <w:p w14:paraId="30B19281" w14:textId="69F5E762" w:rsidR="00BB0D88" w:rsidRPr="00BB0D88" w:rsidRDefault="00BB0D88" w:rsidP="00BB0D88">
      <w:pPr>
        <w:rPr>
          <w:sz w:val="28"/>
          <w:szCs w:val="28"/>
        </w:rPr>
      </w:pPr>
      <w:r w:rsidRPr="00771572">
        <w:rPr>
          <w:b/>
          <w:bCs/>
          <w:sz w:val="28"/>
          <w:szCs w:val="28"/>
        </w:rPr>
        <w:t>6. Family Office Services:</w:t>
      </w:r>
      <w:r w:rsidRPr="00BB0D88">
        <w:rPr>
          <w:sz w:val="28"/>
          <w:szCs w:val="28"/>
        </w:rPr>
        <w:t xml:space="preserve"> Offering a suite of services to manage the financial and administrative needs of wealthy families, often including lifestyle management, financial education for family members, and succession planning.</w:t>
      </w:r>
    </w:p>
    <w:p w14:paraId="0B1A91B3" w14:textId="77777777" w:rsidR="00BB0D88" w:rsidRDefault="00BB0D88" w:rsidP="00BB0D88">
      <w:pPr>
        <w:rPr>
          <w:sz w:val="28"/>
          <w:szCs w:val="28"/>
        </w:rPr>
      </w:pPr>
    </w:p>
    <w:p w14:paraId="274E3B1A" w14:textId="36FFB6F4" w:rsidR="00BB0D88" w:rsidRPr="00771572" w:rsidRDefault="00BB0D88" w:rsidP="00BB0D88">
      <w:pPr>
        <w:rPr>
          <w:b/>
          <w:bCs/>
          <w:sz w:val="28"/>
          <w:szCs w:val="28"/>
        </w:rPr>
      </w:pPr>
      <w:r w:rsidRPr="00771572">
        <w:rPr>
          <w:b/>
          <w:bCs/>
          <w:sz w:val="28"/>
          <w:szCs w:val="28"/>
        </w:rPr>
        <w:lastRenderedPageBreak/>
        <w:t>A</w:t>
      </w:r>
      <w:r w:rsidRPr="00771572">
        <w:rPr>
          <w:b/>
          <w:bCs/>
          <w:sz w:val="28"/>
          <w:szCs w:val="28"/>
        </w:rPr>
        <w:t xml:space="preserve"> comprehensive analysis of wealth management operations</w:t>
      </w:r>
      <w:r w:rsidRPr="00771572">
        <w:rPr>
          <w:b/>
          <w:bCs/>
          <w:sz w:val="28"/>
          <w:szCs w:val="28"/>
        </w:rPr>
        <w:t>,</w:t>
      </w:r>
    </w:p>
    <w:p w14:paraId="5E1CFC54" w14:textId="0B1AA52A" w:rsidR="00E15F2C" w:rsidRPr="00771572" w:rsidRDefault="00E15F2C" w:rsidP="00BB0D88">
      <w:pPr>
        <w:rPr>
          <w:b/>
          <w:bCs/>
          <w:sz w:val="28"/>
          <w:szCs w:val="28"/>
        </w:rPr>
      </w:pPr>
      <w:r w:rsidRPr="00771572">
        <w:rPr>
          <w:b/>
          <w:bCs/>
          <w:sz w:val="28"/>
          <w:szCs w:val="28"/>
        </w:rPr>
        <w:t>Table: Assets Under Management (AUM) and Revenue</w:t>
      </w:r>
    </w:p>
    <w:tbl>
      <w:tblPr>
        <w:tblStyle w:val="TableGrid"/>
        <w:tblW w:w="9192" w:type="dxa"/>
        <w:tblLook w:val="04A0" w:firstRow="1" w:lastRow="0" w:firstColumn="1" w:lastColumn="0" w:noHBand="0" w:noVBand="1"/>
      </w:tblPr>
      <w:tblGrid>
        <w:gridCol w:w="2298"/>
        <w:gridCol w:w="2298"/>
        <w:gridCol w:w="2298"/>
        <w:gridCol w:w="2298"/>
      </w:tblGrid>
      <w:tr w:rsidR="00BB0D88" w:rsidRPr="00771572" w14:paraId="10AE2609" w14:textId="77777777" w:rsidTr="00E15F2C">
        <w:trPr>
          <w:trHeight w:val="764"/>
        </w:trPr>
        <w:tc>
          <w:tcPr>
            <w:tcW w:w="2298" w:type="dxa"/>
          </w:tcPr>
          <w:p w14:paraId="4DC5B6BA" w14:textId="61C80F9F" w:rsidR="00BB0D88" w:rsidRPr="00771572" w:rsidRDefault="00BB0D88" w:rsidP="00BB0D88">
            <w:pPr>
              <w:rPr>
                <w:b/>
                <w:bCs/>
                <w:sz w:val="28"/>
                <w:szCs w:val="28"/>
              </w:rPr>
            </w:pPr>
            <w:r w:rsidRPr="00771572">
              <w:rPr>
                <w:b/>
                <w:bCs/>
                <w:sz w:val="28"/>
                <w:szCs w:val="28"/>
              </w:rPr>
              <w:t>Year</w:t>
            </w:r>
          </w:p>
        </w:tc>
        <w:tc>
          <w:tcPr>
            <w:tcW w:w="2298" w:type="dxa"/>
          </w:tcPr>
          <w:p w14:paraId="34FFDC5B" w14:textId="280BC074" w:rsidR="00BB0D88" w:rsidRPr="00771572" w:rsidRDefault="00BB0D88" w:rsidP="00BB0D88">
            <w:pPr>
              <w:rPr>
                <w:b/>
                <w:bCs/>
                <w:sz w:val="28"/>
                <w:szCs w:val="28"/>
              </w:rPr>
            </w:pPr>
            <w:r w:rsidRPr="00771572">
              <w:rPr>
                <w:b/>
                <w:bCs/>
                <w:sz w:val="28"/>
                <w:szCs w:val="28"/>
              </w:rPr>
              <w:t>AUM (in trillions)</w:t>
            </w:r>
          </w:p>
        </w:tc>
        <w:tc>
          <w:tcPr>
            <w:tcW w:w="2298" w:type="dxa"/>
          </w:tcPr>
          <w:p w14:paraId="56B56048" w14:textId="2C61D146" w:rsidR="00BB0D88" w:rsidRPr="00771572" w:rsidRDefault="00BB0D88" w:rsidP="00BB0D88">
            <w:pPr>
              <w:rPr>
                <w:b/>
                <w:bCs/>
                <w:sz w:val="28"/>
                <w:szCs w:val="28"/>
              </w:rPr>
            </w:pPr>
            <w:r w:rsidRPr="00771572">
              <w:rPr>
                <w:b/>
                <w:bCs/>
                <w:sz w:val="28"/>
                <w:szCs w:val="28"/>
              </w:rPr>
              <w:t>Revenue (in billions)</w:t>
            </w:r>
          </w:p>
        </w:tc>
        <w:tc>
          <w:tcPr>
            <w:tcW w:w="2298" w:type="dxa"/>
          </w:tcPr>
          <w:p w14:paraId="073B801A" w14:textId="74436A09" w:rsidR="00BB0D88" w:rsidRPr="00771572" w:rsidRDefault="00BB0D88" w:rsidP="00BB0D88">
            <w:pPr>
              <w:rPr>
                <w:b/>
                <w:bCs/>
                <w:sz w:val="28"/>
                <w:szCs w:val="28"/>
              </w:rPr>
            </w:pPr>
            <w:r w:rsidRPr="00771572">
              <w:rPr>
                <w:b/>
                <w:bCs/>
                <w:sz w:val="28"/>
                <w:szCs w:val="28"/>
              </w:rPr>
              <w:t xml:space="preserve"> HNWI Growth Rate (%)</w:t>
            </w:r>
          </w:p>
        </w:tc>
      </w:tr>
      <w:tr w:rsidR="00BB0D88" w14:paraId="0326141F" w14:textId="77777777" w:rsidTr="00E15F2C">
        <w:trPr>
          <w:trHeight w:val="375"/>
        </w:trPr>
        <w:tc>
          <w:tcPr>
            <w:tcW w:w="2298" w:type="dxa"/>
          </w:tcPr>
          <w:p w14:paraId="03F5F0C7" w14:textId="636DC35D" w:rsidR="00BB0D88" w:rsidRDefault="00BB0D88" w:rsidP="00BB0D88">
            <w:pPr>
              <w:rPr>
                <w:sz w:val="28"/>
                <w:szCs w:val="28"/>
              </w:rPr>
            </w:pPr>
            <w:r>
              <w:rPr>
                <w:sz w:val="28"/>
                <w:szCs w:val="28"/>
              </w:rPr>
              <w:t>2019</w:t>
            </w:r>
          </w:p>
        </w:tc>
        <w:tc>
          <w:tcPr>
            <w:tcW w:w="2298" w:type="dxa"/>
          </w:tcPr>
          <w:p w14:paraId="0D22BD0A" w14:textId="5CF938F7" w:rsidR="00BB0D88" w:rsidRDefault="00BB0D88" w:rsidP="00BB0D88">
            <w:pPr>
              <w:rPr>
                <w:sz w:val="28"/>
                <w:szCs w:val="28"/>
              </w:rPr>
            </w:pPr>
            <w:r>
              <w:rPr>
                <w:sz w:val="28"/>
                <w:szCs w:val="28"/>
              </w:rPr>
              <w:t>4.5</w:t>
            </w:r>
          </w:p>
        </w:tc>
        <w:tc>
          <w:tcPr>
            <w:tcW w:w="2298" w:type="dxa"/>
          </w:tcPr>
          <w:p w14:paraId="08BAEBB3" w14:textId="28553C40" w:rsidR="00BB0D88" w:rsidRDefault="00BB0D88" w:rsidP="00BB0D88">
            <w:pPr>
              <w:rPr>
                <w:sz w:val="28"/>
                <w:szCs w:val="28"/>
              </w:rPr>
            </w:pPr>
            <w:r>
              <w:rPr>
                <w:sz w:val="28"/>
                <w:szCs w:val="28"/>
              </w:rPr>
              <w:t>20</w:t>
            </w:r>
          </w:p>
        </w:tc>
        <w:tc>
          <w:tcPr>
            <w:tcW w:w="2298" w:type="dxa"/>
          </w:tcPr>
          <w:p w14:paraId="05F0D4F3" w14:textId="68F519B8" w:rsidR="00BB0D88" w:rsidRDefault="00BB0D88" w:rsidP="00BB0D88">
            <w:pPr>
              <w:rPr>
                <w:sz w:val="28"/>
                <w:szCs w:val="28"/>
              </w:rPr>
            </w:pPr>
            <w:r>
              <w:rPr>
                <w:sz w:val="28"/>
                <w:szCs w:val="28"/>
              </w:rPr>
              <w:t>5</w:t>
            </w:r>
          </w:p>
        </w:tc>
      </w:tr>
      <w:tr w:rsidR="00BB0D88" w14:paraId="005E5C25" w14:textId="77777777" w:rsidTr="00E15F2C">
        <w:trPr>
          <w:trHeight w:val="375"/>
        </w:trPr>
        <w:tc>
          <w:tcPr>
            <w:tcW w:w="2298" w:type="dxa"/>
          </w:tcPr>
          <w:p w14:paraId="66DE9252" w14:textId="19F25950" w:rsidR="00BB0D88" w:rsidRDefault="00BB0D88" w:rsidP="00BB0D88">
            <w:pPr>
              <w:rPr>
                <w:sz w:val="28"/>
                <w:szCs w:val="28"/>
              </w:rPr>
            </w:pPr>
            <w:r>
              <w:rPr>
                <w:sz w:val="28"/>
                <w:szCs w:val="28"/>
              </w:rPr>
              <w:t>2020</w:t>
            </w:r>
          </w:p>
        </w:tc>
        <w:tc>
          <w:tcPr>
            <w:tcW w:w="2298" w:type="dxa"/>
          </w:tcPr>
          <w:p w14:paraId="03A04251" w14:textId="37F27206" w:rsidR="00BB0D88" w:rsidRDefault="00BB0D88" w:rsidP="00BB0D88">
            <w:pPr>
              <w:rPr>
                <w:sz w:val="28"/>
                <w:szCs w:val="28"/>
              </w:rPr>
            </w:pPr>
            <w:r>
              <w:rPr>
                <w:sz w:val="28"/>
                <w:szCs w:val="28"/>
              </w:rPr>
              <w:t>4.8</w:t>
            </w:r>
          </w:p>
        </w:tc>
        <w:tc>
          <w:tcPr>
            <w:tcW w:w="2298" w:type="dxa"/>
          </w:tcPr>
          <w:p w14:paraId="361CBE78" w14:textId="71B8E301" w:rsidR="00BB0D88" w:rsidRDefault="00BB0D88" w:rsidP="00BB0D88">
            <w:pPr>
              <w:rPr>
                <w:sz w:val="28"/>
                <w:szCs w:val="28"/>
              </w:rPr>
            </w:pPr>
            <w:r>
              <w:rPr>
                <w:sz w:val="28"/>
                <w:szCs w:val="28"/>
              </w:rPr>
              <w:t>21</w:t>
            </w:r>
          </w:p>
        </w:tc>
        <w:tc>
          <w:tcPr>
            <w:tcW w:w="2298" w:type="dxa"/>
          </w:tcPr>
          <w:p w14:paraId="07C3DF68" w14:textId="5CE99912" w:rsidR="00BB0D88" w:rsidRDefault="00BB0D88" w:rsidP="00BB0D88">
            <w:pPr>
              <w:rPr>
                <w:sz w:val="28"/>
                <w:szCs w:val="28"/>
              </w:rPr>
            </w:pPr>
            <w:r>
              <w:rPr>
                <w:sz w:val="28"/>
                <w:szCs w:val="28"/>
              </w:rPr>
              <w:t>6</w:t>
            </w:r>
          </w:p>
        </w:tc>
      </w:tr>
      <w:tr w:rsidR="00BB0D88" w14:paraId="3503D948" w14:textId="77777777" w:rsidTr="00E15F2C">
        <w:trPr>
          <w:trHeight w:val="388"/>
        </w:trPr>
        <w:tc>
          <w:tcPr>
            <w:tcW w:w="2298" w:type="dxa"/>
          </w:tcPr>
          <w:p w14:paraId="3F01B63B" w14:textId="01AD1F25" w:rsidR="00BB0D88" w:rsidRDefault="00BB0D88" w:rsidP="00BB0D88">
            <w:pPr>
              <w:rPr>
                <w:sz w:val="28"/>
                <w:szCs w:val="28"/>
              </w:rPr>
            </w:pPr>
            <w:r>
              <w:rPr>
                <w:sz w:val="28"/>
                <w:szCs w:val="28"/>
              </w:rPr>
              <w:t>2021</w:t>
            </w:r>
          </w:p>
        </w:tc>
        <w:tc>
          <w:tcPr>
            <w:tcW w:w="2298" w:type="dxa"/>
          </w:tcPr>
          <w:p w14:paraId="3FB8D784" w14:textId="129F76D6" w:rsidR="00BB0D88" w:rsidRDefault="00BB0D88" w:rsidP="00BB0D88">
            <w:pPr>
              <w:rPr>
                <w:sz w:val="28"/>
                <w:szCs w:val="28"/>
              </w:rPr>
            </w:pPr>
            <w:r>
              <w:rPr>
                <w:sz w:val="28"/>
                <w:szCs w:val="28"/>
              </w:rPr>
              <w:t>5.0</w:t>
            </w:r>
          </w:p>
        </w:tc>
        <w:tc>
          <w:tcPr>
            <w:tcW w:w="2298" w:type="dxa"/>
          </w:tcPr>
          <w:p w14:paraId="3130C243" w14:textId="04D3F6E8" w:rsidR="00BB0D88" w:rsidRDefault="00BB0D88" w:rsidP="00BB0D88">
            <w:pPr>
              <w:rPr>
                <w:sz w:val="28"/>
                <w:szCs w:val="28"/>
              </w:rPr>
            </w:pPr>
            <w:r>
              <w:rPr>
                <w:sz w:val="28"/>
                <w:szCs w:val="28"/>
              </w:rPr>
              <w:t>22</w:t>
            </w:r>
          </w:p>
        </w:tc>
        <w:tc>
          <w:tcPr>
            <w:tcW w:w="2298" w:type="dxa"/>
          </w:tcPr>
          <w:p w14:paraId="36995FFA" w14:textId="52B3C725" w:rsidR="00BB0D88" w:rsidRDefault="00BB0D88" w:rsidP="00BB0D88">
            <w:pPr>
              <w:rPr>
                <w:sz w:val="28"/>
                <w:szCs w:val="28"/>
              </w:rPr>
            </w:pPr>
            <w:r>
              <w:rPr>
                <w:sz w:val="28"/>
                <w:szCs w:val="28"/>
              </w:rPr>
              <w:t>7</w:t>
            </w:r>
          </w:p>
        </w:tc>
      </w:tr>
      <w:tr w:rsidR="00BB0D88" w14:paraId="3D2A9E72" w14:textId="77777777" w:rsidTr="00E15F2C">
        <w:trPr>
          <w:trHeight w:val="375"/>
        </w:trPr>
        <w:tc>
          <w:tcPr>
            <w:tcW w:w="2298" w:type="dxa"/>
          </w:tcPr>
          <w:p w14:paraId="6FB3625D" w14:textId="3CE2D321" w:rsidR="00BB0D88" w:rsidRDefault="00BB0D88" w:rsidP="00BB0D88">
            <w:pPr>
              <w:rPr>
                <w:sz w:val="28"/>
                <w:szCs w:val="28"/>
              </w:rPr>
            </w:pPr>
            <w:r>
              <w:rPr>
                <w:sz w:val="28"/>
                <w:szCs w:val="28"/>
              </w:rPr>
              <w:t>2022</w:t>
            </w:r>
          </w:p>
        </w:tc>
        <w:tc>
          <w:tcPr>
            <w:tcW w:w="2298" w:type="dxa"/>
          </w:tcPr>
          <w:p w14:paraId="4FD1875D" w14:textId="67B6DC50" w:rsidR="00BB0D88" w:rsidRDefault="00BB0D88" w:rsidP="00BB0D88">
            <w:pPr>
              <w:rPr>
                <w:sz w:val="28"/>
                <w:szCs w:val="28"/>
              </w:rPr>
            </w:pPr>
            <w:r>
              <w:rPr>
                <w:sz w:val="28"/>
                <w:szCs w:val="28"/>
              </w:rPr>
              <w:t>5.2</w:t>
            </w:r>
          </w:p>
        </w:tc>
        <w:tc>
          <w:tcPr>
            <w:tcW w:w="2298" w:type="dxa"/>
          </w:tcPr>
          <w:p w14:paraId="3442E51C" w14:textId="394223B3" w:rsidR="00BB0D88" w:rsidRDefault="00BB0D88" w:rsidP="00BB0D88">
            <w:pPr>
              <w:rPr>
                <w:sz w:val="28"/>
                <w:szCs w:val="28"/>
              </w:rPr>
            </w:pPr>
            <w:r>
              <w:rPr>
                <w:sz w:val="28"/>
                <w:szCs w:val="28"/>
              </w:rPr>
              <w:t>23</w:t>
            </w:r>
          </w:p>
        </w:tc>
        <w:tc>
          <w:tcPr>
            <w:tcW w:w="2298" w:type="dxa"/>
          </w:tcPr>
          <w:p w14:paraId="055C3359" w14:textId="39605149" w:rsidR="00BB0D88" w:rsidRDefault="00BB0D88" w:rsidP="00BB0D88">
            <w:pPr>
              <w:rPr>
                <w:sz w:val="28"/>
                <w:szCs w:val="28"/>
              </w:rPr>
            </w:pPr>
            <w:r>
              <w:rPr>
                <w:sz w:val="28"/>
                <w:szCs w:val="28"/>
              </w:rPr>
              <w:t>5</w:t>
            </w:r>
          </w:p>
        </w:tc>
      </w:tr>
      <w:tr w:rsidR="00BB0D88" w14:paraId="3481999D" w14:textId="77777777" w:rsidTr="00E15F2C">
        <w:trPr>
          <w:trHeight w:val="375"/>
        </w:trPr>
        <w:tc>
          <w:tcPr>
            <w:tcW w:w="2298" w:type="dxa"/>
          </w:tcPr>
          <w:p w14:paraId="270D4F56" w14:textId="0F23856F" w:rsidR="00BB0D88" w:rsidRDefault="00BB0D88" w:rsidP="00BB0D88">
            <w:pPr>
              <w:rPr>
                <w:sz w:val="28"/>
                <w:szCs w:val="28"/>
              </w:rPr>
            </w:pPr>
            <w:r>
              <w:rPr>
                <w:sz w:val="28"/>
                <w:szCs w:val="28"/>
              </w:rPr>
              <w:t>2023</w:t>
            </w:r>
          </w:p>
        </w:tc>
        <w:tc>
          <w:tcPr>
            <w:tcW w:w="2298" w:type="dxa"/>
          </w:tcPr>
          <w:p w14:paraId="44A95A80" w14:textId="137A5BB1" w:rsidR="00BB0D88" w:rsidRDefault="00BB0D88" w:rsidP="00BB0D88">
            <w:pPr>
              <w:rPr>
                <w:sz w:val="28"/>
                <w:szCs w:val="28"/>
              </w:rPr>
            </w:pPr>
            <w:r>
              <w:rPr>
                <w:sz w:val="28"/>
                <w:szCs w:val="28"/>
              </w:rPr>
              <w:t>5.5</w:t>
            </w:r>
          </w:p>
        </w:tc>
        <w:tc>
          <w:tcPr>
            <w:tcW w:w="2298" w:type="dxa"/>
          </w:tcPr>
          <w:p w14:paraId="3001CC8C" w14:textId="4F96D22C" w:rsidR="00BB0D88" w:rsidRDefault="00BB0D88" w:rsidP="00BB0D88">
            <w:pPr>
              <w:rPr>
                <w:sz w:val="28"/>
                <w:szCs w:val="28"/>
              </w:rPr>
            </w:pPr>
            <w:r>
              <w:rPr>
                <w:sz w:val="28"/>
                <w:szCs w:val="28"/>
              </w:rPr>
              <w:t>24</w:t>
            </w:r>
          </w:p>
        </w:tc>
        <w:tc>
          <w:tcPr>
            <w:tcW w:w="2298" w:type="dxa"/>
          </w:tcPr>
          <w:p w14:paraId="5010EDDA" w14:textId="6809C15E" w:rsidR="00BB0D88" w:rsidRDefault="00BB0D88" w:rsidP="00BB0D88">
            <w:pPr>
              <w:rPr>
                <w:sz w:val="28"/>
                <w:szCs w:val="28"/>
              </w:rPr>
            </w:pPr>
            <w:r>
              <w:rPr>
                <w:sz w:val="28"/>
                <w:szCs w:val="28"/>
              </w:rPr>
              <w:t>6</w:t>
            </w:r>
          </w:p>
        </w:tc>
      </w:tr>
    </w:tbl>
    <w:p w14:paraId="5E6969E5" w14:textId="77777777" w:rsidR="00BB0D88" w:rsidRDefault="00BB0D88" w:rsidP="00BB0D88">
      <w:pPr>
        <w:rPr>
          <w:sz w:val="28"/>
          <w:szCs w:val="28"/>
        </w:rPr>
      </w:pPr>
    </w:p>
    <w:p w14:paraId="48509841" w14:textId="0A005B49" w:rsidR="00BB0D88" w:rsidRPr="00771572" w:rsidRDefault="00BB0D88" w:rsidP="00BB0D88">
      <w:pPr>
        <w:rPr>
          <w:b/>
          <w:bCs/>
          <w:sz w:val="28"/>
          <w:szCs w:val="28"/>
        </w:rPr>
      </w:pPr>
      <w:r w:rsidRPr="00771572">
        <w:rPr>
          <w:b/>
          <w:bCs/>
          <w:sz w:val="28"/>
          <w:szCs w:val="28"/>
        </w:rPr>
        <w:t>Graph: AUM and Revenue Over the Past Five Years</w:t>
      </w:r>
    </w:p>
    <w:p w14:paraId="76DC3908" w14:textId="079FB88E" w:rsidR="00BB0D88" w:rsidRDefault="00BB0D88" w:rsidP="00BB0D88">
      <w:pPr>
        <w:rPr>
          <w:sz w:val="28"/>
          <w:szCs w:val="28"/>
        </w:rPr>
      </w:pPr>
      <w:r>
        <w:rPr>
          <w:noProof/>
          <w:sz w:val="28"/>
          <w:szCs w:val="28"/>
        </w:rPr>
        <w:drawing>
          <wp:inline distT="0" distB="0" distL="0" distR="0" wp14:anchorId="1130DAFD" wp14:editId="15543874">
            <wp:extent cx="5144617" cy="3103684"/>
            <wp:effectExtent l="0" t="0" r="0" b="1905"/>
            <wp:docPr id="79271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83834" cy="3127343"/>
                    </a:xfrm>
                    <a:prstGeom prst="rect">
                      <a:avLst/>
                    </a:prstGeom>
                    <a:noFill/>
                  </pic:spPr>
                </pic:pic>
              </a:graphicData>
            </a:graphic>
          </wp:inline>
        </w:drawing>
      </w:r>
    </w:p>
    <w:p w14:paraId="733A6039" w14:textId="406EC176" w:rsidR="00BB0D88" w:rsidRPr="00BB0D88" w:rsidRDefault="00BB0D88" w:rsidP="00BB0D88">
      <w:pPr>
        <w:rPr>
          <w:sz w:val="28"/>
          <w:szCs w:val="28"/>
        </w:rPr>
      </w:pPr>
      <w:r w:rsidRPr="00BB0D88">
        <w:rPr>
          <w:sz w:val="28"/>
          <w:szCs w:val="28"/>
        </w:rPr>
        <w:t>The graph illustrates the steady growth in Assets Under Management (AUM) and revenue from wealth management operations over the past five years. From 2019 to 2023, AUM increased from $4.5 trillion to $5.5 trillion, reflecting the expansion of the wealth management sector. Similarly, revenue grew from $20 billion to $24 billion, indicating the rising demand for wealth management services. This growth is consistent with the increasing number of high-net-worth individuals (HNWIs) and their financial planning needs. The parallel upward trends of AUM and revenue highlight the robust health and expansion of wealth management services.</w:t>
      </w:r>
    </w:p>
    <w:p w14:paraId="56EB6873" w14:textId="77777777" w:rsidR="00BB0D88" w:rsidRDefault="00BB0D88" w:rsidP="00BB0D88">
      <w:pPr>
        <w:rPr>
          <w:sz w:val="28"/>
          <w:szCs w:val="28"/>
        </w:rPr>
      </w:pPr>
    </w:p>
    <w:p w14:paraId="7F3E1EEC" w14:textId="719CAD52" w:rsidR="00BB0D88" w:rsidRPr="00771572" w:rsidRDefault="00BB0D88" w:rsidP="00771572">
      <w:pPr>
        <w:jc w:val="center"/>
        <w:rPr>
          <w:b/>
          <w:bCs/>
          <w:sz w:val="40"/>
          <w:szCs w:val="40"/>
          <w:u w:val="double"/>
        </w:rPr>
      </w:pPr>
      <w:r w:rsidRPr="00771572">
        <w:rPr>
          <w:b/>
          <w:bCs/>
          <w:sz w:val="40"/>
          <w:szCs w:val="40"/>
          <w:u w:val="double"/>
        </w:rPr>
        <w:lastRenderedPageBreak/>
        <w:t>T</w:t>
      </w:r>
      <w:r w:rsidR="00771572" w:rsidRPr="00771572">
        <w:rPr>
          <w:b/>
          <w:bCs/>
          <w:sz w:val="40"/>
          <w:szCs w:val="40"/>
          <w:u w:val="double"/>
        </w:rPr>
        <w:t>REASURY</w:t>
      </w:r>
      <w:r w:rsidRPr="00771572">
        <w:rPr>
          <w:b/>
          <w:bCs/>
          <w:sz w:val="40"/>
          <w:szCs w:val="40"/>
          <w:u w:val="double"/>
        </w:rPr>
        <w:t xml:space="preserve"> M</w:t>
      </w:r>
      <w:r w:rsidR="00771572" w:rsidRPr="00771572">
        <w:rPr>
          <w:b/>
          <w:bCs/>
          <w:sz w:val="40"/>
          <w:szCs w:val="40"/>
          <w:u w:val="double"/>
        </w:rPr>
        <w:t>ANAGEMENT SERVICES</w:t>
      </w:r>
    </w:p>
    <w:p w14:paraId="0D3532B5" w14:textId="77777777" w:rsidR="00BB0D88" w:rsidRPr="00BB0D88" w:rsidRDefault="00BB0D88" w:rsidP="00BB0D88">
      <w:pPr>
        <w:rPr>
          <w:sz w:val="28"/>
          <w:szCs w:val="28"/>
        </w:rPr>
      </w:pPr>
    </w:p>
    <w:p w14:paraId="4CE6FDAE" w14:textId="77777777" w:rsidR="00BB0D88" w:rsidRPr="00BB0D88" w:rsidRDefault="00BB0D88" w:rsidP="00BB0D88">
      <w:pPr>
        <w:rPr>
          <w:sz w:val="28"/>
          <w:szCs w:val="28"/>
        </w:rPr>
      </w:pPr>
      <w:r w:rsidRPr="00BB0D88">
        <w:rPr>
          <w:sz w:val="28"/>
          <w:szCs w:val="28"/>
        </w:rPr>
        <w:t>Treasury management services are essential for managing an organization’s liquidity, mitigating financial risks, and optimizing cash flows. These services typically include:</w:t>
      </w:r>
    </w:p>
    <w:p w14:paraId="549ED154" w14:textId="77777777" w:rsidR="00BB0D88" w:rsidRPr="00BB0D88" w:rsidRDefault="00BB0D88" w:rsidP="00BB0D88">
      <w:pPr>
        <w:rPr>
          <w:sz w:val="28"/>
          <w:szCs w:val="28"/>
        </w:rPr>
      </w:pPr>
    </w:p>
    <w:p w14:paraId="6BD16A8A" w14:textId="26FFA071" w:rsidR="00BB0D88" w:rsidRPr="00BB0D88" w:rsidRDefault="00BB0D88" w:rsidP="00BB0D88">
      <w:pPr>
        <w:rPr>
          <w:sz w:val="28"/>
          <w:szCs w:val="28"/>
        </w:rPr>
      </w:pPr>
      <w:r w:rsidRPr="00771572">
        <w:rPr>
          <w:b/>
          <w:bCs/>
          <w:sz w:val="28"/>
          <w:szCs w:val="28"/>
        </w:rPr>
        <w:t>1. Cash Management:</w:t>
      </w:r>
      <w:r w:rsidRPr="00BB0D88">
        <w:rPr>
          <w:sz w:val="28"/>
          <w:szCs w:val="28"/>
        </w:rPr>
        <w:t xml:space="preserve"> Solutions for efficient collection, concentration, and disbursement of funds. This includes services like automated clearing house (ACH) transactions, wire transfers, and remote deposit capture.</w:t>
      </w:r>
    </w:p>
    <w:p w14:paraId="5BF126F8" w14:textId="77777777" w:rsidR="00BB0D88" w:rsidRPr="00BB0D88" w:rsidRDefault="00BB0D88" w:rsidP="00BB0D88">
      <w:pPr>
        <w:rPr>
          <w:sz w:val="28"/>
          <w:szCs w:val="28"/>
        </w:rPr>
      </w:pPr>
    </w:p>
    <w:p w14:paraId="4D70D53B" w14:textId="145234DF" w:rsidR="00BB0D88" w:rsidRPr="00BB0D88" w:rsidRDefault="00BB0D88" w:rsidP="00BB0D88">
      <w:pPr>
        <w:rPr>
          <w:sz w:val="28"/>
          <w:szCs w:val="28"/>
        </w:rPr>
      </w:pPr>
      <w:r w:rsidRPr="00771572">
        <w:rPr>
          <w:b/>
          <w:bCs/>
          <w:sz w:val="28"/>
          <w:szCs w:val="28"/>
        </w:rPr>
        <w:t>2. Liquidity Management:</w:t>
      </w:r>
      <w:r w:rsidRPr="00BB0D88">
        <w:rPr>
          <w:sz w:val="28"/>
          <w:szCs w:val="28"/>
        </w:rPr>
        <w:t xml:space="preserve"> Techniques to ensure that a company has sufficient cash flow to meet its short-term obligations, including sweep accounts and short-term investment options.</w:t>
      </w:r>
    </w:p>
    <w:p w14:paraId="7CB109CD" w14:textId="77777777" w:rsidR="00BB0D88" w:rsidRPr="00BB0D88" w:rsidRDefault="00BB0D88" w:rsidP="00BB0D88">
      <w:pPr>
        <w:rPr>
          <w:sz w:val="28"/>
          <w:szCs w:val="28"/>
        </w:rPr>
      </w:pPr>
    </w:p>
    <w:p w14:paraId="2ED207B7" w14:textId="4534BC38" w:rsidR="00BB0D88" w:rsidRPr="00BB0D88" w:rsidRDefault="00BB0D88" w:rsidP="00BB0D88">
      <w:pPr>
        <w:rPr>
          <w:sz w:val="28"/>
          <w:szCs w:val="28"/>
        </w:rPr>
      </w:pPr>
      <w:r w:rsidRPr="00771572">
        <w:rPr>
          <w:b/>
          <w:bCs/>
          <w:sz w:val="28"/>
          <w:szCs w:val="28"/>
        </w:rPr>
        <w:t>3. Payables Management:</w:t>
      </w:r>
      <w:r w:rsidRPr="00BB0D88">
        <w:rPr>
          <w:sz w:val="28"/>
          <w:szCs w:val="28"/>
        </w:rPr>
        <w:t xml:space="preserve"> Streamlining and automating the process of paying suppliers and other creditors, including electronic funds transfer (EFT), automated payments, and payroll services.</w:t>
      </w:r>
    </w:p>
    <w:p w14:paraId="4A7ED644" w14:textId="77777777" w:rsidR="00BB0D88" w:rsidRPr="00BB0D88" w:rsidRDefault="00BB0D88" w:rsidP="00BB0D88">
      <w:pPr>
        <w:rPr>
          <w:sz w:val="28"/>
          <w:szCs w:val="28"/>
        </w:rPr>
      </w:pPr>
    </w:p>
    <w:p w14:paraId="7EEEBFEC" w14:textId="21FF4113" w:rsidR="00BB0D88" w:rsidRPr="00BB0D88" w:rsidRDefault="00BB0D88" w:rsidP="00BB0D88">
      <w:pPr>
        <w:rPr>
          <w:sz w:val="28"/>
          <w:szCs w:val="28"/>
        </w:rPr>
      </w:pPr>
      <w:r w:rsidRPr="00771572">
        <w:rPr>
          <w:b/>
          <w:bCs/>
          <w:sz w:val="28"/>
          <w:szCs w:val="28"/>
        </w:rPr>
        <w:t>4. Receivables Management:</w:t>
      </w:r>
      <w:r w:rsidRPr="00BB0D88">
        <w:rPr>
          <w:sz w:val="28"/>
          <w:szCs w:val="28"/>
        </w:rPr>
        <w:t xml:space="preserve"> Enhancing the process of collecting payments from customers, including lockbox services, electronic invoicing, and integrated receivables solutions.</w:t>
      </w:r>
    </w:p>
    <w:p w14:paraId="2845BD0B" w14:textId="77777777" w:rsidR="00BB0D88" w:rsidRPr="00BB0D88" w:rsidRDefault="00BB0D88" w:rsidP="00BB0D88">
      <w:pPr>
        <w:rPr>
          <w:sz w:val="28"/>
          <w:szCs w:val="28"/>
        </w:rPr>
      </w:pPr>
    </w:p>
    <w:p w14:paraId="16720FA9" w14:textId="673D02DE" w:rsidR="00BB0D88" w:rsidRPr="00BB0D88" w:rsidRDefault="00BB0D88" w:rsidP="00BB0D88">
      <w:pPr>
        <w:rPr>
          <w:sz w:val="28"/>
          <w:szCs w:val="28"/>
        </w:rPr>
      </w:pPr>
      <w:r w:rsidRPr="00771572">
        <w:rPr>
          <w:b/>
          <w:bCs/>
          <w:sz w:val="28"/>
          <w:szCs w:val="28"/>
        </w:rPr>
        <w:t>5. Fraud Prevention and Risk Management:</w:t>
      </w:r>
      <w:r w:rsidRPr="00BB0D88">
        <w:rPr>
          <w:sz w:val="28"/>
          <w:szCs w:val="28"/>
        </w:rPr>
        <w:t xml:space="preserve"> Implementing measures to protect against fraud and financial risks, such as positive pay, account reconciliation services, and cybersecurity measures.</w:t>
      </w:r>
    </w:p>
    <w:p w14:paraId="30CF96DE" w14:textId="77777777" w:rsidR="00BB0D88" w:rsidRPr="00BB0D88" w:rsidRDefault="00BB0D88" w:rsidP="00BB0D88">
      <w:pPr>
        <w:rPr>
          <w:sz w:val="28"/>
          <w:szCs w:val="28"/>
        </w:rPr>
      </w:pPr>
    </w:p>
    <w:p w14:paraId="26DB9FA3" w14:textId="6C58B233" w:rsidR="00BB0D88" w:rsidRDefault="00BB0D88" w:rsidP="00BB0D88">
      <w:pPr>
        <w:rPr>
          <w:sz w:val="28"/>
          <w:szCs w:val="28"/>
        </w:rPr>
      </w:pPr>
      <w:r w:rsidRPr="00771572">
        <w:rPr>
          <w:b/>
          <w:bCs/>
          <w:sz w:val="28"/>
          <w:szCs w:val="28"/>
        </w:rPr>
        <w:t>6. Foreign Exchange Services:</w:t>
      </w:r>
      <w:r w:rsidRPr="00BB0D88">
        <w:rPr>
          <w:sz w:val="28"/>
          <w:szCs w:val="28"/>
        </w:rPr>
        <w:t xml:space="preserve"> Managing currency risk and facilitating international trade transactions through hedging strategies, foreign currency accounts, and cross-border payment solutions.</w:t>
      </w:r>
    </w:p>
    <w:p w14:paraId="4C71A3EF" w14:textId="77777777" w:rsidR="00E15F2C" w:rsidRDefault="00E15F2C" w:rsidP="00BB0D88">
      <w:pPr>
        <w:rPr>
          <w:sz w:val="28"/>
          <w:szCs w:val="28"/>
        </w:rPr>
      </w:pPr>
    </w:p>
    <w:p w14:paraId="2471D5AB" w14:textId="6C63ABEF" w:rsidR="00E15F2C" w:rsidRPr="00771572" w:rsidRDefault="00E15F2C" w:rsidP="00E15F2C">
      <w:pPr>
        <w:rPr>
          <w:b/>
          <w:bCs/>
          <w:sz w:val="28"/>
          <w:szCs w:val="28"/>
        </w:rPr>
      </w:pPr>
      <w:r w:rsidRPr="00771572">
        <w:rPr>
          <w:b/>
          <w:bCs/>
          <w:sz w:val="28"/>
          <w:szCs w:val="28"/>
        </w:rPr>
        <w:lastRenderedPageBreak/>
        <w:t xml:space="preserve">A comprehensive analysis of Treasury Management </w:t>
      </w:r>
      <w:r w:rsidRPr="00771572">
        <w:rPr>
          <w:b/>
          <w:bCs/>
          <w:sz w:val="28"/>
          <w:szCs w:val="28"/>
        </w:rPr>
        <w:t>O</w:t>
      </w:r>
      <w:r w:rsidRPr="00771572">
        <w:rPr>
          <w:b/>
          <w:bCs/>
          <w:sz w:val="28"/>
          <w:szCs w:val="28"/>
        </w:rPr>
        <w:t>perations,</w:t>
      </w:r>
    </w:p>
    <w:p w14:paraId="7E5319AB" w14:textId="75875B88" w:rsidR="00E15F2C" w:rsidRPr="00771572" w:rsidRDefault="00E15F2C" w:rsidP="00E15F2C">
      <w:pPr>
        <w:rPr>
          <w:b/>
          <w:bCs/>
          <w:sz w:val="28"/>
          <w:szCs w:val="28"/>
        </w:rPr>
      </w:pPr>
      <w:proofErr w:type="gramStart"/>
      <w:r w:rsidRPr="00771572">
        <w:rPr>
          <w:b/>
          <w:bCs/>
          <w:sz w:val="28"/>
          <w:szCs w:val="28"/>
        </w:rPr>
        <w:t>Table :</w:t>
      </w:r>
      <w:proofErr w:type="gramEnd"/>
      <w:r w:rsidRPr="00771572">
        <w:rPr>
          <w:b/>
          <w:bCs/>
          <w:sz w:val="28"/>
          <w:szCs w:val="28"/>
        </w:rPr>
        <w:t xml:space="preserve"> </w:t>
      </w:r>
      <w:r w:rsidRPr="00E15F2C">
        <w:rPr>
          <w:rFonts w:eastAsia="Times New Roman" w:cstheme="minorHAnsi"/>
          <w:b/>
          <w:bCs/>
          <w:kern w:val="0"/>
          <w:sz w:val="28"/>
          <w:szCs w:val="28"/>
          <w:lang w:eastAsia="en-IN"/>
          <w14:ligatures w14:val="none"/>
        </w:rPr>
        <w:t>Transaction Volumes and Revenue</w:t>
      </w:r>
    </w:p>
    <w:tbl>
      <w:tblPr>
        <w:tblStyle w:val="TableGrid"/>
        <w:tblW w:w="9326" w:type="dxa"/>
        <w:tblLook w:val="04A0" w:firstRow="1" w:lastRow="0" w:firstColumn="1" w:lastColumn="0" w:noHBand="0" w:noVBand="1"/>
      </w:tblPr>
      <w:tblGrid>
        <w:gridCol w:w="1865"/>
        <w:gridCol w:w="1865"/>
        <w:gridCol w:w="1865"/>
        <w:gridCol w:w="1865"/>
        <w:gridCol w:w="1866"/>
      </w:tblGrid>
      <w:tr w:rsidR="00E15F2C" w:rsidRPr="00771572" w14:paraId="79E37E79" w14:textId="77777777" w:rsidTr="00E15F2C">
        <w:trPr>
          <w:trHeight w:val="1168"/>
        </w:trPr>
        <w:tc>
          <w:tcPr>
            <w:tcW w:w="1865" w:type="dxa"/>
          </w:tcPr>
          <w:p w14:paraId="267E1561" w14:textId="248B3789" w:rsidR="00E15F2C" w:rsidRPr="00771572" w:rsidRDefault="00E15F2C" w:rsidP="00E15F2C">
            <w:pPr>
              <w:rPr>
                <w:b/>
                <w:bCs/>
                <w:sz w:val="28"/>
                <w:szCs w:val="28"/>
              </w:rPr>
            </w:pPr>
            <w:r w:rsidRPr="00771572">
              <w:rPr>
                <w:b/>
                <w:bCs/>
                <w:sz w:val="28"/>
                <w:szCs w:val="28"/>
              </w:rPr>
              <w:t>Year</w:t>
            </w:r>
          </w:p>
        </w:tc>
        <w:tc>
          <w:tcPr>
            <w:tcW w:w="1865" w:type="dxa"/>
          </w:tcPr>
          <w:p w14:paraId="4E06F9A9" w14:textId="12E5958B" w:rsidR="00E15F2C" w:rsidRPr="00771572" w:rsidRDefault="00E15F2C" w:rsidP="00E15F2C">
            <w:pPr>
              <w:rPr>
                <w:b/>
                <w:bCs/>
                <w:sz w:val="28"/>
                <w:szCs w:val="28"/>
              </w:rPr>
            </w:pPr>
            <w:r w:rsidRPr="00771572">
              <w:rPr>
                <w:b/>
                <w:bCs/>
                <w:sz w:val="28"/>
                <w:szCs w:val="28"/>
              </w:rPr>
              <w:t>ACH Transactions (in billions)</w:t>
            </w:r>
          </w:p>
        </w:tc>
        <w:tc>
          <w:tcPr>
            <w:tcW w:w="1865" w:type="dxa"/>
          </w:tcPr>
          <w:p w14:paraId="7CA4B6E9" w14:textId="138D4D6D" w:rsidR="00E15F2C" w:rsidRPr="00771572" w:rsidRDefault="00E15F2C" w:rsidP="00E15F2C">
            <w:pPr>
              <w:rPr>
                <w:b/>
                <w:bCs/>
                <w:sz w:val="28"/>
                <w:szCs w:val="28"/>
              </w:rPr>
            </w:pPr>
            <w:r w:rsidRPr="00771572">
              <w:rPr>
                <w:b/>
                <w:bCs/>
                <w:sz w:val="28"/>
                <w:szCs w:val="28"/>
              </w:rPr>
              <w:t>Wire Transfers (in trillions)</w:t>
            </w:r>
          </w:p>
        </w:tc>
        <w:tc>
          <w:tcPr>
            <w:tcW w:w="1865" w:type="dxa"/>
          </w:tcPr>
          <w:p w14:paraId="560A05C6" w14:textId="0C5727C8" w:rsidR="00E15F2C" w:rsidRPr="00771572" w:rsidRDefault="00E15F2C" w:rsidP="00E15F2C">
            <w:pPr>
              <w:rPr>
                <w:b/>
                <w:bCs/>
                <w:sz w:val="28"/>
                <w:szCs w:val="28"/>
              </w:rPr>
            </w:pPr>
            <w:r w:rsidRPr="00771572">
              <w:rPr>
                <w:b/>
                <w:bCs/>
                <w:sz w:val="28"/>
                <w:szCs w:val="28"/>
              </w:rPr>
              <w:t>Revenue (in billions)</w:t>
            </w:r>
          </w:p>
        </w:tc>
        <w:tc>
          <w:tcPr>
            <w:tcW w:w="1866" w:type="dxa"/>
          </w:tcPr>
          <w:p w14:paraId="598C63F4" w14:textId="21BE160D" w:rsidR="00E15F2C" w:rsidRPr="00771572" w:rsidRDefault="00E15F2C" w:rsidP="00E15F2C">
            <w:pPr>
              <w:rPr>
                <w:b/>
                <w:bCs/>
                <w:sz w:val="28"/>
                <w:szCs w:val="28"/>
              </w:rPr>
            </w:pPr>
            <w:r w:rsidRPr="00771572">
              <w:rPr>
                <w:b/>
                <w:bCs/>
                <w:sz w:val="28"/>
                <w:szCs w:val="28"/>
              </w:rPr>
              <w:t>Adoption Rate of E-payments (%)</w:t>
            </w:r>
          </w:p>
        </w:tc>
      </w:tr>
      <w:tr w:rsidR="00E15F2C" w14:paraId="24C69359" w14:textId="77777777" w:rsidTr="00E15F2C">
        <w:trPr>
          <w:trHeight w:val="398"/>
        </w:trPr>
        <w:tc>
          <w:tcPr>
            <w:tcW w:w="1865" w:type="dxa"/>
          </w:tcPr>
          <w:p w14:paraId="3E8708A9" w14:textId="4A3EE776" w:rsidR="00E15F2C" w:rsidRPr="00BB0D88" w:rsidRDefault="00E15F2C" w:rsidP="00E15F2C">
            <w:pPr>
              <w:rPr>
                <w:sz w:val="28"/>
                <w:szCs w:val="28"/>
              </w:rPr>
            </w:pPr>
            <w:r>
              <w:rPr>
                <w:sz w:val="28"/>
                <w:szCs w:val="28"/>
              </w:rPr>
              <w:t>2019</w:t>
            </w:r>
          </w:p>
        </w:tc>
        <w:tc>
          <w:tcPr>
            <w:tcW w:w="1865" w:type="dxa"/>
          </w:tcPr>
          <w:p w14:paraId="5D640B6B" w14:textId="101072F1" w:rsidR="00E15F2C" w:rsidRPr="00BB0D88" w:rsidRDefault="00E15F2C" w:rsidP="00E15F2C">
            <w:pPr>
              <w:rPr>
                <w:sz w:val="28"/>
                <w:szCs w:val="28"/>
              </w:rPr>
            </w:pPr>
            <w:r>
              <w:rPr>
                <w:sz w:val="28"/>
                <w:szCs w:val="28"/>
              </w:rPr>
              <w:t>24</w:t>
            </w:r>
          </w:p>
        </w:tc>
        <w:tc>
          <w:tcPr>
            <w:tcW w:w="1865" w:type="dxa"/>
          </w:tcPr>
          <w:p w14:paraId="6216E169" w14:textId="177621D3" w:rsidR="00E15F2C" w:rsidRPr="00BB0D88" w:rsidRDefault="00E15F2C" w:rsidP="00E15F2C">
            <w:pPr>
              <w:rPr>
                <w:sz w:val="28"/>
                <w:szCs w:val="28"/>
              </w:rPr>
            </w:pPr>
            <w:r>
              <w:rPr>
                <w:sz w:val="28"/>
                <w:szCs w:val="28"/>
              </w:rPr>
              <w:t>1.7</w:t>
            </w:r>
          </w:p>
        </w:tc>
        <w:tc>
          <w:tcPr>
            <w:tcW w:w="1865" w:type="dxa"/>
          </w:tcPr>
          <w:p w14:paraId="22D2554F" w14:textId="29FC6BC1" w:rsidR="00E15F2C" w:rsidRPr="00BB0D88" w:rsidRDefault="00E15F2C" w:rsidP="00E15F2C">
            <w:pPr>
              <w:rPr>
                <w:sz w:val="28"/>
                <w:szCs w:val="28"/>
              </w:rPr>
            </w:pPr>
            <w:r>
              <w:rPr>
                <w:sz w:val="28"/>
                <w:szCs w:val="28"/>
              </w:rPr>
              <w:t>8</w:t>
            </w:r>
          </w:p>
        </w:tc>
        <w:tc>
          <w:tcPr>
            <w:tcW w:w="1866" w:type="dxa"/>
          </w:tcPr>
          <w:p w14:paraId="7A1F7B35" w14:textId="4F0B0D04" w:rsidR="00E15F2C" w:rsidRPr="00BB0D88" w:rsidRDefault="00E15F2C" w:rsidP="00E15F2C">
            <w:pPr>
              <w:rPr>
                <w:sz w:val="28"/>
                <w:szCs w:val="28"/>
              </w:rPr>
            </w:pPr>
            <w:r>
              <w:rPr>
                <w:sz w:val="28"/>
                <w:szCs w:val="28"/>
              </w:rPr>
              <w:t>60</w:t>
            </w:r>
          </w:p>
        </w:tc>
      </w:tr>
      <w:tr w:rsidR="00E15F2C" w14:paraId="116E3F5A" w14:textId="77777777" w:rsidTr="00E15F2C">
        <w:trPr>
          <w:trHeight w:val="385"/>
        </w:trPr>
        <w:tc>
          <w:tcPr>
            <w:tcW w:w="1865" w:type="dxa"/>
          </w:tcPr>
          <w:p w14:paraId="17E09728" w14:textId="1C377380" w:rsidR="00E15F2C" w:rsidRDefault="00E15F2C" w:rsidP="00E15F2C">
            <w:pPr>
              <w:rPr>
                <w:sz w:val="28"/>
                <w:szCs w:val="28"/>
              </w:rPr>
            </w:pPr>
            <w:r>
              <w:rPr>
                <w:sz w:val="28"/>
                <w:szCs w:val="28"/>
              </w:rPr>
              <w:t>2020</w:t>
            </w:r>
          </w:p>
        </w:tc>
        <w:tc>
          <w:tcPr>
            <w:tcW w:w="1865" w:type="dxa"/>
          </w:tcPr>
          <w:p w14:paraId="1E1384EB" w14:textId="185D90CF" w:rsidR="00E15F2C" w:rsidRDefault="00E15F2C" w:rsidP="00E15F2C">
            <w:pPr>
              <w:rPr>
                <w:sz w:val="28"/>
                <w:szCs w:val="28"/>
              </w:rPr>
            </w:pPr>
            <w:r>
              <w:rPr>
                <w:sz w:val="28"/>
                <w:szCs w:val="28"/>
              </w:rPr>
              <w:t>26</w:t>
            </w:r>
          </w:p>
        </w:tc>
        <w:tc>
          <w:tcPr>
            <w:tcW w:w="1865" w:type="dxa"/>
          </w:tcPr>
          <w:p w14:paraId="6DDEE55D" w14:textId="1F3EF635" w:rsidR="00E15F2C" w:rsidRDefault="00E15F2C" w:rsidP="00E15F2C">
            <w:pPr>
              <w:rPr>
                <w:sz w:val="28"/>
                <w:szCs w:val="28"/>
              </w:rPr>
            </w:pPr>
            <w:r>
              <w:rPr>
                <w:sz w:val="28"/>
                <w:szCs w:val="28"/>
              </w:rPr>
              <w:t>1.8</w:t>
            </w:r>
          </w:p>
        </w:tc>
        <w:tc>
          <w:tcPr>
            <w:tcW w:w="1865" w:type="dxa"/>
          </w:tcPr>
          <w:p w14:paraId="1B121141" w14:textId="4D780487" w:rsidR="00E15F2C" w:rsidRDefault="00E15F2C" w:rsidP="00E15F2C">
            <w:pPr>
              <w:rPr>
                <w:sz w:val="28"/>
                <w:szCs w:val="28"/>
              </w:rPr>
            </w:pPr>
            <w:r>
              <w:rPr>
                <w:sz w:val="28"/>
                <w:szCs w:val="28"/>
              </w:rPr>
              <w:t>9</w:t>
            </w:r>
          </w:p>
        </w:tc>
        <w:tc>
          <w:tcPr>
            <w:tcW w:w="1866" w:type="dxa"/>
          </w:tcPr>
          <w:p w14:paraId="1F2CB6D1" w14:textId="4A31AE13" w:rsidR="00E15F2C" w:rsidRDefault="00E15F2C" w:rsidP="00E15F2C">
            <w:pPr>
              <w:rPr>
                <w:sz w:val="28"/>
                <w:szCs w:val="28"/>
              </w:rPr>
            </w:pPr>
            <w:r>
              <w:rPr>
                <w:sz w:val="28"/>
                <w:szCs w:val="28"/>
              </w:rPr>
              <w:t>63</w:t>
            </w:r>
          </w:p>
        </w:tc>
      </w:tr>
      <w:tr w:rsidR="00E15F2C" w14:paraId="32AAA922" w14:textId="77777777" w:rsidTr="00E15F2C">
        <w:trPr>
          <w:trHeight w:val="385"/>
        </w:trPr>
        <w:tc>
          <w:tcPr>
            <w:tcW w:w="1865" w:type="dxa"/>
          </w:tcPr>
          <w:p w14:paraId="4CD71F61" w14:textId="658C87D5" w:rsidR="00E15F2C" w:rsidRDefault="00E15F2C" w:rsidP="00E15F2C">
            <w:pPr>
              <w:rPr>
                <w:sz w:val="28"/>
                <w:szCs w:val="28"/>
              </w:rPr>
            </w:pPr>
            <w:r>
              <w:rPr>
                <w:sz w:val="28"/>
                <w:szCs w:val="28"/>
              </w:rPr>
              <w:t>2021</w:t>
            </w:r>
          </w:p>
        </w:tc>
        <w:tc>
          <w:tcPr>
            <w:tcW w:w="1865" w:type="dxa"/>
          </w:tcPr>
          <w:p w14:paraId="73DBB4C3" w14:textId="58D6299F" w:rsidR="00E15F2C" w:rsidRDefault="00E15F2C" w:rsidP="00E15F2C">
            <w:pPr>
              <w:rPr>
                <w:sz w:val="28"/>
                <w:szCs w:val="28"/>
              </w:rPr>
            </w:pPr>
            <w:r>
              <w:rPr>
                <w:sz w:val="28"/>
                <w:szCs w:val="28"/>
              </w:rPr>
              <w:t>28</w:t>
            </w:r>
          </w:p>
        </w:tc>
        <w:tc>
          <w:tcPr>
            <w:tcW w:w="1865" w:type="dxa"/>
          </w:tcPr>
          <w:p w14:paraId="4EB28597" w14:textId="65E0B5BC" w:rsidR="00E15F2C" w:rsidRDefault="00E15F2C" w:rsidP="00E15F2C">
            <w:pPr>
              <w:rPr>
                <w:sz w:val="28"/>
                <w:szCs w:val="28"/>
              </w:rPr>
            </w:pPr>
            <w:r>
              <w:rPr>
                <w:sz w:val="28"/>
                <w:szCs w:val="28"/>
              </w:rPr>
              <w:t>2.0</w:t>
            </w:r>
          </w:p>
        </w:tc>
        <w:tc>
          <w:tcPr>
            <w:tcW w:w="1865" w:type="dxa"/>
          </w:tcPr>
          <w:p w14:paraId="31BBC94C" w14:textId="029265DA" w:rsidR="00E15F2C" w:rsidRDefault="00E15F2C" w:rsidP="00E15F2C">
            <w:pPr>
              <w:rPr>
                <w:sz w:val="28"/>
                <w:szCs w:val="28"/>
              </w:rPr>
            </w:pPr>
            <w:r>
              <w:rPr>
                <w:sz w:val="28"/>
                <w:szCs w:val="28"/>
              </w:rPr>
              <w:t>10</w:t>
            </w:r>
          </w:p>
        </w:tc>
        <w:tc>
          <w:tcPr>
            <w:tcW w:w="1866" w:type="dxa"/>
          </w:tcPr>
          <w:p w14:paraId="0C26417A" w14:textId="284F2B3C" w:rsidR="00E15F2C" w:rsidRDefault="00E15F2C" w:rsidP="00E15F2C">
            <w:pPr>
              <w:rPr>
                <w:sz w:val="28"/>
                <w:szCs w:val="28"/>
              </w:rPr>
            </w:pPr>
            <w:r>
              <w:rPr>
                <w:sz w:val="28"/>
                <w:szCs w:val="28"/>
              </w:rPr>
              <w:t>65</w:t>
            </w:r>
          </w:p>
        </w:tc>
      </w:tr>
      <w:tr w:rsidR="00E15F2C" w14:paraId="388A0881" w14:textId="77777777" w:rsidTr="00E15F2C">
        <w:trPr>
          <w:trHeight w:val="398"/>
        </w:trPr>
        <w:tc>
          <w:tcPr>
            <w:tcW w:w="1865" w:type="dxa"/>
          </w:tcPr>
          <w:p w14:paraId="076BACE0" w14:textId="0B715B5F" w:rsidR="00E15F2C" w:rsidRDefault="00E15F2C" w:rsidP="00E15F2C">
            <w:pPr>
              <w:rPr>
                <w:sz w:val="28"/>
                <w:szCs w:val="28"/>
              </w:rPr>
            </w:pPr>
            <w:r>
              <w:rPr>
                <w:sz w:val="28"/>
                <w:szCs w:val="28"/>
              </w:rPr>
              <w:t>2022</w:t>
            </w:r>
          </w:p>
        </w:tc>
        <w:tc>
          <w:tcPr>
            <w:tcW w:w="1865" w:type="dxa"/>
          </w:tcPr>
          <w:p w14:paraId="48D3B815" w14:textId="06F526F2" w:rsidR="00E15F2C" w:rsidRDefault="00E15F2C" w:rsidP="00E15F2C">
            <w:pPr>
              <w:rPr>
                <w:sz w:val="28"/>
                <w:szCs w:val="28"/>
              </w:rPr>
            </w:pPr>
            <w:r>
              <w:rPr>
                <w:sz w:val="28"/>
                <w:szCs w:val="28"/>
              </w:rPr>
              <w:t>30</w:t>
            </w:r>
          </w:p>
        </w:tc>
        <w:tc>
          <w:tcPr>
            <w:tcW w:w="1865" w:type="dxa"/>
          </w:tcPr>
          <w:p w14:paraId="7D49EBFF" w14:textId="54339443" w:rsidR="00E15F2C" w:rsidRDefault="00E15F2C" w:rsidP="00E15F2C">
            <w:pPr>
              <w:rPr>
                <w:sz w:val="28"/>
                <w:szCs w:val="28"/>
              </w:rPr>
            </w:pPr>
            <w:r>
              <w:rPr>
                <w:sz w:val="28"/>
                <w:szCs w:val="28"/>
              </w:rPr>
              <w:t>2.1</w:t>
            </w:r>
          </w:p>
        </w:tc>
        <w:tc>
          <w:tcPr>
            <w:tcW w:w="1865" w:type="dxa"/>
          </w:tcPr>
          <w:p w14:paraId="17EF84D5" w14:textId="74F71EC5" w:rsidR="00E15F2C" w:rsidRDefault="00E15F2C" w:rsidP="00E15F2C">
            <w:pPr>
              <w:rPr>
                <w:sz w:val="28"/>
                <w:szCs w:val="28"/>
              </w:rPr>
            </w:pPr>
            <w:r>
              <w:rPr>
                <w:sz w:val="28"/>
                <w:szCs w:val="28"/>
              </w:rPr>
              <w:t>11</w:t>
            </w:r>
          </w:p>
        </w:tc>
        <w:tc>
          <w:tcPr>
            <w:tcW w:w="1866" w:type="dxa"/>
          </w:tcPr>
          <w:p w14:paraId="5AC7A822" w14:textId="6E90840A" w:rsidR="00E15F2C" w:rsidRDefault="00E15F2C" w:rsidP="00E15F2C">
            <w:pPr>
              <w:rPr>
                <w:sz w:val="28"/>
                <w:szCs w:val="28"/>
              </w:rPr>
            </w:pPr>
            <w:r>
              <w:rPr>
                <w:sz w:val="28"/>
                <w:szCs w:val="28"/>
              </w:rPr>
              <w:t>67</w:t>
            </w:r>
          </w:p>
        </w:tc>
      </w:tr>
      <w:tr w:rsidR="00E15F2C" w14:paraId="269A432A" w14:textId="77777777" w:rsidTr="00E15F2C">
        <w:trPr>
          <w:trHeight w:val="385"/>
        </w:trPr>
        <w:tc>
          <w:tcPr>
            <w:tcW w:w="1865" w:type="dxa"/>
          </w:tcPr>
          <w:p w14:paraId="24BC8CC2" w14:textId="30FF443D" w:rsidR="00E15F2C" w:rsidRDefault="00E15F2C" w:rsidP="00E15F2C">
            <w:pPr>
              <w:rPr>
                <w:sz w:val="28"/>
                <w:szCs w:val="28"/>
              </w:rPr>
            </w:pPr>
            <w:r>
              <w:rPr>
                <w:sz w:val="28"/>
                <w:szCs w:val="28"/>
              </w:rPr>
              <w:t>2023</w:t>
            </w:r>
          </w:p>
        </w:tc>
        <w:tc>
          <w:tcPr>
            <w:tcW w:w="1865" w:type="dxa"/>
          </w:tcPr>
          <w:p w14:paraId="7070C457" w14:textId="5ADDCF88" w:rsidR="00E15F2C" w:rsidRDefault="00E15F2C" w:rsidP="00E15F2C">
            <w:pPr>
              <w:rPr>
                <w:sz w:val="28"/>
                <w:szCs w:val="28"/>
              </w:rPr>
            </w:pPr>
            <w:r>
              <w:rPr>
                <w:sz w:val="28"/>
                <w:szCs w:val="28"/>
              </w:rPr>
              <w:t>32</w:t>
            </w:r>
          </w:p>
        </w:tc>
        <w:tc>
          <w:tcPr>
            <w:tcW w:w="1865" w:type="dxa"/>
          </w:tcPr>
          <w:p w14:paraId="312943F4" w14:textId="7ECB45BA" w:rsidR="00E15F2C" w:rsidRDefault="00E15F2C" w:rsidP="00E15F2C">
            <w:pPr>
              <w:rPr>
                <w:sz w:val="28"/>
                <w:szCs w:val="28"/>
              </w:rPr>
            </w:pPr>
            <w:r>
              <w:rPr>
                <w:sz w:val="28"/>
                <w:szCs w:val="28"/>
              </w:rPr>
              <w:t>2.3</w:t>
            </w:r>
          </w:p>
        </w:tc>
        <w:tc>
          <w:tcPr>
            <w:tcW w:w="1865" w:type="dxa"/>
          </w:tcPr>
          <w:p w14:paraId="1720B558" w14:textId="24CA2C20" w:rsidR="00E15F2C" w:rsidRDefault="00E15F2C" w:rsidP="00E15F2C">
            <w:pPr>
              <w:rPr>
                <w:sz w:val="28"/>
                <w:szCs w:val="28"/>
              </w:rPr>
            </w:pPr>
            <w:r>
              <w:rPr>
                <w:sz w:val="28"/>
                <w:szCs w:val="28"/>
              </w:rPr>
              <w:t>12</w:t>
            </w:r>
          </w:p>
        </w:tc>
        <w:tc>
          <w:tcPr>
            <w:tcW w:w="1866" w:type="dxa"/>
          </w:tcPr>
          <w:p w14:paraId="5CD9B24E" w14:textId="078ECBCC" w:rsidR="00E15F2C" w:rsidRDefault="00E15F2C" w:rsidP="00E15F2C">
            <w:pPr>
              <w:rPr>
                <w:sz w:val="28"/>
                <w:szCs w:val="28"/>
              </w:rPr>
            </w:pPr>
            <w:r>
              <w:rPr>
                <w:sz w:val="28"/>
                <w:szCs w:val="28"/>
              </w:rPr>
              <w:t>70</w:t>
            </w:r>
          </w:p>
        </w:tc>
      </w:tr>
    </w:tbl>
    <w:p w14:paraId="43E6F54B" w14:textId="77777777" w:rsidR="00E15F2C" w:rsidRDefault="00E15F2C" w:rsidP="00E15F2C">
      <w:pPr>
        <w:rPr>
          <w:sz w:val="28"/>
          <w:szCs w:val="28"/>
        </w:rPr>
      </w:pPr>
    </w:p>
    <w:p w14:paraId="0F752A12" w14:textId="71B689CF" w:rsidR="00E15F2C" w:rsidRDefault="00E15F2C" w:rsidP="00E15F2C">
      <w:pPr>
        <w:rPr>
          <w:sz w:val="28"/>
          <w:szCs w:val="28"/>
        </w:rPr>
      </w:pPr>
      <w:r>
        <w:rPr>
          <w:noProof/>
          <w:sz w:val="28"/>
          <w:szCs w:val="28"/>
        </w:rPr>
        <w:drawing>
          <wp:inline distT="0" distB="0" distL="0" distR="0" wp14:anchorId="54F36D8E" wp14:editId="4C83FC75">
            <wp:extent cx="5814060" cy="3390900"/>
            <wp:effectExtent l="0" t="0" r="0" b="0"/>
            <wp:docPr id="637086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1430" cy="3418527"/>
                    </a:xfrm>
                    <a:prstGeom prst="rect">
                      <a:avLst/>
                    </a:prstGeom>
                    <a:noFill/>
                  </pic:spPr>
                </pic:pic>
              </a:graphicData>
            </a:graphic>
          </wp:inline>
        </w:drawing>
      </w:r>
    </w:p>
    <w:p w14:paraId="6CE95120" w14:textId="58E8B6C0" w:rsidR="00E15F2C" w:rsidRPr="00E15F2C" w:rsidRDefault="00E15F2C" w:rsidP="00BB0D88">
      <w:pPr>
        <w:rPr>
          <w:sz w:val="28"/>
          <w:szCs w:val="28"/>
        </w:rPr>
      </w:pPr>
      <w:r w:rsidRPr="00E15F2C">
        <w:rPr>
          <w:sz w:val="28"/>
          <w:szCs w:val="28"/>
        </w:rPr>
        <w:t>The graph shows the increase in ACH transactions, wire transfers, and revenue from treasury management services between 2019 and 2023. ACH transactions rose from 24 billion to 32 billion, while wire transfers increased from $1.7 trillion to $2.3 trillion, reflecting the growing use of electronic payment solutions. Revenue from these services also saw a significant rise from $8 billion to $12 billion, indicating the enhanced adoption and reliance on treasury management services. The consistent upward trajectory across all metrics highlights the expanding role of electronic payments and the financial sector's adaptation to digital solutions.</w:t>
      </w:r>
    </w:p>
    <w:p w14:paraId="449B136D" w14:textId="055E0FA6" w:rsidR="00BB0D88" w:rsidRPr="00771572" w:rsidRDefault="00BB0D88" w:rsidP="00771572">
      <w:pPr>
        <w:jc w:val="center"/>
        <w:rPr>
          <w:b/>
          <w:bCs/>
          <w:sz w:val="40"/>
          <w:szCs w:val="40"/>
          <w:u w:val="double"/>
        </w:rPr>
      </w:pPr>
      <w:r w:rsidRPr="00771572">
        <w:rPr>
          <w:b/>
          <w:bCs/>
          <w:sz w:val="40"/>
          <w:szCs w:val="40"/>
          <w:u w:val="double"/>
        </w:rPr>
        <w:lastRenderedPageBreak/>
        <w:t>R</w:t>
      </w:r>
      <w:r w:rsidR="00771572" w:rsidRPr="00771572">
        <w:rPr>
          <w:b/>
          <w:bCs/>
          <w:sz w:val="40"/>
          <w:szCs w:val="40"/>
          <w:u w:val="double"/>
        </w:rPr>
        <w:t>ISK</w:t>
      </w:r>
      <w:r w:rsidRPr="00771572">
        <w:rPr>
          <w:b/>
          <w:bCs/>
          <w:sz w:val="40"/>
          <w:szCs w:val="40"/>
          <w:u w:val="double"/>
        </w:rPr>
        <w:t xml:space="preserve"> </w:t>
      </w:r>
      <w:r w:rsidR="00771572" w:rsidRPr="00771572">
        <w:rPr>
          <w:b/>
          <w:bCs/>
          <w:sz w:val="40"/>
          <w:szCs w:val="40"/>
          <w:u w:val="double"/>
        </w:rPr>
        <w:t>MANAGEMENT</w:t>
      </w:r>
      <w:r w:rsidRPr="00771572">
        <w:rPr>
          <w:b/>
          <w:bCs/>
          <w:sz w:val="40"/>
          <w:szCs w:val="40"/>
          <w:u w:val="double"/>
        </w:rPr>
        <w:t xml:space="preserve"> </w:t>
      </w:r>
      <w:r w:rsidR="00771572" w:rsidRPr="00771572">
        <w:rPr>
          <w:b/>
          <w:bCs/>
          <w:sz w:val="40"/>
          <w:szCs w:val="40"/>
          <w:u w:val="double"/>
        </w:rPr>
        <w:t>IN</w:t>
      </w:r>
      <w:r w:rsidRPr="00771572">
        <w:rPr>
          <w:b/>
          <w:bCs/>
          <w:sz w:val="40"/>
          <w:szCs w:val="40"/>
          <w:u w:val="double"/>
        </w:rPr>
        <w:t xml:space="preserve"> U.S. B</w:t>
      </w:r>
      <w:r w:rsidR="00771572" w:rsidRPr="00771572">
        <w:rPr>
          <w:b/>
          <w:bCs/>
          <w:sz w:val="40"/>
          <w:szCs w:val="40"/>
          <w:u w:val="double"/>
        </w:rPr>
        <w:t>ANKING OPERATIONS</w:t>
      </w:r>
    </w:p>
    <w:p w14:paraId="0C451A90" w14:textId="77777777" w:rsidR="00BB0D88" w:rsidRPr="00BB0D88" w:rsidRDefault="00BB0D88" w:rsidP="00BB0D88">
      <w:pPr>
        <w:rPr>
          <w:sz w:val="28"/>
          <w:szCs w:val="28"/>
        </w:rPr>
      </w:pPr>
    </w:p>
    <w:p w14:paraId="5218B13F" w14:textId="77777777" w:rsidR="00BB0D88" w:rsidRPr="00BB0D88" w:rsidRDefault="00BB0D88" w:rsidP="00BB0D88">
      <w:pPr>
        <w:rPr>
          <w:sz w:val="28"/>
          <w:szCs w:val="28"/>
        </w:rPr>
      </w:pPr>
      <w:r w:rsidRPr="00BB0D88">
        <w:rPr>
          <w:sz w:val="28"/>
          <w:szCs w:val="28"/>
        </w:rPr>
        <w:t>Risk management in U.S. banking operations involves identifying, assessing, and mitigating risks that could impact the bank’s financial health and operational stability. Key areas include:</w:t>
      </w:r>
    </w:p>
    <w:p w14:paraId="18549ACD" w14:textId="77777777" w:rsidR="00BB0D88" w:rsidRPr="00BB0D88" w:rsidRDefault="00BB0D88" w:rsidP="00BB0D88">
      <w:pPr>
        <w:rPr>
          <w:sz w:val="28"/>
          <w:szCs w:val="28"/>
        </w:rPr>
      </w:pPr>
    </w:p>
    <w:p w14:paraId="00C366F2" w14:textId="590EDBB8" w:rsidR="00BB0D88" w:rsidRPr="00BB0D88" w:rsidRDefault="00BB0D88" w:rsidP="00BB0D88">
      <w:pPr>
        <w:rPr>
          <w:sz w:val="28"/>
          <w:szCs w:val="28"/>
        </w:rPr>
      </w:pPr>
      <w:r w:rsidRPr="00771572">
        <w:rPr>
          <w:b/>
          <w:bCs/>
          <w:sz w:val="28"/>
          <w:szCs w:val="28"/>
        </w:rPr>
        <w:t>1. Credit Risk:</w:t>
      </w:r>
      <w:r w:rsidRPr="00BB0D88">
        <w:rPr>
          <w:sz w:val="28"/>
          <w:szCs w:val="28"/>
        </w:rPr>
        <w:t xml:space="preserve"> The risk of loss due to a borrower’s failure to repay a loan. Banks manage this through credit analysis, credit scoring, diversification of the loan portfolio, and setting appropriate credit limits.</w:t>
      </w:r>
    </w:p>
    <w:p w14:paraId="6350F56E" w14:textId="77777777" w:rsidR="00BB0D88" w:rsidRPr="00BB0D88" w:rsidRDefault="00BB0D88" w:rsidP="00BB0D88">
      <w:pPr>
        <w:rPr>
          <w:sz w:val="28"/>
          <w:szCs w:val="28"/>
        </w:rPr>
      </w:pPr>
    </w:p>
    <w:p w14:paraId="33E45A8C" w14:textId="4495BEF5" w:rsidR="00BB0D88" w:rsidRPr="00BB0D88" w:rsidRDefault="00BB0D88" w:rsidP="00BB0D88">
      <w:pPr>
        <w:rPr>
          <w:sz w:val="28"/>
          <w:szCs w:val="28"/>
        </w:rPr>
      </w:pPr>
      <w:r w:rsidRPr="00771572">
        <w:rPr>
          <w:b/>
          <w:bCs/>
          <w:sz w:val="28"/>
          <w:szCs w:val="28"/>
        </w:rPr>
        <w:t>2. Market Risk:</w:t>
      </w:r>
      <w:r w:rsidRPr="00BB0D88">
        <w:rPr>
          <w:sz w:val="28"/>
          <w:szCs w:val="28"/>
        </w:rPr>
        <w:t xml:space="preserve"> The risk of losses due to changes in market prices, including interest rates, foreign exchange rates, and equity prices. Banks use hedging strategies, such as derivatives, and maintain a diversified portfolio to manage market risk.</w:t>
      </w:r>
    </w:p>
    <w:p w14:paraId="5A728D24" w14:textId="77777777" w:rsidR="00BB0D88" w:rsidRPr="00BB0D88" w:rsidRDefault="00BB0D88" w:rsidP="00BB0D88">
      <w:pPr>
        <w:rPr>
          <w:sz w:val="28"/>
          <w:szCs w:val="28"/>
        </w:rPr>
      </w:pPr>
    </w:p>
    <w:p w14:paraId="779D8793" w14:textId="0240F8CE" w:rsidR="00BB0D88" w:rsidRPr="00BB0D88" w:rsidRDefault="00BB0D88" w:rsidP="00BB0D88">
      <w:pPr>
        <w:rPr>
          <w:sz w:val="28"/>
          <w:szCs w:val="28"/>
        </w:rPr>
      </w:pPr>
      <w:r w:rsidRPr="00771572">
        <w:rPr>
          <w:b/>
          <w:bCs/>
          <w:sz w:val="28"/>
          <w:szCs w:val="28"/>
        </w:rPr>
        <w:t>3. Operational Risk:</w:t>
      </w:r>
      <w:r w:rsidRPr="00BB0D88">
        <w:rPr>
          <w:sz w:val="28"/>
          <w:szCs w:val="28"/>
        </w:rPr>
        <w:t xml:space="preserve"> The risk of loss from inadequate or failed internal processes, people, systems, or external events. This includes cybersecurity risks, fraud, and compliance risks. Banks mitigate this through robust internal controls, regular audits, employee training, and technology upgrades.</w:t>
      </w:r>
    </w:p>
    <w:p w14:paraId="71670903" w14:textId="77777777" w:rsidR="00BB0D88" w:rsidRPr="00BB0D88" w:rsidRDefault="00BB0D88" w:rsidP="00BB0D88">
      <w:pPr>
        <w:rPr>
          <w:sz w:val="28"/>
          <w:szCs w:val="28"/>
        </w:rPr>
      </w:pPr>
    </w:p>
    <w:p w14:paraId="18D1A69D" w14:textId="37379F47" w:rsidR="00BB0D88" w:rsidRPr="00BB0D88" w:rsidRDefault="00BB0D88" w:rsidP="00BB0D88">
      <w:pPr>
        <w:rPr>
          <w:sz w:val="28"/>
          <w:szCs w:val="28"/>
        </w:rPr>
      </w:pPr>
      <w:r w:rsidRPr="00771572">
        <w:rPr>
          <w:b/>
          <w:bCs/>
          <w:sz w:val="28"/>
          <w:szCs w:val="28"/>
        </w:rPr>
        <w:t>4. Liquidity Risk:</w:t>
      </w:r>
      <w:r w:rsidRPr="00BB0D88">
        <w:rPr>
          <w:sz w:val="28"/>
          <w:szCs w:val="28"/>
        </w:rPr>
        <w:t xml:space="preserve"> The risk that a bank will not be able to meet its financial obligations as they come due. Banks manage liquidity risk by maintaining sufficient liquid assets, using stress testing, and establishing contingency funding plans.</w:t>
      </w:r>
    </w:p>
    <w:p w14:paraId="3DF18584" w14:textId="77777777" w:rsidR="00BB0D88" w:rsidRPr="00BB0D88" w:rsidRDefault="00BB0D88" w:rsidP="00BB0D88">
      <w:pPr>
        <w:rPr>
          <w:sz w:val="28"/>
          <w:szCs w:val="28"/>
        </w:rPr>
      </w:pPr>
    </w:p>
    <w:p w14:paraId="759BE06F" w14:textId="7BC8D2D4" w:rsidR="00BB0D88" w:rsidRPr="00BB0D88" w:rsidRDefault="00BB0D88" w:rsidP="00BB0D88">
      <w:pPr>
        <w:rPr>
          <w:sz w:val="28"/>
          <w:szCs w:val="28"/>
        </w:rPr>
      </w:pPr>
      <w:r w:rsidRPr="00771572">
        <w:rPr>
          <w:b/>
          <w:bCs/>
          <w:sz w:val="28"/>
          <w:szCs w:val="28"/>
        </w:rPr>
        <w:t>5. Compliance Risk:</w:t>
      </w:r>
      <w:r w:rsidRPr="00BB0D88">
        <w:rPr>
          <w:sz w:val="28"/>
          <w:szCs w:val="28"/>
        </w:rPr>
        <w:t xml:space="preserve"> The risk of legal or regulatory sanctions, financial loss, or reputational damage due to failure to comply with laws, regulations, and internal policies. Banks manage compliance risk through comprehensive compliance programs, regular training, and internal audits.</w:t>
      </w:r>
    </w:p>
    <w:p w14:paraId="77FDE71A" w14:textId="77777777" w:rsidR="00BB0D88" w:rsidRPr="00BB0D88" w:rsidRDefault="00BB0D88" w:rsidP="00BB0D88">
      <w:pPr>
        <w:rPr>
          <w:sz w:val="28"/>
          <w:szCs w:val="28"/>
        </w:rPr>
      </w:pPr>
    </w:p>
    <w:p w14:paraId="6297B61F" w14:textId="42D49781" w:rsidR="00BB0D88" w:rsidRPr="00BB0D88" w:rsidRDefault="00BB0D88" w:rsidP="00BB0D88">
      <w:pPr>
        <w:rPr>
          <w:sz w:val="28"/>
          <w:szCs w:val="28"/>
        </w:rPr>
      </w:pPr>
      <w:r w:rsidRPr="00771572">
        <w:rPr>
          <w:b/>
          <w:bCs/>
          <w:sz w:val="28"/>
          <w:szCs w:val="28"/>
        </w:rPr>
        <w:lastRenderedPageBreak/>
        <w:t>6. Reputational Risk:</w:t>
      </w:r>
      <w:r w:rsidRPr="00BB0D88">
        <w:rPr>
          <w:sz w:val="28"/>
          <w:szCs w:val="28"/>
        </w:rPr>
        <w:t xml:space="preserve"> The risk of loss due to damage to a bank’s reputation. This is managed through strong corporate governance, ethical business practices, transparency, and effective communication strategies.</w:t>
      </w:r>
    </w:p>
    <w:p w14:paraId="7132AFD5" w14:textId="77777777" w:rsidR="00BB0D88" w:rsidRPr="00BB0D88" w:rsidRDefault="00BB0D88" w:rsidP="00BB0D88">
      <w:pPr>
        <w:rPr>
          <w:sz w:val="28"/>
          <w:szCs w:val="28"/>
        </w:rPr>
      </w:pPr>
    </w:p>
    <w:p w14:paraId="600D07A3" w14:textId="40905FC9" w:rsidR="004022D4" w:rsidRDefault="00BB0D88" w:rsidP="00BB0D88">
      <w:pPr>
        <w:rPr>
          <w:sz w:val="28"/>
          <w:szCs w:val="28"/>
        </w:rPr>
      </w:pPr>
      <w:r w:rsidRPr="00BB0D88">
        <w:rPr>
          <w:sz w:val="28"/>
          <w:szCs w:val="28"/>
        </w:rPr>
        <w:t>Effective risk management in banking requires an integrated approach that combines risk assessment, monitoring, and mitigation strategies across all areas of the bank’s operations.</w:t>
      </w:r>
    </w:p>
    <w:p w14:paraId="5BB99CAA" w14:textId="1F491D6F" w:rsidR="00E15F2C" w:rsidRDefault="00E15F2C" w:rsidP="00BB0D88">
      <w:pPr>
        <w:rPr>
          <w:sz w:val="28"/>
          <w:szCs w:val="28"/>
        </w:rPr>
      </w:pPr>
      <w:r>
        <w:rPr>
          <w:sz w:val="28"/>
          <w:szCs w:val="28"/>
        </w:rPr>
        <w:t>A</w:t>
      </w:r>
      <w:r w:rsidRPr="00BB0D88">
        <w:rPr>
          <w:sz w:val="28"/>
          <w:szCs w:val="28"/>
        </w:rPr>
        <w:t xml:space="preserve"> comprehensive analysis of Risk Management in U.S. Banking Operations</w:t>
      </w:r>
      <w:r>
        <w:rPr>
          <w:sz w:val="28"/>
          <w:szCs w:val="28"/>
        </w:rPr>
        <w:t>,</w:t>
      </w:r>
    </w:p>
    <w:p w14:paraId="407FFE05" w14:textId="77777777" w:rsidR="00690657" w:rsidRDefault="00690657" w:rsidP="00BB0D88">
      <w:pPr>
        <w:rPr>
          <w:b/>
          <w:bCs/>
          <w:sz w:val="28"/>
          <w:szCs w:val="28"/>
        </w:rPr>
      </w:pPr>
    </w:p>
    <w:p w14:paraId="16C8B91D" w14:textId="77777777" w:rsidR="00690657" w:rsidRDefault="00690657" w:rsidP="00BB0D88">
      <w:pPr>
        <w:rPr>
          <w:b/>
          <w:bCs/>
          <w:sz w:val="28"/>
          <w:szCs w:val="28"/>
        </w:rPr>
      </w:pPr>
    </w:p>
    <w:p w14:paraId="3DFC387B" w14:textId="2D725192" w:rsidR="00690657" w:rsidRDefault="00E15F2C" w:rsidP="00BB0D88">
      <w:pPr>
        <w:rPr>
          <w:b/>
          <w:bCs/>
          <w:sz w:val="28"/>
          <w:szCs w:val="28"/>
        </w:rPr>
      </w:pPr>
      <w:r w:rsidRPr="00771572">
        <w:rPr>
          <w:b/>
          <w:bCs/>
          <w:sz w:val="28"/>
          <w:szCs w:val="28"/>
        </w:rPr>
        <w:t>Table: Key Risk Management Metrics</w:t>
      </w:r>
    </w:p>
    <w:p w14:paraId="218F3911" w14:textId="77777777" w:rsidR="00690657" w:rsidRPr="00771572" w:rsidRDefault="00690657" w:rsidP="00BB0D88">
      <w:pPr>
        <w:rPr>
          <w:b/>
          <w:bCs/>
          <w:sz w:val="28"/>
          <w:szCs w:val="28"/>
        </w:rPr>
      </w:pPr>
    </w:p>
    <w:tbl>
      <w:tblPr>
        <w:tblStyle w:val="TableGrid"/>
        <w:tblW w:w="11890" w:type="dxa"/>
        <w:tblInd w:w="-1423" w:type="dxa"/>
        <w:tblLook w:val="04A0" w:firstRow="1" w:lastRow="0" w:firstColumn="1" w:lastColumn="0" w:noHBand="0" w:noVBand="1"/>
      </w:tblPr>
      <w:tblGrid>
        <w:gridCol w:w="710"/>
        <w:gridCol w:w="1344"/>
        <w:gridCol w:w="1094"/>
        <w:gridCol w:w="1531"/>
        <w:gridCol w:w="1531"/>
        <w:gridCol w:w="1252"/>
        <w:gridCol w:w="1420"/>
        <w:gridCol w:w="1421"/>
        <w:gridCol w:w="1587"/>
      </w:tblGrid>
      <w:tr w:rsidR="00771572" w:rsidRPr="00771572" w14:paraId="36937592" w14:textId="77777777" w:rsidTr="00690657">
        <w:trPr>
          <w:trHeight w:val="1943"/>
        </w:trPr>
        <w:tc>
          <w:tcPr>
            <w:tcW w:w="710" w:type="dxa"/>
          </w:tcPr>
          <w:p w14:paraId="2DFDE689" w14:textId="2A91D8C7" w:rsidR="00E15F2C" w:rsidRPr="00771572" w:rsidRDefault="00E15F2C" w:rsidP="00BB0D88">
            <w:pPr>
              <w:rPr>
                <w:b/>
                <w:bCs/>
                <w:sz w:val="24"/>
                <w:szCs w:val="24"/>
              </w:rPr>
            </w:pPr>
            <w:r w:rsidRPr="00771572">
              <w:rPr>
                <w:b/>
                <w:bCs/>
                <w:sz w:val="24"/>
                <w:szCs w:val="24"/>
              </w:rPr>
              <w:t>Year</w:t>
            </w:r>
          </w:p>
        </w:tc>
        <w:tc>
          <w:tcPr>
            <w:tcW w:w="1344" w:type="dxa"/>
          </w:tcPr>
          <w:p w14:paraId="0081D35D" w14:textId="54594448" w:rsidR="00E15F2C" w:rsidRPr="00771572" w:rsidRDefault="00E15F2C" w:rsidP="00BB0D88">
            <w:pPr>
              <w:rPr>
                <w:b/>
                <w:bCs/>
                <w:sz w:val="24"/>
                <w:szCs w:val="24"/>
              </w:rPr>
            </w:pPr>
            <w:r w:rsidRPr="00771572">
              <w:rPr>
                <w:b/>
                <w:bCs/>
                <w:sz w:val="24"/>
                <w:szCs w:val="24"/>
              </w:rPr>
              <w:t>Non-performing Loan Ratio (%)</w:t>
            </w:r>
          </w:p>
        </w:tc>
        <w:tc>
          <w:tcPr>
            <w:tcW w:w="1094" w:type="dxa"/>
          </w:tcPr>
          <w:p w14:paraId="0F96561A" w14:textId="38146ACF" w:rsidR="00E15F2C" w:rsidRPr="00771572" w:rsidRDefault="00E15F2C" w:rsidP="00BB0D88">
            <w:pPr>
              <w:rPr>
                <w:b/>
                <w:bCs/>
                <w:sz w:val="24"/>
                <w:szCs w:val="24"/>
              </w:rPr>
            </w:pPr>
            <w:r w:rsidRPr="00771572">
              <w:rPr>
                <w:b/>
                <w:bCs/>
                <w:sz w:val="24"/>
                <w:szCs w:val="24"/>
              </w:rPr>
              <w:t>Value-at-Risk (</w:t>
            </w:r>
            <w:proofErr w:type="spellStart"/>
            <w:r w:rsidRPr="00771572">
              <w:rPr>
                <w:b/>
                <w:bCs/>
                <w:sz w:val="24"/>
                <w:szCs w:val="24"/>
              </w:rPr>
              <w:t>VaR</w:t>
            </w:r>
            <w:proofErr w:type="spellEnd"/>
            <w:r w:rsidRPr="00771572">
              <w:rPr>
                <w:b/>
                <w:bCs/>
                <w:sz w:val="24"/>
                <w:szCs w:val="24"/>
              </w:rPr>
              <w:t>) (in billions)</w:t>
            </w:r>
          </w:p>
        </w:tc>
        <w:tc>
          <w:tcPr>
            <w:tcW w:w="1531" w:type="dxa"/>
          </w:tcPr>
          <w:p w14:paraId="1571E995" w14:textId="5DEE337C" w:rsidR="00E15F2C" w:rsidRPr="00771572" w:rsidRDefault="00E15F2C" w:rsidP="00BB0D88">
            <w:pPr>
              <w:rPr>
                <w:b/>
                <w:bCs/>
                <w:sz w:val="24"/>
                <w:szCs w:val="24"/>
              </w:rPr>
            </w:pPr>
            <w:r w:rsidRPr="00771572">
              <w:rPr>
                <w:b/>
                <w:bCs/>
                <w:sz w:val="24"/>
                <w:szCs w:val="24"/>
              </w:rPr>
              <w:t>Operational Loss Events</w:t>
            </w:r>
          </w:p>
        </w:tc>
        <w:tc>
          <w:tcPr>
            <w:tcW w:w="1531" w:type="dxa"/>
          </w:tcPr>
          <w:p w14:paraId="4E1AB8B4" w14:textId="6606898C" w:rsidR="00E15F2C" w:rsidRPr="00771572" w:rsidRDefault="00E15F2C" w:rsidP="00BB0D88">
            <w:pPr>
              <w:rPr>
                <w:b/>
                <w:bCs/>
                <w:sz w:val="24"/>
                <w:szCs w:val="24"/>
              </w:rPr>
            </w:pPr>
            <w:r w:rsidRPr="00771572">
              <w:rPr>
                <w:b/>
                <w:bCs/>
                <w:sz w:val="24"/>
                <w:szCs w:val="24"/>
              </w:rPr>
              <w:t>Operational Loss Amount (in billions)</w:t>
            </w:r>
          </w:p>
        </w:tc>
        <w:tc>
          <w:tcPr>
            <w:tcW w:w="1252" w:type="dxa"/>
          </w:tcPr>
          <w:p w14:paraId="722CC317" w14:textId="2CA4C4CC" w:rsidR="00E15F2C" w:rsidRPr="00771572" w:rsidRDefault="00E15F2C" w:rsidP="00BB0D88">
            <w:pPr>
              <w:rPr>
                <w:b/>
                <w:bCs/>
                <w:sz w:val="24"/>
                <w:szCs w:val="24"/>
              </w:rPr>
            </w:pPr>
            <w:r w:rsidRPr="00771572">
              <w:rPr>
                <w:b/>
                <w:bCs/>
                <w:sz w:val="24"/>
                <w:szCs w:val="24"/>
              </w:rPr>
              <w:t>Liquidity Coverage Ratio (LCR) (%)</w:t>
            </w:r>
          </w:p>
        </w:tc>
        <w:tc>
          <w:tcPr>
            <w:tcW w:w="1420" w:type="dxa"/>
          </w:tcPr>
          <w:p w14:paraId="3A454EE1" w14:textId="09ECDD7D" w:rsidR="00E15F2C" w:rsidRPr="00771572" w:rsidRDefault="00E15F2C" w:rsidP="00BB0D88">
            <w:pPr>
              <w:rPr>
                <w:b/>
                <w:bCs/>
                <w:sz w:val="24"/>
                <w:szCs w:val="24"/>
              </w:rPr>
            </w:pPr>
            <w:r w:rsidRPr="00771572">
              <w:rPr>
                <w:b/>
                <w:bCs/>
                <w:sz w:val="24"/>
                <w:szCs w:val="24"/>
              </w:rPr>
              <w:t>Compliance Breaches</w:t>
            </w:r>
          </w:p>
        </w:tc>
        <w:tc>
          <w:tcPr>
            <w:tcW w:w="1421" w:type="dxa"/>
          </w:tcPr>
          <w:p w14:paraId="0FEFDB98" w14:textId="455F0F7F" w:rsidR="00E15F2C" w:rsidRPr="00771572" w:rsidRDefault="00E15F2C" w:rsidP="00BB0D88">
            <w:pPr>
              <w:rPr>
                <w:b/>
                <w:bCs/>
                <w:sz w:val="24"/>
                <w:szCs w:val="24"/>
              </w:rPr>
            </w:pPr>
            <w:r w:rsidRPr="00771572">
              <w:rPr>
                <w:b/>
                <w:bCs/>
                <w:sz w:val="24"/>
                <w:szCs w:val="24"/>
              </w:rPr>
              <w:t>Compliance Fines (in millions)</w:t>
            </w:r>
          </w:p>
        </w:tc>
        <w:tc>
          <w:tcPr>
            <w:tcW w:w="1587" w:type="dxa"/>
          </w:tcPr>
          <w:p w14:paraId="7FC7FF20" w14:textId="17F4F3FD" w:rsidR="00E15F2C" w:rsidRPr="00771572" w:rsidRDefault="0024441F" w:rsidP="00BB0D88">
            <w:pPr>
              <w:rPr>
                <w:b/>
                <w:bCs/>
                <w:sz w:val="24"/>
                <w:szCs w:val="24"/>
              </w:rPr>
            </w:pPr>
            <w:r w:rsidRPr="00771572">
              <w:rPr>
                <w:b/>
                <w:bCs/>
                <w:sz w:val="24"/>
                <w:szCs w:val="24"/>
              </w:rPr>
              <w:t>Cybersecurity Incidents</w:t>
            </w:r>
          </w:p>
        </w:tc>
      </w:tr>
      <w:tr w:rsidR="0024441F" w:rsidRPr="0024441F" w14:paraId="2E9E1962" w14:textId="77777777" w:rsidTr="00690657">
        <w:trPr>
          <w:trHeight w:val="499"/>
        </w:trPr>
        <w:tc>
          <w:tcPr>
            <w:tcW w:w="710" w:type="dxa"/>
          </w:tcPr>
          <w:p w14:paraId="0694CD83" w14:textId="73400E53" w:rsidR="0024441F" w:rsidRPr="0024441F" w:rsidRDefault="0024441F" w:rsidP="00BB0D88">
            <w:pPr>
              <w:rPr>
                <w:sz w:val="24"/>
                <w:szCs w:val="24"/>
              </w:rPr>
            </w:pPr>
            <w:r>
              <w:rPr>
                <w:sz w:val="24"/>
                <w:szCs w:val="24"/>
              </w:rPr>
              <w:t>2019</w:t>
            </w:r>
          </w:p>
        </w:tc>
        <w:tc>
          <w:tcPr>
            <w:tcW w:w="1344" w:type="dxa"/>
          </w:tcPr>
          <w:p w14:paraId="159CCD65" w14:textId="2A089703" w:rsidR="0024441F" w:rsidRPr="0024441F" w:rsidRDefault="0024441F" w:rsidP="00BB0D88">
            <w:pPr>
              <w:rPr>
                <w:sz w:val="24"/>
                <w:szCs w:val="24"/>
              </w:rPr>
            </w:pPr>
            <w:r>
              <w:rPr>
                <w:sz w:val="24"/>
                <w:szCs w:val="24"/>
              </w:rPr>
              <w:t>1.0</w:t>
            </w:r>
          </w:p>
        </w:tc>
        <w:tc>
          <w:tcPr>
            <w:tcW w:w="1094" w:type="dxa"/>
          </w:tcPr>
          <w:p w14:paraId="3B805503" w14:textId="3973A629" w:rsidR="0024441F" w:rsidRPr="0024441F" w:rsidRDefault="0024441F" w:rsidP="00BB0D88">
            <w:pPr>
              <w:rPr>
                <w:sz w:val="24"/>
                <w:szCs w:val="24"/>
              </w:rPr>
            </w:pPr>
            <w:r>
              <w:rPr>
                <w:sz w:val="24"/>
                <w:szCs w:val="24"/>
              </w:rPr>
              <w:t>0.5</w:t>
            </w:r>
          </w:p>
        </w:tc>
        <w:tc>
          <w:tcPr>
            <w:tcW w:w="1531" w:type="dxa"/>
          </w:tcPr>
          <w:p w14:paraId="454A2C35" w14:textId="18E792A2" w:rsidR="0024441F" w:rsidRPr="0024441F" w:rsidRDefault="0024441F" w:rsidP="00BB0D88">
            <w:pPr>
              <w:rPr>
                <w:sz w:val="24"/>
                <w:szCs w:val="24"/>
              </w:rPr>
            </w:pPr>
            <w:r>
              <w:rPr>
                <w:sz w:val="24"/>
                <w:szCs w:val="24"/>
              </w:rPr>
              <w:t>200</w:t>
            </w:r>
          </w:p>
        </w:tc>
        <w:tc>
          <w:tcPr>
            <w:tcW w:w="1531" w:type="dxa"/>
          </w:tcPr>
          <w:p w14:paraId="498EB81B" w14:textId="13E2F47D" w:rsidR="0024441F" w:rsidRPr="0024441F" w:rsidRDefault="0024441F" w:rsidP="00BB0D88">
            <w:pPr>
              <w:rPr>
                <w:sz w:val="24"/>
                <w:szCs w:val="24"/>
              </w:rPr>
            </w:pPr>
            <w:r>
              <w:rPr>
                <w:sz w:val="24"/>
                <w:szCs w:val="24"/>
              </w:rPr>
              <w:t>1.5</w:t>
            </w:r>
          </w:p>
        </w:tc>
        <w:tc>
          <w:tcPr>
            <w:tcW w:w="1252" w:type="dxa"/>
          </w:tcPr>
          <w:p w14:paraId="0339CF43" w14:textId="75EDCF57" w:rsidR="0024441F" w:rsidRPr="0024441F" w:rsidRDefault="0024441F" w:rsidP="00BB0D88">
            <w:pPr>
              <w:rPr>
                <w:sz w:val="24"/>
                <w:szCs w:val="24"/>
              </w:rPr>
            </w:pPr>
            <w:r>
              <w:rPr>
                <w:sz w:val="24"/>
                <w:szCs w:val="24"/>
              </w:rPr>
              <w:t>110</w:t>
            </w:r>
          </w:p>
        </w:tc>
        <w:tc>
          <w:tcPr>
            <w:tcW w:w="1420" w:type="dxa"/>
          </w:tcPr>
          <w:p w14:paraId="5BD0DC95" w14:textId="6B98A1E9" w:rsidR="0024441F" w:rsidRPr="0024441F" w:rsidRDefault="0024441F" w:rsidP="00BB0D88">
            <w:pPr>
              <w:rPr>
                <w:sz w:val="24"/>
                <w:szCs w:val="24"/>
              </w:rPr>
            </w:pPr>
            <w:r>
              <w:rPr>
                <w:sz w:val="24"/>
                <w:szCs w:val="24"/>
              </w:rPr>
              <w:t>50</w:t>
            </w:r>
          </w:p>
        </w:tc>
        <w:tc>
          <w:tcPr>
            <w:tcW w:w="1421" w:type="dxa"/>
          </w:tcPr>
          <w:p w14:paraId="76AB3684" w14:textId="7F6E0796" w:rsidR="0024441F" w:rsidRPr="0024441F" w:rsidRDefault="0024441F" w:rsidP="00BB0D88">
            <w:pPr>
              <w:rPr>
                <w:sz w:val="24"/>
                <w:szCs w:val="24"/>
              </w:rPr>
            </w:pPr>
            <w:r>
              <w:rPr>
                <w:sz w:val="24"/>
                <w:szCs w:val="24"/>
              </w:rPr>
              <w:t>500</w:t>
            </w:r>
          </w:p>
        </w:tc>
        <w:tc>
          <w:tcPr>
            <w:tcW w:w="1587" w:type="dxa"/>
          </w:tcPr>
          <w:p w14:paraId="2157567F" w14:textId="3CE90D15" w:rsidR="0024441F" w:rsidRPr="0024441F" w:rsidRDefault="0024441F" w:rsidP="00BB0D88">
            <w:pPr>
              <w:rPr>
                <w:sz w:val="24"/>
                <w:szCs w:val="24"/>
              </w:rPr>
            </w:pPr>
            <w:r>
              <w:rPr>
                <w:sz w:val="24"/>
                <w:szCs w:val="24"/>
              </w:rPr>
              <w:t>30</w:t>
            </w:r>
          </w:p>
        </w:tc>
      </w:tr>
      <w:tr w:rsidR="0024441F" w:rsidRPr="0024441F" w14:paraId="2E7A6109" w14:textId="77777777" w:rsidTr="00690657">
        <w:trPr>
          <w:trHeight w:val="480"/>
        </w:trPr>
        <w:tc>
          <w:tcPr>
            <w:tcW w:w="710" w:type="dxa"/>
          </w:tcPr>
          <w:p w14:paraId="56FC8FB3" w14:textId="027899DD" w:rsidR="0024441F" w:rsidRDefault="0024441F" w:rsidP="00BB0D88">
            <w:pPr>
              <w:rPr>
                <w:sz w:val="24"/>
                <w:szCs w:val="24"/>
              </w:rPr>
            </w:pPr>
            <w:r>
              <w:rPr>
                <w:sz w:val="24"/>
                <w:szCs w:val="24"/>
              </w:rPr>
              <w:t>2020</w:t>
            </w:r>
          </w:p>
        </w:tc>
        <w:tc>
          <w:tcPr>
            <w:tcW w:w="1344" w:type="dxa"/>
          </w:tcPr>
          <w:p w14:paraId="3221ADF4" w14:textId="0F27ABAE" w:rsidR="0024441F" w:rsidRDefault="0024441F" w:rsidP="00BB0D88">
            <w:pPr>
              <w:rPr>
                <w:sz w:val="24"/>
                <w:szCs w:val="24"/>
              </w:rPr>
            </w:pPr>
            <w:r>
              <w:rPr>
                <w:sz w:val="24"/>
                <w:szCs w:val="24"/>
              </w:rPr>
              <w:t>1.2</w:t>
            </w:r>
          </w:p>
        </w:tc>
        <w:tc>
          <w:tcPr>
            <w:tcW w:w="1094" w:type="dxa"/>
          </w:tcPr>
          <w:p w14:paraId="511B4102" w14:textId="1F74CAD9" w:rsidR="0024441F" w:rsidRDefault="0024441F" w:rsidP="00BB0D88">
            <w:pPr>
              <w:rPr>
                <w:sz w:val="24"/>
                <w:szCs w:val="24"/>
              </w:rPr>
            </w:pPr>
            <w:r>
              <w:rPr>
                <w:sz w:val="24"/>
                <w:szCs w:val="24"/>
              </w:rPr>
              <w:t>0.6</w:t>
            </w:r>
          </w:p>
        </w:tc>
        <w:tc>
          <w:tcPr>
            <w:tcW w:w="1531" w:type="dxa"/>
          </w:tcPr>
          <w:p w14:paraId="1D99BBA0" w14:textId="679957D3" w:rsidR="0024441F" w:rsidRDefault="0024441F" w:rsidP="00BB0D88">
            <w:pPr>
              <w:rPr>
                <w:sz w:val="24"/>
                <w:szCs w:val="24"/>
              </w:rPr>
            </w:pPr>
            <w:r>
              <w:rPr>
                <w:sz w:val="24"/>
                <w:szCs w:val="24"/>
              </w:rPr>
              <w:t>220</w:t>
            </w:r>
          </w:p>
        </w:tc>
        <w:tc>
          <w:tcPr>
            <w:tcW w:w="1531" w:type="dxa"/>
          </w:tcPr>
          <w:p w14:paraId="2DBFB10F" w14:textId="6E99C4C2" w:rsidR="0024441F" w:rsidRDefault="0024441F" w:rsidP="00BB0D88">
            <w:pPr>
              <w:rPr>
                <w:sz w:val="24"/>
                <w:szCs w:val="24"/>
              </w:rPr>
            </w:pPr>
            <w:r>
              <w:rPr>
                <w:sz w:val="24"/>
                <w:szCs w:val="24"/>
              </w:rPr>
              <w:t>1.7</w:t>
            </w:r>
          </w:p>
        </w:tc>
        <w:tc>
          <w:tcPr>
            <w:tcW w:w="1252" w:type="dxa"/>
          </w:tcPr>
          <w:p w14:paraId="2DF84E50" w14:textId="36AFDE46" w:rsidR="0024441F" w:rsidRDefault="0024441F" w:rsidP="00BB0D88">
            <w:pPr>
              <w:rPr>
                <w:sz w:val="24"/>
                <w:szCs w:val="24"/>
              </w:rPr>
            </w:pPr>
            <w:r>
              <w:rPr>
                <w:sz w:val="24"/>
                <w:szCs w:val="24"/>
              </w:rPr>
              <w:t>115</w:t>
            </w:r>
          </w:p>
        </w:tc>
        <w:tc>
          <w:tcPr>
            <w:tcW w:w="1420" w:type="dxa"/>
          </w:tcPr>
          <w:p w14:paraId="29E11FF1" w14:textId="4ED97B61" w:rsidR="0024441F" w:rsidRDefault="0024441F" w:rsidP="00BB0D88">
            <w:pPr>
              <w:rPr>
                <w:sz w:val="24"/>
                <w:szCs w:val="24"/>
              </w:rPr>
            </w:pPr>
            <w:r>
              <w:rPr>
                <w:sz w:val="24"/>
                <w:szCs w:val="24"/>
              </w:rPr>
              <w:t>60</w:t>
            </w:r>
          </w:p>
        </w:tc>
        <w:tc>
          <w:tcPr>
            <w:tcW w:w="1421" w:type="dxa"/>
          </w:tcPr>
          <w:p w14:paraId="3C9321F7" w14:textId="7B28F236" w:rsidR="0024441F" w:rsidRDefault="0024441F" w:rsidP="00BB0D88">
            <w:pPr>
              <w:rPr>
                <w:sz w:val="24"/>
                <w:szCs w:val="24"/>
              </w:rPr>
            </w:pPr>
            <w:r>
              <w:rPr>
                <w:sz w:val="24"/>
                <w:szCs w:val="24"/>
              </w:rPr>
              <w:t>550</w:t>
            </w:r>
          </w:p>
        </w:tc>
        <w:tc>
          <w:tcPr>
            <w:tcW w:w="1587" w:type="dxa"/>
          </w:tcPr>
          <w:p w14:paraId="738ACA28" w14:textId="0CB12241" w:rsidR="0024441F" w:rsidRDefault="0024441F" w:rsidP="00BB0D88">
            <w:pPr>
              <w:rPr>
                <w:sz w:val="24"/>
                <w:szCs w:val="24"/>
              </w:rPr>
            </w:pPr>
            <w:r>
              <w:rPr>
                <w:sz w:val="24"/>
                <w:szCs w:val="24"/>
              </w:rPr>
              <w:t>35</w:t>
            </w:r>
          </w:p>
        </w:tc>
      </w:tr>
      <w:tr w:rsidR="0024441F" w:rsidRPr="0024441F" w14:paraId="2F7090DE" w14:textId="77777777" w:rsidTr="00690657">
        <w:trPr>
          <w:trHeight w:val="480"/>
        </w:trPr>
        <w:tc>
          <w:tcPr>
            <w:tcW w:w="710" w:type="dxa"/>
          </w:tcPr>
          <w:p w14:paraId="5884B5D0" w14:textId="2A0EC16D" w:rsidR="0024441F" w:rsidRDefault="0024441F" w:rsidP="00BB0D88">
            <w:pPr>
              <w:rPr>
                <w:sz w:val="24"/>
                <w:szCs w:val="24"/>
              </w:rPr>
            </w:pPr>
            <w:r>
              <w:rPr>
                <w:sz w:val="24"/>
                <w:szCs w:val="24"/>
              </w:rPr>
              <w:t>2021</w:t>
            </w:r>
          </w:p>
        </w:tc>
        <w:tc>
          <w:tcPr>
            <w:tcW w:w="1344" w:type="dxa"/>
          </w:tcPr>
          <w:p w14:paraId="763FD9CE" w14:textId="71E2299C" w:rsidR="0024441F" w:rsidRDefault="0024441F" w:rsidP="00BB0D88">
            <w:pPr>
              <w:rPr>
                <w:sz w:val="24"/>
                <w:szCs w:val="24"/>
              </w:rPr>
            </w:pPr>
            <w:r>
              <w:rPr>
                <w:sz w:val="24"/>
                <w:szCs w:val="24"/>
              </w:rPr>
              <w:t>1.1</w:t>
            </w:r>
          </w:p>
        </w:tc>
        <w:tc>
          <w:tcPr>
            <w:tcW w:w="1094" w:type="dxa"/>
          </w:tcPr>
          <w:p w14:paraId="0A93AD99" w14:textId="19C190C3" w:rsidR="0024441F" w:rsidRDefault="0024441F" w:rsidP="00BB0D88">
            <w:pPr>
              <w:rPr>
                <w:sz w:val="24"/>
                <w:szCs w:val="24"/>
              </w:rPr>
            </w:pPr>
            <w:r>
              <w:rPr>
                <w:sz w:val="24"/>
                <w:szCs w:val="24"/>
              </w:rPr>
              <w:t>0.5</w:t>
            </w:r>
          </w:p>
        </w:tc>
        <w:tc>
          <w:tcPr>
            <w:tcW w:w="1531" w:type="dxa"/>
          </w:tcPr>
          <w:p w14:paraId="5E778080" w14:textId="734B0B83" w:rsidR="0024441F" w:rsidRDefault="0024441F" w:rsidP="00BB0D88">
            <w:pPr>
              <w:rPr>
                <w:sz w:val="24"/>
                <w:szCs w:val="24"/>
              </w:rPr>
            </w:pPr>
            <w:r>
              <w:rPr>
                <w:sz w:val="24"/>
                <w:szCs w:val="24"/>
              </w:rPr>
              <w:t>600</w:t>
            </w:r>
          </w:p>
        </w:tc>
        <w:tc>
          <w:tcPr>
            <w:tcW w:w="1531" w:type="dxa"/>
          </w:tcPr>
          <w:p w14:paraId="29899800" w14:textId="6C5BA714" w:rsidR="0024441F" w:rsidRDefault="0024441F" w:rsidP="00BB0D88">
            <w:pPr>
              <w:rPr>
                <w:sz w:val="24"/>
                <w:szCs w:val="24"/>
              </w:rPr>
            </w:pPr>
            <w:r>
              <w:rPr>
                <w:sz w:val="24"/>
                <w:szCs w:val="24"/>
              </w:rPr>
              <w:t>32</w:t>
            </w:r>
          </w:p>
        </w:tc>
        <w:tc>
          <w:tcPr>
            <w:tcW w:w="1252" w:type="dxa"/>
          </w:tcPr>
          <w:p w14:paraId="1E990840" w14:textId="176E9421" w:rsidR="0024441F" w:rsidRDefault="0024441F" w:rsidP="00BB0D88">
            <w:pPr>
              <w:rPr>
                <w:sz w:val="24"/>
                <w:szCs w:val="24"/>
              </w:rPr>
            </w:pPr>
            <w:r>
              <w:rPr>
                <w:sz w:val="24"/>
                <w:szCs w:val="24"/>
              </w:rPr>
              <w:t>120</w:t>
            </w:r>
          </w:p>
        </w:tc>
        <w:tc>
          <w:tcPr>
            <w:tcW w:w="1420" w:type="dxa"/>
          </w:tcPr>
          <w:p w14:paraId="6FDE4754" w14:textId="07DBE0B6" w:rsidR="0024441F" w:rsidRDefault="0024441F" w:rsidP="00BB0D88">
            <w:pPr>
              <w:rPr>
                <w:sz w:val="24"/>
                <w:szCs w:val="24"/>
              </w:rPr>
            </w:pPr>
            <w:r>
              <w:rPr>
                <w:sz w:val="24"/>
                <w:szCs w:val="24"/>
              </w:rPr>
              <w:t>55</w:t>
            </w:r>
          </w:p>
        </w:tc>
        <w:tc>
          <w:tcPr>
            <w:tcW w:w="1421" w:type="dxa"/>
          </w:tcPr>
          <w:p w14:paraId="3D6357AE" w14:textId="09974719" w:rsidR="0024441F" w:rsidRDefault="0024441F" w:rsidP="00BB0D88">
            <w:pPr>
              <w:rPr>
                <w:sz w:val="24"/>
                <w:szCs w:val="24"/>
              </w:rPr>
            </w:pPr>
            <w:r>
              <w:rPr>
                <w:sz w:val="24"/>
                <w:szCs w:val="24"/>
              </w:rPr>
              <w:t>600</w:t>
            </w:r>
          </w:p>
        </w:tc>
        <w:tc>
          <w:tcPr>
            <w:tcW w:w="1587" w:type="dxa"/>
          </w:tcPr>
          <w:p w14:paraId="272772EC" w14:textId="12A0B875" w:rsidR="0024441F" w:rsidRDefault="0024441F" w:rsidP="00BB0D88">
            <w:pPr>
              <w:rPr>
                <w:sz w:val="24"/>
                <w:szCs w:val="24"/>
              </w:rPr>
            </w:pPr>
            <w:r>
              <w:rPr>
                <w:sz w:val="24"/>
                <w:szCs w:val="24"/>
              </w:rPr>
              <w:t>32</w:t>
            </w:r>
          </w:p>
        </w:tc>
      </w:tr>
      <w:tr w:rsidR="0024441F" w:rsidRPr="0024441F" w14:paraId="7F5DCE6D" w14:textId="77777777" w:rsidTr="00690657">
        <w:trPr>
          <w:trHeight w:val="480"/>
        </w:trPr>
        <w:tc>
          <w:tcPr>
            <w:tcW w:w="710" w:type="dxa"/>
          </w:tcPr>
          <w:p w14:paraId="78855AAD" w14:textId="425B2BC7" w:rsidR="0024441F" w:rsidRDefault="0024441F" w:rsidP="00BB0D88">
            <w:pPr>
              <w:rPr>
                <w:sz w:val="24"/>
                <w:szCs w:val="24"/>
              </w:rPr>
            </w:pPr>
            <w:r>
              <w:rPr>
                <w:sz w:val="24"/>
                <w:szCs w:val="24"/>
              </w:rPr>
              <w:t>2022</w:t>
            </w:r>
          </w:p>
        </w:tc>
        <w:tc>
          <w:tcPr>
            <w:tcW w:w="1344" w:type="dxa"/>
          </w:tcPr>
          <w:p w14:paraId="2EF486A0" w14:textId="6CACBD0B" w:rsidR="0024441F" w:rsidRDefault="0024441F" w:rsidP="00BB0D88">
            <w:pPr>
              <w:rPr>
                <w:sz w:val="24"/>
                <w:szCs w:val="24"/>
              </w:rPr>
            </w:pPr>
            <w:r>
              <w:rPr>
                <w:sz w:val="24"/>
                <w:szCs w:val="24"/>
              </w:rPr>
              <w:t>1.3</w:t>
            </w:r>
          </w:p>
        </w:tc>
        <w:tc>
          <w:tcPr>
            <w:tcW w:w="1094" w:type="dxa"/>
          </w:tcPr>
          <w:p w14:paraId="75DD71A0" w14:textId="14BA302B" w:rsidR="0024441F" w:rsidRDefault="0024441F" w:rsidP="00BB0D88">
            <w:pPr>
              <w:rPr>
                <w:sz w:val="24"/>
                <w:szCs w:val="24"/>
              </w:rPr>
            </w:pPr>
            <w:r>
              <w:rPr>
                <w:sz w:val="24"/>
                <w:szCs w:val="24"/>
              </w:rPr>
              <w:t>0.7</w:t>
            </w:r>
          </w:p>
        </w:tc>
        <w:tc>
          <w:tcPr>
            <w:tcW w:w="1531" w:type="dxa"/>
          </w:tcPr>
          <w:p w14:paraId="4B5D0E98" w14:textId="69D5AC1F" w:rsidR="0024441F" w:rsidRDefault="0024441F" w:rsidP="00BB0D88">
            <w:pPr>
              <w:rPr>
                <w:sz w:val="24"/>
                <w:szCs w:val="24"/>
              </w:rPr>
            </w:pPr>
            <w:r>
              <w:rPr>
                <w:sz w:val="24"/>
                <w:szCs w:val="24"/>
              </w:rPr>
              <w:t>230</w:t>
            </w:r>
          </w:p>
        </w:tc>
        <w:tc>
          <w:tcPr>
            <w:tcW w:w="1531" w:type="dxa"/>
          </w:tcPr>
          <w:p w14:paraId="4C05C6A4" w14:textId="67595961" w:rsidR="0024441F" w:rsidRDefault="0024441F" w:rsidP="00BB0D88">
            <w:pPr>
              <w:rPr>
                <w:sz w:val="24"/>
                <w:szCs w:val="24"/>
              </w:rPr>
            </w:pPr>
            <w:r>
              <w:rPr>
                <w:sz w:val="24"/>
                <w:szCs w:val="24"/>
              </w:rPr>
              <w:t>1.8</w:t>
            </w:r>
          </w:p>
        </w:tc>
        <w:tc>
          <w:tcPr>
            <w:tcW w:w="1252" w:type="dxa"/>
          </w:tcPr>
          <w:p w14:paraId="14A27139" w14:textId="648DA2F0" w:rsidR="0024441F" w:rsidRDefault="0024441F" w:rsidP="00BB0D88">
            <w:pPr>
              <w:rPr>
                <w:sz w:val="24"/>
                <w:szCs w:val="24"/>
              </w:rPr>
            </w:pPr>
            <w:r>
              <w:rPr>
                <w:sz w:val="24"/>
                <w:szCs w:val="24"/>
              </w:rPr>
              <w:t>125</w:t>
            </w:r>
          </w:p>
        </w:tc>
        <w:tc>
          <w:tcPr>
            <w:tcW w:w="1420" w:type="dxa"/>
          </w:tcPr>
          <w:p w14:paraId="36DE63E9" w14:textId="1D5E948D" w:rsidR="0024441F" w:rsidRDefault="0024441F" w:rsidP="00BB0D88">
            <w:pPr>
              <w:rPr>
                <w:sz w:val="24"/>
                <w:szCs w:val="24"/>
              </w:rPr>
            </w:pPr>
            <w:r>
              <w:rPr>
                <w:sz w:val="24"/>
                <w:szCs w:val="24"/>
              </w:rPr>
              <w:t>65</w:t>
            </w:r>
          </w:p>
        </w:tc>
        <w:tc>
          <w:tcPr>
            <w:tcW w:w="1421" w:type="dxa"/>
          </w:tcPr>
          <w:p w14:paraId="0CABB112" w14:textId="35D81E23" w:rsidR="0024441F" w:rsidRDefault="0024441F" w:rsidP="00BB0D88">
            <w:pPr>
              <w:rPr>
                <w:sz w:val="24"/>
                <w:szCs w:val="24"/>
              </w:rPr>
            </w:pPr>
            <w:r>
              <w:rPr>
                <w:sz w:val="24"/>
                <w:szCs w:val="24"/>
              </w:rPr>
              <w:t>650</w:t>
            </w:r>
          </w:p>
        </w:tc>
        <w:tc>
          <w:tcPr>
            <w:tcW w:w="1587" w:type="dxa"/>
          </w:tcPr>
          <w:p w14:paraId="31B4C7B2" w14:textId="0201831A" w:rsidR="0024441F" w:rsidRDefault="0024441F" w:rsidP="00BB0D88">
            <w:pPr>
              <w:rPr>
                <w:sz w:val="24"/>
                <w:szCs w:val="24"/>
              </w:rPr>
            </w:pPr>
            <w:r>
              <w:rPr>
                <w:sz w:val="24"/>
                <w:szCs w:val="24"/>
              </w:rPr>
              <w:t>38</w:t>
            </w:r>
          </w:p>
        </w:tc>
      </w:tr>
      <w:tr w:rsidR="0024441F" w:rsidRPr="0024441F" w14:paraId="54AA9C34" w14:textId="77777777" w:rsidTr="00690657">
        <w:trPr>
          <w:trHeight w:val="499"/>
        </w:trPr>
        <w:tc>
          <w:tcPr>
            <w:tcW w:w="710" w:type="dxa"/>
          </w:tcPr>
          <w:p w14:paraId="7BFA861C" w14:textId="161902DE" w:rsidR="0024441F" w:rsidRDefault="0024441F" w:rsidP="00BB0D88">
            <w:pPr>
              <w:rPr>
                <w:sz w:val="24"/>
                <w:szCs w:val="24"/>
              </w:rPr>
            </w:pPr>
            <w:r>
              <w:rPr>
                <w:sz w:val="24"/>
                <w:szCs w:val="24"/>
              </w:rPr>
              <w:t>2023</w:t>
            </w:r>
          </w:p>
        </w:tc>
        <w:tc>
          <w:tcPr>
            <w:tcW w:w="1344" w:type="dxa"/>
          </w:tcPr>
          <w:p w14:paraId="54F7EB50" w14:textId="21CD87EB" w:rsidR="0024441F" w:rsidRDefault="0024441F" w:rsidP="00BB0D88">
            <w:pPr>
              <w:rPr>
                <w:sz w:val="24"/>
                <w:szCs w:val="24"/>
              </w:rPr>
            </w:pPr>
            <w:r>
              <w:rPr>
                <w:sz w:val="24"/>
                <w:szCs w:val="24"/>
              </w:rPr>
              <w:t>1.4</w:t>
            </w:r>
          </w:p>
        </w:tc>
        <w:tc>
          <w:tcPr>
            <w:tcW w:w="1094" w:type="dxa"/>
          </w:tcPr>
          <w:p w14:paraId="460B41BD" w14:textId="66C59BC1" w:rsidR="0024441F" w:rsidRDefault="0024441F" w:rsidP="00BB0D88">
            <w:pPr>
              <w:rPr>
                <w:sz w:val="24"/>
                <w:szCs w:val="24"/>
              </w:rPr>
            </w:pPr>
            <w:r>
              <w:rPr>
                <w:sz w:val="24"/>
                <w:szCs w:val="24"/>
              </w:rPr>
              <w:t>0.8</w:t>
            </w:r>
          </w:p>
        </w:tc>
        <w:tc>
          <w:tcPr>
            <w:tcW w:w="1531" w:type="dxa"/>
          </w:tcPr>
          <w:p w14:paraId="38E5DC28" w14:textId="139503D6" w:rsidR="0024441F" w:rsidRDefault="0024441F" w:rsidP="00BB0D88">
            <w:pPr>
              <w:rPr>
                <w:sz w:val="24"/>
                <w:szCs w:val="24"/>
              </w:rPr>
            </w:pPr>
            <w:r>
              <w:rPr>
                <w:sz w:val="24"/>
                <w:szCs w:val="24"/>
              </w:rPr>
              <w:t>240</w:t>
            </w:r>
          </w:p>
        </w:tc>
        <w:tc>
          <w:tcPr>
            <w:tcW w:w="1531" w:type="dxa"/>
          </w:tcPr>
          <w:p w14:paraId="653BC4F8" w14:textId="4B3344AD" w:rsidR="0024441F" w:rsidRDefault="0024441F" w:rsidP="00BB0D88">
            <w:pPr>
              <w:rPr>
                <w:sz w:val="24"/>
                <w:szCs w:val="24"/>
              </w:rPr>
            </w:pPr>
            <w:r>
              <w:rPr>
                <w:sz w:val="24"/>
                <w:szCs w:val="24"/>
              </w:rPr>
              <w:t>1.9</w:t>
            </w:r>
          </w:p>
        </w:tc>
        <w:tc>
          <w:tcPr>
            <w:tcW w:w="1252" w:type="dxa"/>
          </w:tcPr>
          <w:p w14:paraId="41004126" w14:textId="02D74327" w:rsidR="0024441F" w:rsidRDefault="0024441F" w:rsidP="00BB0D88">
            <w:pPr>
              <w:rPr>
                <w:sz w:val="24"/>
                <w:szCs w:val="24"/>
              </w:rPr>
            </w:pPr>
            <w:r>
              <w:rPr>
                <w:sz w:val="24"/>
                <w:szCs w:val="24"/>
              </w:rPr>
              <w:t>130</w:t>
            </w:r>
          </w:p>
        </w:tc>
        <w:tc>
          <w:tcPr>
            <w:tcW w:w="1420" w:type="dxa"/>
          </w:tcPr>
          <w:p w14:paraId="41D02D97" w14:textId="546957DA" w:rsidR="0024441F" w:rsidRDefault="0024441F" w:rsidP="00BB0D88">
            <w:pPr>
              <w:rPr>
                <w:sz w:val="24"/>
                <w:szCs w:val="24"/>
              </w:rPr>
            </w:pPr>
            <w:r>
              <w:rPr>
                <w:sz w:val="24"/>
                <w:szCs w:val="24"/>
              </w:rPr>
              <w:t>70</w:t>
            </w:r>
          </w:p>
        </w:tc>
        <w:tc>
          <w:tcPr>
            <w:tcW w:w="1421" w:type="dxa"/>
          </w:tcPr>
          <w:p w14:paraId="6A71CB13" w14:textId="481F17CF" w:rsidR="0024441F" w:rsidRDefault="0024441F" w:rsidP="00BB0D88">
            <w:pPr>
              <w:rPr>
                <w:sz w:val="24"/>
                <w:szCs w:val="24"/>
              </w:rPr>
            </w:pPr>
            <w:r>
              <w:rPr>
                <w:sz w:val="24"/>
                <w:szCs w:val="24"/>
              </w:rPr>
              <w:t>700</w:t>
            </w:r>
          </w:p>
        </w:tc>
        <w:tc>
          <w:tcPr>
            <w:tcW w:w="1587" w:type="dxa"/>
          </w:tcPr>
          <w:p w14:paraId="2A889436" w14:textId="3C9BAADD" w:rsidR="0024441F" w:rsidRDefault="0024441F" w:rsidP="00BB0D88">
            <w:pPr>
              <w:rPr>
                <w:sz w:val="24"/>
                <w:szCs w:val="24"/>
              </w:rPr>
            </w:pPr>
            <w:r>
              <w:rPr>
                <w:sz w:val="24"/>
                <w:szCs w:val="24"/>
              </w:rPr>
              <w:t>40</w:t>
            </w:r>
          </w:p>
        </w:tc>
      </w:tr>
    </w:tbl>
    <w:p w14:paraId="01832E69" w14:textId="77777777" w:rsidR="0024441F" w:rsidRDefault="0024441F" w:rsidP="00BB0D88">
      <w:pPr>
        <w:rPr>
          <w:sz w:val="28"/>
          <w:szCs w:val="28"/>
        </w:rPr>
      </w:pPr>
    </w:p>
    <w:p w14:paraId="66D40EFA" w14:textId="77777777" w:rsidR="0024441F" w:rsidRDefault="0024441F" w:rsidP="00BB0D88">
      <w:pPr>
        <w:rPr>
          <w:sz w:val="28"/>
          <w:szCs w:val="28"/>
        </w:rPr>
      </w:pPr>
    </w:p>
    <w:p w14:paraId="3252E55C" w14:textId="77777777" w:rsidR="0024441F" w:rsidRDefault="0024441F" w:rsidP="00BB0D88">
      <w:pPr>
        <w:rPr>
          <w:sz w:val="28"/>
          <w:szCs w:val="28"/>
        </w:rPr>
      </w:pPr>
    </w:p>
    <w:p w14:paraId="76D27A64" w14:textId="77777777" w:rsidR="0024441F" w:rsidRDefault="0024441F" w:rsidP="00BB0D88">
      <w:pPr>
        <w:rPr>
          <w:sz w:val="28"/>
          <w:szCs w:val="28"/>
        </w:rPr>
      </w:pPr>
    </w:p>
    <w:p w14:paraId="5077CF9E" w14:textId="77777777" w:rsidR="0024441F" w:rsidRDefault="0024441F" w:rsidP="00BB0D88">
      <w:pPr>
        <w:rPr>
          <w:sz w:val="28"/>
          <w:szCs w:val="28"/>
        </w:rPr>
      </w:pPr>
    </w:p>
    <w:p w14:paraId="7965C401" w14:textId="77777777" w:rsidR="0024441F" w:rsidRDefault="0024441F" w:rsidP="00BB0D88">
      <w:pPr>
        <w:rPr>
          <w:sz w:val="28"/>
          <w:szCs w:val="28"/>
        </w:rPr>
      </w:pPr>
    </w:p>
    <w:p w14:paraId="557D83B2" w14:textId="77777777" w:rsidR="00690657" w:rsidRDefault="00690657" w:rsidP="00BB0D88">
      <w:pPr>
        <w:rPr>
          <w:sz w:val="28"/>
          <w:szCs w:val="28"/>
        </w:rPr>
      </w:pPr>
    </w:p>
    <w:p w14:paraId="604EC5FF" w14:textId="0E8D1579" w:rsidR="00BB0D88" w:rsidRPr="00771572" w:rsidRDefault="00BB0D88" w:rsidP="00BB0D88">
      <w:pPr>
        <w:rPr>
          <w:b/>
          <w:bCs/>
          <w:sz w:val="28"/>
          <w:szCs w:val="28"/>
        </w:rPr>
      </w:pPr>
      <w:r w:rsidRPr="00771572">
        <w:rPr>
          <w:b/>
          <w:bCs/>
          <w:sz w:val="28"/>
          <w:szCs w:val="28"/>
        </w:rPr>
        <w:lastRenderedPageBreak/>
        <w:t>Graph: Key Risk Management Metrics Over the Past Five Years</w:t>
      </w:r>
    </w:p>
    <w:p w14:paraId="4EB1F11C" w14:textId="4A998028" w:rsidR="00BB0D88" w:rsidRDefault="0024441F" w:rsidP="00BB0D88">
      <w:pPr>
        <w:rPr>
          <w:sz w:val="28"/>
          <w:szCs w:val="28"/>
        </w:rPr>
      </w:pPr>
      <w:r>
        <w:rPr>
          <w:noProof/>
          <w:sz w:val="28"/>
          <w:szCs w:val="28"/>
        </w:rPr>
        <w:drawing>
          <wp:inline distT="0" distB="0" distL="0" distR="0" wp14:anchorId="5BD807A7" wp14:editId="3206C07C">
            <wp:extent cx="6088380" cy="4396740"/>
            <wp:effectExtent l="0" t="0" r="7620" b="3810"/>
            <wp:docPr id="449213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0215" cy="4434173"/>
                    </a:xfrm>
                    <a:prstGeom prst="rect">
                      <a:avLst/>
                    </a:prstGeom>
                    <a:noFill/>
                  </pic:spPr>
                </pic:pic>
              </a:graphicData>
            </a:graphic>
          </wp:inline>
        </w:drawing>
      </w:r>
    </w:p>
    <w:p w14:paraId="224AE49B" w14:textId="7C13963F" w:rsidR="0024441F" w:rsidRDefault="0024441F" w:rsidP="00BB0D88">
      <w:pPr>
        <w:rPr>
          <w:sz w:val="28"/>
          <w:szCs w:val="28"/>
        </w:rPr>
      </w:pPr>
      <w:r>
        <w:rPr>
          <w:noProof/>
          <w:sz w:val="28"/>
          <w:szCs w:val="28"/>
        </w:rPr>
        <w:drawing>
          <wp:inline distT="0" distB="0" distL="0" distR="0" wp14:anchorId="7C196FA1" wp14:editId="293D5C32">
            <wp:extent cx="6035040" cy="3974465"/>
            <wp:effectExtent l="0" t="0" r="3810" b="6985"/>
            <wp:docPr id="9670315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3873" cy="4000039"/>
                    </a:xfrm>
                    <a:prstGeom prst="rect">
                      <a:avLst/>
                    </a:prstGeom>
                    <a:noFill/>
                  </pic:spPr>
                </pic:pic>
              </a:graphicData>
            </a:graphic>
          </wp:inline>
        </w:drawing>
      </w:r>
    </w:p>
    <w:p w14:paraId="6FE3FD2C" w14:textId="77777777" w:rsidR="0024441F" w:rsidRPr="00771572" w:rsidRDefault="0024441F" w:rsidP="00BB0D88">
      <w:pPr>
        <w:rPr>
          <w:b/>
          <w:bCs/>
          <w:sz w:val="28"/>
          <w:szCs w:val="28"/>
        </w:rPr>
      </w:pPr>
      <w:r w:rsidRPr="00771572">
        <w:rPr>
          <w:b/>
          <w:bCs/>
          <w:sz w:val="28"/>
          <w:szCs w:val="28"/>
        </w:rPr>
        <w:lastRenderedPageBreak/>
        <w:t>Explanation of the above graphs</w:t>
      </w:r>
    </w:p>
    <w:p w14:paraId="4B999C98" w14:textId="6FF7BC2B" w:rsidR="0024441F" w:rsidRPr="00771572" w:rsidRDefault="0024441F" w:rsidP="0024441F">
      <w:pPr>
        <w:rPr>
          <w:b/>
          <w:bCs/>
          <w:sz w:val="28"/>
          <w:szCs w:val="28"/>
        </w:rPr>
      </w:pPr>
      <w:r w:rsidRPr="00771572">
        <w:rPr>
          <w:b/>
          <w:bCs/>
          <w:sz w:val="28"/>
          <w:szCs w:val="28"/>
        </w:rPr>
        <w:t xml:space="preserve"> </w:t>
      </w:r>
      <w:r w:rsidR="00771572">
        <w:rPr>
          <w:b/>
          <w:bCs/>
          <w:sz w:val="28"/>
          <w:szCs w:val="28"/>
        </w:rPr>
        <w:t>-</w:t>
      </w:r>
      <w:r w:rsidRPr="00771572">
        <w:rPr>
          <w:b/>
          <w:bCs/>
          <w:sz w:val="28"/>
          <w:szCs w:val="28"/>
        </w:rPr>
        <w:t>Non-performing Loan Ratio (%)</w:t>
      </w:r>
    </w:p>
    <w:p w14:paraId="6BBBE6F1" w14:textId="00778008" w:rsidR="0024441F" w:rsidRPr="0024441F" w:rsidRDefault="00771572" w:rsidP="0024441F">
      <w:pPr>
        <w:rPr>
          <w:sz w:val="28"/>
          <w:szCs w:val="28"/>
        </w:rPr>
      </w:pPr>
      <w:r>
        <w:rPr>
          <w:sz w:val="28"/>
          <w:szCs w:val="28"/>
        </w:rPr>
        <w:tab/>
      </w:r>
      <w:r w:rsidR="0024441F" w:rsidRPr="0024441F">
        <w:rPr>
          <w:sz w:val="28"/>
          <w:szCs w:val="28"/>
        </w:rPr>
        <w:t>The graph for the non-performing loan (NPL) ratio indicates a gradual increase from 1.0% in 2019 to 1.4% in 2023. This rise suggests that a higher proportion of loans are becoming non-performing, meaning borrowers are increasingly unable to meet their debt obligations. This trend may reflect economic challenges or changes in lending practices, posing a growing credit risk for banks. An increasing NPL ratio is a critical indicator of potential financial instability within the banking sector, necessitating enhanced credit risk management and stringent lending standards to mitigate potential losses.</w:t>
      </w:r>
    </w:p>
    <w:p w14:paraId="2297A2EA" w14:textId="77777777" w:rsidR="0024441F" w:rsidRPr="0024441F" w:rsidRDefault="0024441F" w:rsidP="0024441F">
      <w:pPr>
        <w:rPr>
          <w:sz w:val="28"/>
          <w:szCs w:val="28"/>
        </w:rPr>
      </w:pPr>
    </w:p>
    <w:p w14:paraId="2E51AC1F" w14:textId="0DFAC056" w:rsidR="0024441F" w:rsidRPr="00771572" w:rsidRDefault="0024441F" w:rsidP="0024441F">
      <w:pPr>
        <w:rPr>
          <w:b/>
          <w:bCs/>
          <w:sz w:val="28"/>
          <w:szCs w:val="28"/>
        </w:rPr>
      </w:pPr>
      <w:r w:rsidRPr="00771572">
        <w:rPr>
          <w:b/>
          <w:bCs/>
          <w:sz w:val="28"/>
          <w:szCs w:val="28"/>
        </w:rPr>
        <w:t xml:space="preserve"> </w:t>
      </w:r>
      <w:r w:rsidR="00771572">
        <w:rPr>
          <w:b/>
          <w:bCs/>
          <w:sz w:val="28"/>
          <w:szCs w:val="28"/>
        </w:rPr>
        <w:t>-</w:t>
      </w:r>
      <w:r w:rsidRPr="00771572">
        <w:rPr>
          <w:b/>
          <w:bCs/>
          <w:sz w:val="28"/>
          <w:szCs w:val="28"/>
        </w:rPr>
        <w:t>Value-at-Risk (</w:t>
      </w:r>
      <w:proofErr w:type="spellStart"/>
      <w:r w:rsidRPr="00771572">
        <w:rPr>
          <w:b/>
          <w:bCs/>
          <w:sz w:val="28"/>
          <w:szCs w:val="28"/>
        </w:rPr>
        <w:t>VaR</w:t>
      </w:r>
      <w:proofErr w:type="spellEnd"/>
      <w:r w:rsidRPr="00771572">
        <w:rPr>
          <w:b/>
          <w:bCs/>
          <w:sz w:val="28"/>
          <w:szCs w:val="28"/>
        </w:rPr>
        <w:t>) (in billions)</w:t>
      </w:r>
    </w:p>
    <w:p w14:paraId="067ED056" w14:textId="180B3185" w:rsidR="0024441F" w:rsidRPr="0024441F" w:rsidRDefault="00771572" w:rsidP="0024441F">
      <w:pPr>
        <w:rPr>
          <w:sz w:val="28"/>
          <w:szCs w:val="28"/>
        </w:rPr>
      </w:pPr>
      <w:r>
        <w:rPr>
          <w:sz w:val="28"/>
          <w:szCs w:val="28"/>
        </w:rPr>
        <w:tab/>
      </w:r>
      <w:r w:rsidR="0024441F" w:rsidRPr="0024441F">
        <w:rPr>
          <w:sz w:val="28"/>
          <w:szCs w:val="28"/>
        </w:rPr>
        <w:t>The Value-at-Risk (</w:t>
      </w:r>
      <w:proofErr w:type="spellStart"/>
      <w:r w:rsidR="0024441F" w:rsidRPr="0024441F">
        <w:rPr>
          <w:sz w:val="28"/>
          <w:szCs w:val="28"/>
        </w:rPr>
        <w:t>VaR</w:t>
      </w:r>
      <w:proofErr w:type="spellEnd"/>
      <w:r w:rsidR="0024441F" w:rsidRPr="0024441F">
        <w:rPr>
          <w:sz w:val="28"/>
          <w:szCs w:val="28"/>
        </w:rPr>
        <w:t xml:space="preserve">) graph shows a rise from $0.5 billion in 2019 to $0.8 billion in 2023, indicating heightened market risk. </w:t>
      </w:r>
      <w:proofErr w:type="spellStart"/>
      <w:r w:rsidR="0024441F" w:rsidRPr="0024441F">
        <w:rPr>
          <w:sz w:val="28"/>
          <w:szCs w:val="28"/>
        </w:rPr>
        <w:t>VaR</w:t>
      </w:r>
      <w:proofErr w:type="spellEnd"/>
      <w:r w:rsidR="0024441F" w:rsidRPr="0024441F">
        <w:rPr>
          <w:sz w:val="28"/>
          <w:szCs w:val="28"/>
        </w:rPr>
        <w:t xml:space="preserve"> measures the potential loss in value of a portfolio over a defined period for a given confidence interval. The increase in </w:t>
      </w:r>
      <w:proofErr w:type="spellStart"/>
      <w:r w:rsidR="0024441F" w:rsidRPr="0024441F">
        <w:rPr>
          <w:sz w:val="28"/>
          <w:szCs w:val="28"/>
        </w:rPr>
        <w:t>VaR</w:t>
      </w:r>
      <w:proofErr w:type="spellEnd"/>
      <w:r w:rsidR="0024441F" w:rsidRPr="0024441F">
        <w:rPr>
          <w:sz w:val="28"/>
          <w:szCs w:val="28"/>
        </w:rPr>
        <w:t xml:space="preserve"> suggests that banks are exposed to higher potential market losses, possibly due to greater market volatility or changes in portfolio composition. This upward trend emphasizes the need for robust market risk management strategies, including diversification, hedging, and continuous monitoring of market conditions to manage and mitigate potential losses.</w:t>
      </w:r>
    </w:p>
    <w:p w14:paraId="4A0B38ED" w14:textId="77777777" w:rsidR="0024441F" w:rsidRPr="0024441F" w:rsidRDefault="0024441F" w:rsidP="0024441F">
      <w:pPr>
        <w:rPr>
          <w:sz w:val="28"/>
          <w:szCs w:val="28"/>
        </w:rPr>
      </w:pPr>
    </w:p>
    <w:p w14:paraId="2B93B317" w14:textId="67B14E06" w:rsidR="0024441F" w:rsidRPr="00771572" w:rsidRDefault="0024441F" w:rsidP="0024441F">
      <w:pPr>
        <w:rPr>
          <w:b/>
          <w:bCs/>
          <w:sz w:val="28"/>
          <w:szCs w:val="28"/>
        </w:rPr>
      </w:pPr>
      <w:r w:rsidRPr="00771572">
        <w:rPr>
          <w:b/>
          <w:bCs/>
          <w:sz w:val="28"/>
          <w:szCs w:val="28"/>
        </w:rPr>
        <w:t xml:space="preserve"> </w:t>
      </w:r>
      <w:r w:rsidR="00771572">
        <w:rPr>
          <w:b/>
          <w:bCs/>
          <w:sz w:val="28"/>
          <w:szCs w:val="28"/>
        </w:rPr>
        <w:t>-</w:t>
      </w:r>
      <w:r w:rsidRPr="00771572">
        <w:rPr>
          <w:b/>
          <w:bCs/>
          <w:sz w:val="28"/>
          <w:szCs w:val="28"/>
        </w:rPr>
        <w:t>Operational Loss Events</w:t>
      </w:r>
    </w:p>
    <w:p w14:paraId="29BCDE78" w14:textId="037755AD" w:rsidR="0024441F" w:rsidRPr="0024441F" w:rsidRDefault="00771572" w:rsidP="0024441F">
      <w:pPr>
        <w:rPr>
          <w:sz w:val="28"/>
          <w:szCs w:val="28"/>
        </w:rPr>
      </w:pPr>
      <w:r>
        <w:rPr>
          <w:sz w:val="28"/>
          <w:szCs w:val="28"/>
        </w:rPr>
        <w:tab/>
      </w:r>
      <w:r w:rsidR="0024441F" w:rsidRPr="0024441F">
        <w:rPr>
          <w:sz w:val="28"/>
          <w:szCs w:val="28"/>
        </w:rPr>
        <w:t>The graph depicting operational loss events shows a rise from 200 events in 2019 to 240 in 2023. This increase indicates that banks are experiencing more instances of losses due to inadequate or failed internal processes, systems, or external events. Operational risks can arise from various sources, including system failures, human errors, and external disruptions. The rising number of loss events underscores the importance of strengthening internal controls, improving process efficiencies, investing in resilient technology, and conducting regular risk assessments to minimize operational disruptions and their financial impact.</w:t>
      </w:r>
    </w:p>
    <w:p w14:paraId="4DAF6195" w14:textId="77777777" w:rsidR="0024441F" w:rsidRPr="0024441F" w:rsidRDefault="0024441F" w:rsidP="0024441F">
      <w:pPr>
        <w:rPr>
          <w:sz w:val="28"/>
          <w:szCs w:val="28"/>
        </w:rPr>
      </w:pPr>
    </w:p>
    <w:p w14:paraId="5C3F6F9D" w14:textId="72F217B2" w:rsidR="0024441F" w:rsidRPr="00771572" w:rsidRDefault="0024441F" w:rsidP="0024441F">
      <w:pPr>
        <w:rPr>
          <w:b/>
          <w:bCs/>
          <w:sz w:val="28"/>
          <w:szCs w:val="28"/>
        </w:rPr>
      </w:pPr>
      <w:r w:rsidRPr="00771572">
        <w:rPr>
          <w:b/>
          <w:bCs/>
          <w:sz w:val="28"/>
          <w:szCs w:val="28"/>
        </w:rPr>
        <w:lastRenderedPageBreak/>
        <w:t xml:space="preserve"> </w:t>
      </w:r>
      <w:r w:rsidR="00771572">
        <w:rPr>
          <w:b/>
          <w:bCs/>
          <w:sz w:val="28"/>
          <w:szCs w:val="28"/>
        </w:rPr>
        <w:t>-</w:t>
      </w:r>
      <w:r w:rsidRPr="00771572">
        <w:rPr>
          <w:b/>
          <w:bCs/>
          <w:sz w:val="28"/>
          <w:szCs w:val="28"/>
        </w:rPr>
        <w:t>Operational Loss Amount (in billions)</w:t>
      </w:r>
    </w:p>
    <w:p w14:paraId="71AE46D0" w14:textId="141E8C1E" w:rsidR="0024441F" w:rsidRPr="0024441F" w:rsidRDefault="00771572" w:rsidP="0024441F">
      <w:pPr>
        <w:rPr>
          <w:sz w:val="28"/>
          <w:szCs w:val="28"/>
        </w:rPr>
      </w:pPr>
      <w:r>
        <w:rPr>
          <w:sz w:val="28"/>
          <w:szCs w:val="28"/>
        </w:rPr>
        <w:tab/>
      </w:r>
      <w:r w:rsidR="0024441F" w:rsidRPr="0024441F">
        <w:rPr>
          <w:sz w:val="28"/>
          <w:szCs w:val="28"/>
        </w:rPr>
        <w:t>The graph for operational loss amounts shows an increase from $1.5 billion in 2019 to $1.9 billion in 2023. This trend indicates that not only are the number of operational loss events increasing, but the financial impact of these events is also growing. Larger operational losses can strain a bank's financial resources and erode profitability. The rise in loss amounts highlights the need for banks to enhance their operational risk management frameworks, including comprehensive incident management, root cause analysis, and preventive measures to reduce the frequency and severity of operational losses.</w:t>
      </w:r>
    </w:p>
    <w:p w14:paraId="45DF7F04" w14:textId="77777777" w:rsidR="0024441F" w:rsidRPr="0024441F" w:rsidRDefault="0024441F" w:rsidP="0024441F">
      <w:pPr>
        <w:rPr>
          <w:sz w:val="28"/>
          <w:szCs w:val="28"/>
        </w:rPr>
      </w:pPr>
    </w:p>
    <w:p w14:paraId="2A189432" w14:textId="5978B11B" w:rsidR="0024441F" w:rsidRPr="00771572" w:rsidRDefault="0024441F" w:rsidP="0024441F">
      <w:pPr>
        <w:rPr>
          <w:b/>
          <w:bCs/>
          <w:sz w:val="28"/>
          <w:szCs w:val="28"/>
        </w:rPr>
      </w:pPr>
      <w:r w:rsidRPr="00771572">
        <w:rPr>
          <w:b/>
          <w:bCs/>
          <w:sz w:val="28"/>
          <w:szCs w:val="28"/>
        </w:rPr>
        <w:t xml:space="preserve"> </w:t>
      </w:r>
      <w:r w:rsidR="00690657">
        <w:rPr>
          <w:b/>
          <w:bCs/>
          <w:sz w:val="28"/>
          <w:szCs w:val="28"/>
        </w:rPr>
        <w:t>-</w:t>
      </w:r>
      <w:r w:rsidRPr="00771572">
        <w:rPr>
          <w:b/>
          <w:bCs/>
          <w:sz w:val="28"/>
          <w:szCs w:val="28"/>
        </w:rPr>
        <w:t>Liquidity Coverage Ratio (LCR) (%)</w:t>
      </w:r>
    </w:p>
    <w:p w14:paraId="135957D3" w14:textId="062F4875" w:rsidR="0024441F" w:rsidRPr="0024441F" w:rsidRDefault="00690657" w:rsidP="0024441F">
      <w:pPr>
        <w:rPr>
          <w:sz w:val="28"/>
          <w:szCs w:val="28"/>
        </w:rPr>
      </w:pPr>
      <w:r>
        <w:rPr>
          <w:sz w:val="28"/>
          <w:szCs w:val="28"/>
        </w:rPr>
        <w:tab/>
      </w:r>
      <w:r w:rsidR="0024441F" w:rsidRPr="0024441F">
        <w:rPr>
          <w:sz w:val="28"/>
          <w:szCs w:val="28"/>
        </w:rPr>
        <w:t>The graph for the Liquidity Coverage Ratio (LCR) shows an increase from 110% in 2019 to 130% in 2023. The LCR measures a bank’s ability to meet its short-term obligations with high-quality liquid assets. The upward trend suggests that banks are maintaining higher levels of liquid assets, improving their resilience against short-term liquidity shocks. This increase reflects regulatory efforts to enhance the liquidity profiles of banks post-financial crisis and indicates a robust approach to liquidity risk management, ensuring that banks can effectively handle periods of financial stress without facing liquidity shortages.</w:t>
      </w:r>
    </w:p>
    <w:p w14:paraId="658AFD63" w14:textId="77777777" w:rsidR="0024441F" w:rsidRPr="0024441F" w:rsidRDefault="0024441F" w:rsidP="0024441F">
      <w:pPr>
        <w:rPr>
          <w:sz w:val="28"/>
          <w:szCs w:val="28"/>
        </w:rPr>
      </w:pPr>
    </w:p>
    <w:p w14:paraId="2027A099" w14:textId="2C750A99" w:rsidR="0024441F" w:rsidRPr="00771572" w:rsidRDefault="0024441F" w:rsidP="0024441F">
      <w:pPr>
        <w:rPr>
          <w:b/>
          <w:bCs/>
          <w:sz w:val="28"/>
          <w:szCs w:val="28"/>
        </w:rPr>
      </w:pPr>
      <w:r w:rsidRPr="00771572">
        <w:rPr>
          <w:b/>
          <w:bCs/>
          <w:sz w:val="28"/>
          <w:szCs w:val="28"/>
        </w:rPr>
        <w:t xml:space="preserve"> </w:t>
      </w:r>
      <w:r w:rsidR="00690657">
        <w:rPr>
          <w:b/>
          <w:bCs/>
          <w:sz w:val="28"/>
          <w:szCs w:val="28"/>
        </w:rPr>
        <w:t>-</w:t>
      </w:r>
      <w:r w:rsidRPr="00771572">
        <w:rPr>
          <w:b/>
          <w:bCs/>
          <w:sz w:val="28"/>
          <w:szCs w:val="28"/>
        </w:rPr>
        <w:t>Compliance Breaches</w:t>
      </w:r>
    </w:p>
    <w:p w14:paraId="2508A13F" w14:textId="5EFB5657" w:rsidR="0024441F" w:rsidRPr="0024441F" w:rsidRDefault="00690657" w:rsidP="0024441F">
      <w:pPr>
        <w:rPr>
          <w:sz w:val="28"/>
          <w:szCs w:val="28"/>
        </w:rPr>
      </w:pPr>
      <w:r>
        <w:rPr>
          <w:sz w:val="28"/>
          <w:szCs w:val="28"/>
        </w:rPr>
        <w:tab/>
      </w:r>
      <w:r w:rsidR="0024441F" w:rsidRPr="0024441F">
        <w:rPr>
          <w:sz w:val="28"/>
          <w:szCs w:val="28"/>
        </w:rPr>
        <w:t>The graph for compliance breaches indicates a rise from 50 breaches in 2019 to 70 in 2023. This trend shows that banks are encountering more instances of failing to comply with regulatory requirements and internal policies. Increased compliance breaches can lead to regulatory fines, legal challenges, and reputational damage. The growing number of breaches highlights the importance of maintaining robust compliance programs, regular training for employees on regulatory requirements, and implementing effective monitoring systems to detect and address compliance issues promptly.</w:t>
      </w:r>
    </w:p>
    <w:p w14:paraId="571EBCB6" w14:textId="77777777" w:rsidR="0024441F" w:rsidRPr="0024441F" w:rsidRDefault="0024441F" w:rsidP="0024441F">
      <w:pPr>
        <w:rPr>
          <w:sz w:val="28"/>
          <w:szCs w:val="28"/>
        </w:rPr>
      </w:pPr>
    </w:p>
    <w:p w14:paraId="1B3C13DA" w14:textId="77777777" w:rsidR="00690657" w:rsidRDefault="0024441F" w:rsidP="0024441F">
      <w:pPr>
        <w:rPr>
          <w:b/>
          <w:bCs/>
          <w:sz w:val="28"/>
          <w:szCs w:val="28"/>
        </w:rPr>
      </w:pPr>
      <w:r w:rsidRPr="00771572">
        <w:rPr>
          <w:b/>
          <w:bCs/>
          <w:sz w:val="28"/>
          <w:szCs w:val="28"/>
        </w:rPr>
        <w:t xml:space="preserve"> </w:t>
      </w:r>
    </w:p>
    <w:p w14:paraId="1F54AE55" w14:textId="77777777" w:rsidR="00690657" w:rsidRDefault="00690657" w:rsidP="0024441F">
      <w:pPr>
        <w:rPr>
          <w:b/>
          <w:bCs/>
          <w:sz w:val="28"/>
          <w:szCs w:val="28"/>
        </w:rPr>
      </w:pPr>
    </w:p>
    <w:p w14:paraId="49CAE1FC" w14:textId="2B942F97" w:rsidR="0024441F" w:rsidRPr="00690657" w:rsidRDefault="00690657" w:rsidP="0024441F">
      <w:pPr>
        <w:rPr>
          <w:b/>
          <w:bCs/>
          <w:sz w:val="28"/>
          <w:szCs w:val="28"/>
        </w:rPr>
      </w:pPr>
      <w:r>
        <w:rPr>
          <w:b/>
          <w:bCs/>
          <w:sz w:val="28"/>
          <w:szCs w:val="28"/>
        </w:rPr>
        <w:lastRenderedPageBreak/>
        <w:t>-</w:t>
      </w:r>
      <w:r w:rsidR="0024441F" w:rsidRPr="00771572">
        <w:rPr>
          <w:b/>
          <w:bCs/>
          <w:sz w:val="28"/>
          <w:szCs w:val="28"/>
        </w:rPr>
        <w:t>Compliance Fines (in millions)</w:t>
      </w:r>
    </w:p>
    <w:p w14:paraId="074C646E" w14:textId="515E5F26" w:rsidR="0024441F" w:rsidRPr="0024441F" w:rsidRDefault="00690657" w:rsidP="0024441F">
      <w:pPr>
        <w:rPr>
          <w:sz w:val="28"/>
          <w:szCs w:val="28"/>
        </w:rPr>
      </w:pPr>
      <w:r>
        <w:rPr>
          <w:sz w:val="28"/>
          <w:szCs w:val="28"/>
        </w:rPr>
        <w:tab/>
      </w:r>
      <w:r w:rsidR="0024441F" w:rsidRPr="0024441F">
        <w:rPr>
          <w:sz w:val="28"/>
          <w:szCs w:val="28"/>
        </w:rPr>
        <w:t>The graph for compliance fines shows an increase from $500 million in 2019 to $700 million in 2023. This rise indicates that the financial penalties associated with compliance breaches are becoming more substantial. Higher fines can significantly impact a bank's profitability and financial stability. The trend underscores the need for banks to prioritize regulatory compliance, invest in comprehensive compliance management systems, and adopt a proactive approach to mitigate compliance risks, thereby avoiding costly fines and preserving their financial health and reputation.</w:t>
      </w:r>
    </w:p>
    <w:p w14:paraId="18B5884F" w14:textId="77777777" w:rsidR="0024441F" w:rsidRPr="0024441F" w:rsidRDefault="0024441F" w:rsidP="0024441F">
      <w:pPr>
        <w:rPr>
          <w:sz w:val="28"/>
          <w:szCs w:val="28"/>
        </w:rPr>
      </w:pPr>
    </w:p>
    <w:p w14:paraId="7ED352B3" w14:textId="6AB6F162" w:rsidR="0024441F" w:rsidRPr="00690657" w:rsidRDefault="0024441F" w:rsidP="0024441F">
      <w:pPr>
        <w:rPr>
          <w:b/>
          <w:bCs/>
          <w:sz w:val="28"/>
          <w:szCs w:val="28"/>
        </w:rPr>
      </w:pPr>
      <w:r w:rsidRPr="00771572">
        <w:rPr>
          <w:b/>
          <w:bCs/>
          <w:sz w:val="28"/>
          <w:szCs w:val="28"/>
        </w:rPr>
        <w:t xml:space="preserve"> </w:t>
      </w:r>
      <w:r w:rsidR="00690657">
        <w:rPr>
          <w:b/>
          <w:bCs/>
          <w:sz w:val="28"/>
          <w:szCs w:val="28"/>
        </w:rPr>
        <w:t>-</w:t>
      </w:r>
      <w:r w:rsidRPr="00771572">
        <w:rPr>
          <w:b/>
          <w:bCs/>
          <w:sz w:val="28"/>
          <w:szCs w:val="28"/>
        </w:rPr>
        <w:t>Cybersecurity Incidents</w:t>
      </w:r>
    </w:p>
    <w:p w14:paraId="63F7B08E" w14:textId="318B8AF3" w:rsidR="00771572" w:rsidRDefault="00690657" w:rsidP="0024441F">
      <w:pPr>
        <w:rPr>
          <w:sz w:val="28"/>
          <w:szCs w:val="28"/>
        </w:rPr>
      </w:pPr>
      <w:r>
        <w:rPr>
          <w:sz w:val="28"/>
          <w:szCs w:val="28"/>
        </w:rPr>
        <w:tab/>
      </w:r>
      <w:r w:rsidR="0024441F" w:rsidRPr="0024441F">
        <w:rPr>
          <w:sz w:val="28"/>
          <w:szCs w:val="28"/>
        </w:rPr>
        <w:t>The graph for cybersecurity incidents shows an increase from 30 incidents in 2019 to 40 in 2023. This upward trend indicates that banks are experiencing more frequent cyberattacks, reflecting the growing sophistication and prevalence of cyber threats. Cybersecurity incidents can lead to data breaches, financial losses, and reputational damage. The increase in incidents underscores the critical importance of robust cybersecurity measures, including advanced threat detection, regular security audits, employee training, and investment in cutting-edge security technologies to protect against evolving cyber threats.</w:t>
      </w:r>
    </w:p>
    <w:p w14:paraId="2A891134" w14:textId="77777777" w:rsidR="00771572" w:rsidRDefault="00771572" w:rsidP="0024441F">
      <w:pPr>
        <w:rPr>
          <w:sz w:val="28"/>
          <w:szCs w:val="28"/>
        </w:rPr>
      </w:pPr>
    </w:p>
    <w:p w14:paraId="064EDE15" w14:textId="565FBABB" w:rsidR="00771572" w:rsidRPr="00690657" w:rsidRDefault="00771572" w:rsidP="00771572">
      <w:pPr>
        <w:rPr>
          <w:b/>
          <w:bCs/>
          <w:sz w:val="28"/>
          <w:szCs w:val="28"/>
        </w:rPr>
      </w:pPr>
      <w:r w:rsidRPr="00771572">
        <w:rPr>
          <w:b/>
          <w:bCs/>
          <w:sz w:val="28"/>
          <w:szCs w:val="28"/>
        </w:rPr>
        <w:t xml:space="preserve"> C</w:t>
      </w:r>
      <w:r w:rsidR="00690657">
        <w:rPr>
          <w:b/>
          <w:bCs/>
          <w:sz w:val="28"/>
          <w:szCs w:val="28"/>
        </w:rPr>
        <w:t>ONCLUSION:</w:t>
      </w:r>
    </w:p>
    <w:p w14:paraId="3426F819" w14:textId="73417659" w:rsidR="00771572" w:rsidRPr="00771572" w:rsidRDefault="00771572" w:rsidP="00771572">
      <w:pPr>
        <w:rPr>
          <w:b/>
          <w:bCs/>
          <w:sz w:val="28"/>
          <w:szCs w:val="28"/>
        </w:rPr>
      </w:pPr>
      <w:r w:rsidRPr="00771572">
        <w:rPr>
          <w:b/>
          <w:bCs/>
          <w:sz w:val="28"/>
          <w:szCs w:val="28"/>
        </w:rPr>
        <w:t xml:space="preserve"> Wealth Management Operations</w:t>
      </w:r>
    </w:p>
    <w:p w14:paraId="5608A947" w14:textId="7F6A0CAF" w:rsidR="00771572" w:rsidRPr="00771572" w:rsidRDefault="00771572" w:rsidP="00771572">
      <w:pPr>
        <w:rPr>
          <w:sz w:val="28"/>
          <w:szCs w:val="28"/>
        </w:rPr>
      </w:pPr>
      <w:r>
        <w:rPr>
          <w:sz w:val="28"/>
          <w:szCs w:val="28"/>
        </w:rPr>
        <w:tab/>
      </w:r>
      <w:r>
        <w:rPr>
          <w:sz w:val="28"/>
          <w:szCs w:val="28"/>
        </w:rPr>
        <w:tab/>
      </w:r>
      <w:r w:rsidRPr="00771572">
        <w:rPr>
          <w:sz w:val="28"/>
          <w:szCs w:val="28"/>
        </w:rPr>
        <w:t>Over the past five years, wealth management operations in U.S. banking have shown robust growth, evidenced by the steady increase in Assets Under Management (AUM) and revenue. This growth reflects the rising demand for personalized financial planning and investment services among high-net-worth individuals (HNWIs). As the number of HNWIs continues to grow, wealth management services are becoming increasingly essential in helping clients achieve their financial goals. The consistent upward trends in both AUM and revenue highlight the sector's resilience and its ability to adapt to market dynamics, suggesting a strong future outlook for wealth management operations.</w:t>
      </w:r>
    </w:p>
    <w:p w14:paraId="2552EC99" w14:textId="77777777" w:rsidR="00771572" w:rsidRPr="00771572" w:rsidRDefault="00771572" w:rsidP="00771572">
      <w:pPr>
        <w:rPr>
          <w:sz w:val="28"/>
          <w:szCs w:val="28"/>
        </w:rPr>
      </w:pPr>
    </w:p>
    <w:p w14:paraId="60AD1B87" w14:textId="31662CE5" w:rsidR="00771572" w:rsidRPr="00771572" w:rsidRDefault="00771572" w:rsidP="00771572">
      <w:pPr>
        <w:rPr>
          <w:b/>
          <w:bCs/>
          <w:sz w:val="28"/>
          <w:szCs w:val="28"/>
        </w:rPr>
      </w:pPr>
      <w:r w:rsidRPr="00771572">
        <w:rPr>
          <w:b/>
          <w:bCs/>
          <w:sz w:val="28"/>
          <w:szCs w:val="28"/>
        </w:rPr>
        <w:lastRenderedPageBreak/>
        <w:t xml:space="preserve"> Treasury Management Services</w:t>
      </w:r>
    </w:p>
    <w:p w14:paraId="6C05E3E1" w14:textId="796BE2FE" w:rsidR="00771572" w:rsidRPr="00771572" w:rsidRDefault="00771572" w:rsidP="00771572">
      <w:pPr>
        <w:rPr>
          <w:sz w:val="28"/>
          <w:szCs w:val="28"/>
        </w:rPr>
      </w:pPr>
      <w:r>
        <w:rPr>
          <w:sz w:val="28"/>
          <w:szCs w:val="28"/>
        </w:rPr>
        <w:tab/>
      </w:r>
      <w:r>
        <w:rPr>
          <w:sz w:val="28"/>
          <w:szCs w:val="28"/>
        </w:rPr>
        <w:tab/>
      </w:r>
      <w:r w:rsidRPr="00771572">
        <w:rPr>
          <w:sz w:val="28"/>
          <w:szCs w:val="28"/>
        </w:rPr>
        <w:t>Treasury management services have seen significant growth in transaction volumes and revenue over the past five years, driven by the increasing adoption of electronic payment solutions. ACH transactions and wire transfers have both increased, reflecting a shift towards digital and automated payment methods. The rise in revenue from these services indicates that businesses are relying more on treasury management to optimize their cash flows and mitigate financial risks. This trend underscores the importance of continuous innovation and technological advancements in treasury management to meet the evolving needs of businesses and enhance efficiency in financial operations.</w:t>
      </w:r>
    </w:p>
    <w:p w14:paraId="390426C6" w14:textId="77777777" w:rsidR="00771572" w:rsidRPr="00771572" w:rsidRDefault="00771572" w:rsidP="00771572">
      <w:pPr>
        <w:rPr>
          <w:sz w:val="28"/>
          <w:szCs w:val="28"/>
        </w:rPr>
      </w:pPr>
    </w:p>
    <w:p w14:paraId="6F505377" w14:textId="37D50AB5" w:rsidR="00771572" w:rsidRPr="00771572" w:rsidRDefault="00771572" w:rsidP="00771572">
      <w:pPr>
        <w:rPr>
          <w:b/>
          <w:bCs/>
          <w:sz w:val="28"/>
          <w:szCs w:val="28"/>
        </w:rPr>
      </w:pPr>
      <w:r w:rsidRPr="00771572">
        <w:rPr>
          <w:b/>
          <w:bCs/>
          <w:sz w:val="28"/>
          <w:szCs w:val="28"/>
        </w:rPr>
        <w:t xml:space="preserve"> Risk Management in U.S. Banking Operations</w:t>
      </w:r>
    </w:p>
    <w:p w14:paraId="164C896A" w14:textId="29AEA6AC" w:rsidR="0024441F" w:rsidRPr="00BB0D88" w:rsidRDefault="00771572" w:rsidP="00771572">
      <w:pPr>
        <w:rPr>
          <w:sz w:val="28"/>
          <w:szCs w:val="28"/>
        </w:rPr>
      </w:pPr>
      <w:r>
        <w:rPr>
          <w:sz w:val="28"/>
          <w:szCs w:val="28"/>
        </w:rPr>
        <w:tab/>
      </w:r>
      <w:r>
        <w:rPr>
          <w:sz w:val="28"/>
          <w:szCs w:val="28"/>
        </w:rPr>
        <w:tab/>
      </w:r>
      <w:r w:rsidRPr="00771572">
        <w:rPr>
          <w:sz w:val="28"/>
          <w:szCs w:val="28"/>
        </w:rPr>
        <w:t>Risk management in U.S. banking operations has faced increasing challenges over the past five years. The rise in non-performing loan ratios and Value-at-Risk (</w:t>
      </w:r>
      <w:proofErr w:type="spellStart"/>
      <w:r w:rsidRPr="00771572">
        <w:rPr>
          <w:sz w:val="28"/>
          <w:szCs w:val="28"/>
        </w:rPr>
        <w:t>VaR</w:t>
      </w:r>
      <w:proofErr w:type="spellEnd"/>
      <w:r w:rsidRPr="00771572">
        <w:rPr>
          <w:sz w:val="28"/>
          <w:szCs w:val="28"/>
        </w:rPr>
        <w:t>) points to heightened credit and market risks. Additionally, the increase in operational loss events and amounts highlights ongoing operational risks. However, the improvement in the Liquidity Coverage Ratio (LCR) indicates better liquidity management, enhancing banks' ability to withstand short-term financial stresses. The rise in compliance breaches, fines, and cybersecurity incidents emphasizes the need for robust compliance and cybersecurity frameworks. Overall, these trends highlight the critical importance of comprehensive risk management strategies to ensure the stability and resilience of the banking sector.</w:t>
      </w:r>
      <w:r w:rsidR="0024441F">
        <w:rPr>
          <w:sz w:val="28"/>
          <w:szCs w:val="28"/>
        </w:rPr>
        <w:t xml:space="preserve"> </w:t>
      </w:r>
    </w:p>
    <w:sectPr w:rsidR="0024441F" w:rsidRPr="00BB0D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30915" w14:textId="77777777" w:rsidR="00AF49EC" w:rsidRDefault="00AF49EC" w:rsidP="00771572">
      <w:pPr>
        <w:spacing w:after="0" w:line="240" w:lineRule="auto"/>
      </w:pPr>
      <w:r>
        <w:separator/>
      </w:r>
    </w:p>
  </w:endnote>
  <w:endnote w:type="continuationSeparator" w:id="0">
    <w:p w14:paraId="2FF25095" w14:textId="77777777" w:rsidR="00AF49EC" w:rsidRDefault="00AF49EC" w:rsidP="00771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FB78D" w14:textId="77777777" w:rsidR="00AF49EC" w:rsidRDefault="00AF49EC" w:rsidP="00771572">
      <w:pPr>
        <w:spacing w:after="0" w:line="240" w:lineRule="auto"/>
      </w:pPr>
      <w:r>
        <w:separator/>
      </w:r>
    </w:p>
  </w:footnote>
  <w:footnote w:type="continuationSeparator" w:id="0">
    <w:p w14:paraId="31FC8038" w14:textId="77777777" w:rsidR="00AF49EC" w:rsidRDefault="00AF49EC" w:rsidP="007715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88"/>
    <w:rsid w:val="0024441F"/>
    <w:rsid w:val="003D4DA0"/>
    <w:rsid w:val="004022D4"/>
    <w:rsid w:val="0052122A"/>
    <w:rsid w:val="00690657"/>
    <w:rsid w:val="00771572"/>
    <w:rsid w:val="00AF49EC"/>
    <w:rsid w:val="00BB0D88"/>
    <w:rsid w:val="00E15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88F5"/>
  <w15:chartTrackingRefBased/>
  <w15:docId w15:val="{EC621E7C-D36C-47F1-A629-ACCA96DF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F2C"/>
  </w:style>
  <w:style w:type="paragraph" w:styleId="Heading4">
    <w:name w:val="heading 4"/>
    <w:basedOn w:val="Normal"/>
    <w:link w:val="Heading4Char"/>
    <w:uiPriority w:val="9"/>
    <w:qFormat/>
    <w:rsid w:val="00E15F2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15F2C"/>
    <w:rPr>
      <w:rFonts w:ascii="Times New Roman" w:eastAsia="Times New Roman" w:hAnsi="Times New Roman" w:cs="Times New Roman"/>
      <w:b/>
      <w:bCs/>
      <w:kern w:val="0"/>
      <w:sz w:val="24"/>
      <w:szCs w:val="24"/>
      <w:lang w:eastAsia="en-IN"/>
      <w14:ligatures w14:val="none"/>
    </w:rPr>
  </w:style>
  <w:style w:type="paragraph" w:styleId="Header">
    <w:name w:val="header"/>
    <w:basedOn w:val="Normal"/>
    <w:link w:val="HeaderChar"/>
    <w:uiPriority w:val="99"/>
    <w:unhideWhenUsed/>
    <w:rsid w:val="00771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572"/>
  </w:style>
  <w:style w:type="paragraph" w:styleId="Footer">
    <w:name w:val="footer"/>
    <w:basedOn w:val="Normal"/>
    <w:link w:val="FooterChar"/>
    <w:uiPriority w:val="99"/>
    <w:unhideWhenUsed/>
    <w:rsid w:val="00771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81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2024-06-19T03:27:00Z</dcterms:created>
  <dcterms:modified xsi:type="dcterms:W3CDTF">2024-06-19T04:12:00Z</dcterms:modified>
</cp:coreProperties>
</file>