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Ultra-Calc PDF Automation</w:t>
      </w:r>
    </w:p>
    <w:p>
      <w:pPr>
        <w:spacing w:after="80"/>
      </w:pPr>
      <w:r>
        <w:rPr>
          <w:color w:val="444444"/>
          <w:sz w:val="30"/>
          <w:szCs w:val="30"/>
        </w:rPr>
        <w:t xml:space="preserve">Architecture &amp; Roadmap — Updated Plan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Revision incorporating findings from a real AutoCAD-exported architectural PDF test case (“test-plan.pdf”, 91 Jenny Jump Road project), plus a paid-tools evaluation.</w:t>
      </w:r>
    </w:p>
    <w:p>
      <w:pPr>
        <w:pBdr>
          <w:bottom w:val="single" w:color="999999" w:sz="6" w:space="1"/>
        </w:pBdr>
        <w:spacing w:after="200" w:before="100"/>
      </w:pPr>
    </w:p>
    <w:p>
      <w:pPr>
        <w:pStyle w:val="Heading1"/>
        <w:spacing w:after="150" w:before="300"/>
      </w:pPr>
      <w:r>
        <w:t xml:space="preserve">Summary of What Changed and Why</w:t>
      </w:r>
    </w:p>
    <w:p>
      <w:pPr>
        <w:spacing w:after="120"/>
      </w:pPr>
      <w:r>
        <w:t xml:space="preserve">The original architecture review (Sections 1–10) laid out a staged, deterministic-first pipeline with AI used sparingly for ambiguity resolution. Testing against a real, CAD-exported architectural PDF confirmed the core diagnosis and surfaced concrete, fixable gaps. This document folds those findings into an updated plan. Nothing in the original direction is being reversed — the changes sharpen and de-risk it.</w:t>
      </w:r>
    </w:p>
    <w:p>
      <w:pPr>
        <w:pStyle w:val="Heading2"/>
        <w:spacing w:after="100" w:before="200"/>
      </w:pPr>
      <w:r>
        <w:t xml:space="preserve">Key finding from the test 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Room names, dimensions, and door/window callouts on plan sheets are drawn as vector graphics in the AutoCAD PDF export — not real text. pdftotext, pdfplumber, and pypdf return nothing for this content, even though pdftoppm rendering shows it clearly and legibly.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By contrast, title sheets (general notes, schedules) do contain a real, extractable text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Confirmed: a single logical floor plan can be split across two PDF pages (e.g. A-1 / A-1.1), linked by matching sheet titles and “MATCH LINE” references.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Bare numbers throughout the document (door marks, block/lot numbers, load values, street address) are easily confused with room numbers by naive text-pattern matching — spatial context is required to disambiguate.</w:t>
      </w:r>
    </w:p>
    <w:p>
      <w:pPr>
        <w:spacing w:after="120"/>
      </w:pPr>
      <w:r>
        <w:t xml:space="preserve">Conclusion: OCR-on-rendered-image remains the only viable extraction path for plan pages. The plan's job is to make that OCR pass more targeted, higher-resolution, and better filtered — not to replace it with text extraction.</w:t>
      </w:r>
    </w:p>
    <w:p>
      <w:pPr>
        <w:pBdr>
          <w:bottom w:val="single" w:color="999999" w:sz="6" w:space="1"/>
        </w:pBdr>
        <w:spacing w:after="200" w:before="100"/>
      </w:pPr>
    </w:p>
    <w:p>
      <w:pPr>
        <w:pStyle w:val="Heading1"/>
        <w:spacing w:after="150" w:before="300"/>
      </w:pPr>
      <w:r>
        <w:t xml:space="preserve">1. Product / Problem Statement (unchanged)</w:t>
      </w:r>
    </w:p>
    <w:p>
      <w:pPr>
        <w:spacing w:after="120"/>
      </w:pPr>
      <w:r>
        <w:t xml:space="preserve">Ultra-Calc already has a room-based calculation workflow. The problem is reducing the manual effort required to transfer room information from architectural PDF plans into the application's RoomInput structure — producing trustworthy draft data while preserving human review before anything affects calculations or persistence.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multi-page architectural/construction PDF.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Relevant data: floor-plan pages, rooms/spaces, labels and usable dimensions.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reviewed RoomInput-compatible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Constraint: do not invent missing information; preserve ambiguity and require review where evidence is weak.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 criterion: automation must save more time than manual entry, not merely demonstrate AI capability.</w:t>
      </w:r>
    </w:p>
    <w:p>
      <w:pPr>
        <w:pStyle w:val="Heading1"/>
        <w:spacing w:after="150" w:before="300"/>
      </w:pPr>
      <w:r>
        <w:t xml:space="preserve">2. Existing Ultra-Calc Functionality (unchanged)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Room-based data entry through RoomInput / ProjectEditor.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Room validation using the existing validation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Project/settings data used by the existing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calculation functionality that consumes room/project inputs.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room creation and editing, including established placeholder/default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PDF-assisted entry page (view PDF while entering rooms, no OCR/AI).</w:t>
      </w:r>
    </w:p>
    <w:p>
      <w:pPr>
        <w:spacing w:after="120"/>
      </w:pPr>
      <w:r>
        <w:t xml:space="preserve">The automation work continues to deliberately avoid changing calculation logic, the RoomInput model, geometry/calculation code, Firebase/backend behavior, and the existing manual flow.</w:t>
      </w:r>
    </w:p>
    <w:p>
      <w:pPr>
        <w:pStyle w:val="Heading1"/>
        <w:spacing w:after="150" w:before="300"/>
      </w:pPr>
      <w:r>
        <w:t xml:space="preserve">3. What Has Been Implemented (unchanged baseline)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PDF.js rendering and page viewing.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High-resolution analysis canvas.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Tesseract OCR.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Deterministic room-label detection.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Deterministic dimension candidate detection and normalization.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Spatial evidence and crop validation.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Room-label filtering: likelyRoom / possibleRoom / rejected, plus duplicate detection.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Multi-page browser-only orchestration.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page-level AI candidate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Gemini room discovery from page images.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 stage combining OCR/deterministic and Gemini-discovered room candidates.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Deterministic dimension-to-room association.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 Gemini review of ambiguous room dimensions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Room Review UI: editable room name/dimensions with Accept / Reject / Undo.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Deterministic conversion of accepted reviewed rooms into RoomInput preview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PDF-assisted workflow remains available separately.</w:t>
      </w:r>
    </w:p>
    <w:p>
      <w:pPr>
        <w:pStyle w:val="Heading1"/>
        <w:spacing w:after="150" w:before="300"/>
      </w:pPr>
      <w:r>
        <w:t xml:space="preserve">4. Updated Target Flow</w:t>
      </w:r>
    </w:p>
    <w:p>
      <w:pPr>
        <w:spacing w:after="120"/>
      </w:pPr>
      <w:r>
        <w:t xml:space="preserve">Revised to add a free pre-classification pass and move exclusion/masking earlier, before OCR runs: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0 (NEW): Per-page text-layer density check (pdftotext word count) → free signal for “notes/schedule page” vs. “drawing/plan page”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1: Identify relevant floor-plan pages; skip obvious non-plan pages using Stage 0 signal + sheet-title keywords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1b (NEW): Detect split sheets via matching titles / “MATCH LINE” references and group into one logical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2: Render plan pages at increased resolution / tiled regions (NEW) → OCR + deterministic label/dimension detection, with title-block and schedule regions masked out first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3: Merge / deduplicate candidates across grouped sheets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4: Confidence and ambiguity scoring, including dimension-format validation (NEW)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ambiguous cases → targeted AI review (Gemini budget concentrated here, NEW emphasis)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Final Room 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accepts/edits/rejects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 approved data → RoomInput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Ultra-Calc validation and calculations</w:t>
      </w:r>
    </w:p>
    <w:p>
      <w:pPr>
        <w:pStyle w:val="Heading1"/>
        <w:spacing w:after="150" w:before="300"/>
      </w:pPr>
      <w:r>
        <w:t xml:space="preserve">5. What Testing Revealed (original + confirmed)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Processing every PDF page creates substantial noise: title sheets, notes, elevations, sections, schedules, and MEP drawings contain no room data yet consume OCR/AI budget.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page can contain many OCR labels that are not rooms.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Page-level and room-level AI calls can consume quota quickly.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Gemini quota exhaustion showed the request strategy must be economical.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room candidates and dimensions are useful, but many results require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 page does not necessarily equal a logical floor; some floors are represented across multiple sheets. CONFIRMED on a real project (A-0/A-0.1, A-1/A-1.1, A-2/A-2.1).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Room/dimension text on CAD-exported plan sheets is not present in the PDF text layer at all — it is vector-drawn. Deterministic text extraction (pdfplumber/pdftotext/pypdf) will always return empty for this content; OCR-on-rendered-image is mandatory for plan pages, not optional.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Dimension text is small relative to full architectural sheet size (e.g. 36″×24″ sheets); OCR at 150 DPI risks missing or misreading small dimension strings without tiling or higher resolution.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Bare numeric tokens (door marks, block/lot, address, load values) are easily mistaken for room numbers without spatial/positional context.</w:t>
      </w:r>
    </w:p>
    <w:p>
      <w:pPr>
        <w:pStyle w:val="Heading1"/>
        <w:spacing w:after="150" w:before="300"/>
      </w:pPr>
      <w:r>
        <w:t xml:space="preserve">6. Recommended Target Flow (narrative)</w:t>
      </w:r>
    </w:p>
    <w:p>
      <w:pPr>
        <w:spacing w:after="120"/>
      </w:pPr>
      <w:r>
        <w:t xml:space="preserve">Deterministic-first triage, OCR-first extraction on plan pages, AI reserved for genuine ambiguity: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1: Identify relevant floor-plan pages using free text-density signal + inexpensive keyword rules; skip non-plan pages; group split sheets by title/match-line before extraction.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2: On grouped plan pages — mask out title-block and schedule regions, render at higher resolution or in tiles, then run OCR/deterministic detection as the primary (not “try-first-then-fallback”) method for room labels and dimensions.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3: Merge / deduplicate candidates across a floor's grouped sheets.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Stage 4: Confidence and ambiguity scoring, with dimension-format validation (feet-inches pattern, plausible range) added as a cheap filter before anything is marked “ambiguous.”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ambiguous cases → targeted AI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Final Room Review → user accepts/edits/rejects → convert to RoomInput → existing validation and calculations.</w:t>
      </w:r>
    </w:p>
    <w:p>
      <w:pPr>
        <w:pStyle w:val="Heading1"/>
        <w:spacing w:after="150" w:before="300"/>
      </w:pPr>
      <w:r>
        <w:t xml:space="preserve">7. AI Request Strategy (updated)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make AI calls for every PDF page (unchanged).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make AI calls for every room by default (unchanged).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identify likely floor-plan pages using free deterministic signals: sheet-title keywords AND text-layer density (near-empty text layer = likely a drawing page).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one primary AI request per relevant page or floor-plan group where possible (unchanged).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Concentrate Gemini spend on Stage 4 ambiguous room–dimension association, not on page-level candidate review across every page — improved OCR input quality (Stage 2 changes) should reduce how often deterministic detection fails in the first place.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additional room-level AI only when deterministic confidence is low or there is a genuine conflict (unchanged).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Cache or retain analysis results during the session so the same page is not repeatedly sent for analysis (unchanged).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allow AI output to silently become calculation data without validation and review (unchanged).</w:t>
      </w:r>
    </w:p>
    <w:p>
      <w:pPr>
        <w:pStyle w:val="Heading1"/>
        <w:spacing w:after="150" w:before="300"/>
      </w:pPr>
      <w:r>
        <w:t xml:space="preserve">8. Architecture Principle (unchanged)</w:t>
      </w:r>
    </w:p>
    <w:p>
      <w:pPr>
        <w:spacing w:after="120"/>
      </w:pPr>
      <w:r>
        <w:t xml:space="preserve">The deterministic pipeline acts as the evidence layer. AI acts as an interpretation and ambiguity-resolution layer. The user remains the final authority before data enters the established Ultra-Calc workflow.</w:t>
      </w:r>
    </w:p>
    <w:p>
      <w:pPr>
        <w:pStyle w:val="Heading1"/>
        <w:spacing w:after="150" w:before="300"/>
      </w:pPr>
      <w:r>
        <w:t xml:space="preserve">9. Concrete Accuracy Improvements (NEW)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34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Problem it solves</w:t>
            </w:r>
          </w:p>
        </w:tc>
        <w:tc>
          <w:tcPr>
            <w:tcW w:type="dxa" w:w="234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Cost</w:t>
            </w:r>
          </w:p>
        </w:tc>
      </w:tr>
      <w:tr>
        <w:tc>
          <w:tcPr>
            <w:tcW w:type="dxa" w:w="3600"/>
          </w:tcPr>
          <w:p>
            <w:r>
              <w:t xml:space="preserve">Text-layer density pre-classifier (Stage 0)</w:t>
            </w:r>
          </w:p>
        </w:tc>
        <w:tc>
          <w:tcPr>
            <w:tcW w:type="dxa" w:w="3600"/>
          </w:tcPr>
          <w:p>
            <w:r>
              <w:t xml:space="preserve">Free, near-zero-cost way to skip title/notes/schedule pages before any OCR or AI spend</w:t>
            </w:r>
          </w:p>
        </w:tc>
        <w:tc>
          <w:tcPr>
            <w:tcW w:type="dxa" w:w="2340"/>
          </w:tcPr>
          <w:p>
            <w:r>
              <w:t xml:space="preserve">Low — one pdftotext pass per page</w:t>
            </w:r>
          </w:p>
        </w:tc>
      </w:tr>
      <w:tr>
        <w:tc>
          <w:tcPr>
            <w:tcW w:type="dxa" w:w="3600"/>
          </w:tcPr>
          <w:p>
            <w:r>
              <w:t xml:space="preserve">Tile or increase DPI on plan pages</w:t>
            </w:r>
          </w:p>
        </w:tc>
        <w:tc>
          <w:tcPr>
            <w:tcW w:type="dxa" w:w="3600"/>
          </w:tcPr>
          <w:p>
            <w:r>
              <w:t xml:space="preserve">Small dimension text is illegible/misread at low resolution on large architectural sheets</w:t>
            </w:r>
          </w:p>
        </w:tc>
        <w:tc>
          <w:tcPr>
            <w:tcW w:type="dxa" w:w="2340"/>
          </w:tcPr>
          <w:p>
            <w:r>
              <w:t xml:space="preserve">Medium — more pixels to OCR, bounded to plan pages only</w:t>
            </w:r>
          </w:p>
        </w:tc>
      </w:tr>
      <w:tr>
        <w:tc>
          <w:tcPr>
            <w:tcW w:type="dxa" w:w="3600"/>
          </w:tcPr>
          <w:p>
            <w:r>
              <w:t xml:space="preserve">Title-block / schedule exclusion masking before OCR</w:t>
            </w:r>
          </w:p>
        </w:tc>
        <w:tc>
          <w:tcPr>
            <w:tcW w:type="dxa" w:w="3600"/>
          </w:tcPr>
          <w:p>
            <w:r>
              <w:t xml:space="preserve">Prevents block/lot numbers, door marks, load values from ever becoming room-number candidates</w:t>
            </w:r>
          </w:p>
        </w:tc>
        <w:tc>
          <w:tcPr>
            <w:tcW w:type="dxa" w:w="2340"/>
          </w:tcPr>
          <w:p>
            <w:r>
              <w:t xml:space="preserve">Low — fixed regions, consistent across sheets from same firm</w:t>
            </w:r>
          </w:p>
        </w:tc>
      </w:tr>
      <w:tr>
        <w:tc>
          <w:tcPr>
            <w:tcW w:type="dxa" w:w="3600"/>
          </w:tcPr>
          <w:p>
            <w:r>
              <w:t xml:space="preserve">Match-line / repeated-title sheet grouping</w:t>
            </w:r>
          </w:p>
        </w:tc>
        <w:tc>
          <w:tcPr>
            <w:tcW w:type="dxa" w:w="3600"/>
          </w:tcPr>
          <w:p>
            <w:r>
              <w:t xml:space="preserve">Prevents duplicate/partial room detection across split sheets (A-1/A-1.1 etc.)</w:t>
            </w:r>
          </w:p>
        </w:tc>
        <w:tc>
          <w:tcPr>
            <w:tcW w:type="dxa" w:w="2340"/>
          </w:tcPr>
          <w:p>
            <w:r>
              <w:t xml:space="preserve">Low — text-based rule</w:t>
            </w:r>
          </w:p>
        </w:tc>
      </w:tr>
      <w:tr>
        <w:tc>
          <w:tcPr>
            <w:tcW w:type="dxa" w:w="3600"/>
          </w:tcPr>
          <w:p>
            <w:r>
              <w:t xml:space="preserve">Dimension-format validator (regex + range check)</w:t>
            </w:r>
          </w:p>
        </w:tc>
        <w:tc>
          <w:tcPr>
            <w:tcW w:type="dxa" w:w="3600"/>
          </w:tcPr>
          <w:p>
            <w:r>
              <w:t xml:space="preserve">Filters OCR misfires (notes text, door tags) from being treated as dimensions</w:t>
            </w:r>
          </w:p>
        </w:tc>
        <w:tc>
          <w:tcPr>
            <w:tcW w:type="dxa" w:w="2340"/>
          </w:tcPr>
          <w:p>
            <w:r>
              <w:t xml:space="preserve">Low</w:t>
            </w:r>
          </w:p>
        </w:tc>
      </w:tr>
      <w:tr>
        <w:tc>
          <w:tcPr>
            <w:tcW w:type="dxa" w:w="3600"/>
          </w:tcPr>
          <w:p>
            <w:r>
              <w:t xml:space="preserve">Concentrate AI spend on Stage 4 only</w:t>
            </w:r>
          </w:p>
        </w:tc>
        <w:tc>
          <w:tcPr>
            <w:tcW w:type="dxa" w:w="3600"/>
          </w:tcPr>
          <w:p>
            <w:r>
              <w:t xml:space="preserve">Reduces AI cost and reserves the more expensive/valuable calls for cases deterministic methods genuinely can't resolve</w:t>
            </w:r>
          </w:p>
        </w:tc>
        <w:tc>
          <w:tcPr>
            <w:tcW w:type="dxa" w:w="2340"/>
          </w:tcPr>
          <w:p>
            <w:r>
              <w:t xml:space="preserve">Saves cost</w:t>
            </w:r>
          </w:p>
        </w:tc>
      </w:tr>
    </w:tbl>
    <w:p>
      <w:pPr>
        <w:pStyle w:val="Heading1"/>
        <w:spacing w:after="150" w:before="300"/>
      </w:pPr>
      <w:r>
        <w:t xml:space="preserve">10. Decision Framework (unchanged criteria, now with real test data)</w:t>
      </w:r>
    </w:p>
    <w:p>
      <w:pPr>
        <w:spacing w:after="120"/>
      </w:pPr>
      <w:r>
        <w:t xml:space="preserve">For each alternative — in-house pipeline vs. paid tools — evaluate: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Accuracy of room detection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Accuracy of dimension extraction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Number of API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 per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Latency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review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Ability to explain evidence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Privacy/security of uploaded plans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Integration effort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it produces reliable data compatible with existing RoomInput and validation</w:t>
      </w:r>
    </w:p>
    <w:p>
      <w:pPr>
        <w:pStyle w:val="Heading1"/>
        <w:spacing w:after="150" w:before="300"/>
      </w:pPr>
      <w:r>
        <w:t xml:space="preserve">11. Paid Tools / APIs Worth Evaluating (NEW)</w:t>
      </w:r>
    </w:p>
    <w:p>
      <w:pPr>
        <w:pStyle w:val="Heading2"/>
        <w:spacing w:after="100" w:before="200"/>
      </w:pPr>
      <w:r>
        <w:t xml:space="preserve">Purpose-built construction/floor-plan tools</w:t>
      </w:r>
    </w:p>
    <w:p>
      <w:pPr>
        <w:spacing w:after="120"/>
      </w:pPr>
      <w:r>
        <w:rPr>
          <w:b/>
          <w:bCs/>
        </w:rPr>
        <w:t xml:space="preserve">Togal.AI </w:t>
      </w:r>
      <w:r>
        <w:t xml:space="preserve">— the most mature option for this exact problem. Claims ~98% accuracy on floor plans using AIA measurement standards, accepts PDF/JPEG/PNG/TIFF, and automatically detects, labels, and measures project spaces and fixtures (doors, bathroom fixtures, parking spaces). Offers a chat interface (“TogalCHAT”) and integrates with eTakeoff for a full estimating 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Caveat: primarily marketed for area/quantity takeoff (cost estimating), so room-name extraction reliability specifically (vs. area measurement) needs direct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Caveat: confirm whether a direct pay-per-call API exists, or only a SaaS/desktop-integration model.</w:t>
      </w:r>
    </w:p>
    <w:p>
      <w:pPr>
        <w:spacing w:after="120"/>
      </w:pPr>
      <w:r>
        <w:rPr>
          <w:b/>
          <w:bCs/>
        </w:rPr>
        <w:t xml:space="preserve">Apify “Blueprint Intelligence” actor </w:t>
      </w:r>
      <w:r>
        <w:t xml:space="preserve">— AI-vision wrapper that extracts rooms, dimensions, and materials from PDF/JPG into structured JSON, priced at $250 per 1,000 blueprint analyses. Low usage/adoption currently — treat as a cheap experiment, not a vetted vendor.</w:t>
      </w:r>
    </w:p>
    <w:p>
      <w:pPr>
        <w:pStyle w:val="Heading2"/>
        <w:spacing w:after="100" w:before="200"/>
      </w:pPr>
      <w:r>
        <w:t xml:space="preserve">General-purpose document/vision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Document AI, AWS Textract, Azure AI Document Intelligence — tuned for standard business documents (forms, invoices); unlikely to outperform vision-LLM approaches on architectural drawings specifically.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Claude / GPT-4V / Gemini vision (current approach) — for this content type, general vision-LLM reasoning is likely to outperform OCR-centric “document AI” products, since floor plans require spatial reasoning those tools weren't built for.</w:t>
      </w:r>
    </w:p>
    <w:p>
      <w:pPr>
        <w:pStyle w:val="Heading2"/>
        <w:spacing w:after="100" w:before="200"/>
      </w:pPr>
      <w:r>
        <w:t xml:space="preserve">Recommendation</w:t>
      </w:r>
    </w:p>
    <w:p>
      <w:pPr>
        <w:spacing w:after="120"/>
      </w:pPr>
      <w:r>
        <w:t xml:space="preserve">Pilot Togal.AI (or request API/trial access) against this test PDF and 2–3 real customer projects, scored against the Section 10 criteria. If it clears the bar on room-name accuracy (not just area measurement) and cost-per-project, it may be faster to integrate as a backend than to keep building Stages 1–4 in-house. If it falls short specifically on room naming, that identifies exactly where the custom pipeline retains unique value.</w:t>
      </w:r>
    </w:p>
    <w:p>
      <w:pPr>
        <w:pStyle w:val="Heading1"/>
        <w:spacing w:after="150" w:before="300"/>
      </w:pPr>
      <w:r>
        <w:t xml:space="preserve">12. Recommended Next Investigation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Section 9 changes (Stage 0 classifier, tiling, exclusion masking, match-line grouping) against this test PDF and measure the before/after accuracy delta.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 Togal.AI (or similar) against the same test PDF using the Section 10 rubric, specifically scoring room-name accuracy separately from area/dimension accuracy.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manual-entry time versus automated-review time on several real customer projects.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exactly which RoomInput fields can realistically be extracted from floor plans.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which pages are truly needed for HVAC/Ultra-Calc calculations.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Decide whether page classification and floor grouping should happen before OCR (this plan now says yes — confirm in implementation).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continue AI development when a stage demonstrates measurable time savings or accuracy improvement over both the previous in-house version and any evaluated paid alternative.</w:t>
      </w:r>
    </w:p>
    <w:p>
      <w:pPr>
        <w:pBdr>
          <w:bottom w:val="single" w:color="999999" w:sz="6" w:space="1"/>
        </w:pBdr>
        <w:spacing w:after="200" w:before="100"/>
      </w:pPr>
    </w:p>
    <w:p>
      <w:pPr>
        <w:spacing w:after="120"/>
      </w:pPr>
      <w:r>
        <w:rPr>
          <w:i/>
          <w:iCs/>
        </w:rPr>
        <w:t xml:space="preserve">Conclusion: The current implementation remains a useful prototype and evidence-gathering system. The recommended next step is not more AI stages layered onto the existing pipeline — it is to (1) implement the concrete, low-cost accuracy fixes in Section 9, (2) benchmark the result against manual entry, and (3) run a head-to-head evaluation against at least one paid, purpose-built alternative (Togal.AI) before committing further in-house engineering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2026-09-06T17:35:41.130Z</dcterms:created>
  <dcterms:modified xsi:type="dcterms:W3CDTF">2026-09-06T17:35:41.142Z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