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  <w:jc w:val="center"/>
      </w:pPr>
      <w:r>
        <w:rPr>
          <w:rFonts w:ascii="Arial" w:cs="Arial" w:eastAsia="Arial" w:hAnsi="Arial"/>
          <w:b/>
          <w:bCs/>
          <w:color w:val="0B5CAB"/>
          <w:sz w:val="44"/>
          <w:szCs w:val="44"/>
        </w:rPr>
        <w:t xml:space="preserve">SENATI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Manual de usuario</w:t>
      </w:r>
    </w:p>
    <w:p>
      <w:pPr>
        <w:spacing w:after="120"/>
        <w:jc w:val="center"/>
      </w:pPr>
      <w:r>
        <w:rPr>
          <w:rFonts w:ascii="Arial" w:cs="Arial" w:eastAsia="Arial" w:hAnsi="Arial"/>
          <w:sz w:val="28"/>
          <w:szCs w:val="28"/>
        </w:rPr>
        <w:t xml:space="preserve">Sistema de registro de acciones de supervisión de hidrocarburos</w:t>
      </w:r>
    </w:p>
    <w:p>
      <w:pPr>
        <w:spacing w:after="1200"/>
        <w:jc w:val="center"/>
      </w:pPr>
      <w:r>
        <w:rPr>
          <w:rFonts w:ascii="Arial" w:cs="Arial" w:eastAsia="Arial" w:hAnsi="Arial"/>
          <w:color w:val="5B6B7C"/>
          <w:sz w:val="22"/>
          <w:szCs w:val="22"/>
        </w:rPr>
        <w:t xml:space="preserve">Frontend + Backend + Base de datos + Exportación automática a Excel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AF0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Dato</w:t>
            </w:r>
          </w:p>
        </w:tc>
        <w:tc>
          <w:tcPr>
            <w:tcW w:type="dxa" w:w="642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AF0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Integrantes</w:t>
            </w:r>
          </w:p>
        </w:tc>
        <w:tc>
          <w:tcPr>
            <w:tcW w:type="dxa" w:w="642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(escribir los nombres del grupo)</w:t>
            </w:r>
          </w:p>
        </w:tc>
      </w:tr>
      <w:tr>
        <w:tc>
          <w:tcPr>
            <w:tcW w:type="dxa" w:w="2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Curso / docente</w:t>
            </w:r>
          </w:p>
        </w:tc>
        <w:tc>
          <w:tcPr>
            <w:tcW w:type="dxa" w:w="642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(completar)</w:t>
            </w:r>
          </w:p>
        </w:tc>
      </w:tr>
      <w:tr>
        <w:tc>
          <w:tcPr>
            <w:tcW w:type="dxa" w:w="2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642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Visual Studio Code · Node.js + Express · SQLite o Supabase</w:t>
            </w:r>
          </w:p>
        </w:tc>
      </w:tr>
    </w:tbl>
    <w:p>
      <w:r>
        <w:br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0B5CAB"/>
          <w:sz w:val="30"/>
          <w:szCs w:val="30"/>
        </w:rPr>
        <w:t xml:space="preserve">1. ¿Para qué sirve el sistema?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Sirve para digitalizar la hoja «Registro» del libro de Excel de supervisión de hidrocarburos. En vez de llenar el Excel a mano, se ingresan los datos en una pantalla con listas desplegables, se guardan en una base de datos y, con un botón, se genera el Excel con todos los registros guardados.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Las listas desplegables (acciones, agentes, provincias, empresas, etc.) salen de las hojas auxiliares del mismo libro de Excel, no son inventadas.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0B5CAB"/>
          <w:sz w:val="30"/>
          <w:szCs w:val="30"/>
        </w:rPr>
        <w:t xml:space="preserve">2. Cómo abrir el sistema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Abrir la carpeta del proyecto en Visual Studio Code (Archivo &gt; Abrir carpeta).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Abrir la terminal integrada (Terminal &gt; Nuevo terminal) y entrar a la carpeta backend con: cd backend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 primera vez, instalar las dependencias con: npm install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Iniciar el servidor con: npm start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Abrir el navegador en http://localhost:3000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Si en la parte superior de la pantalla aparece el mes, la oficina regional y el nombre de la base de datos, el sistema está conectado.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0B5CAB"/>
          <w:sz w:val="30"/>
          <w:szCs w:val="30"/>
        </w:rPr>
        <w:t xml:space="preserve">3. Pantalla de inicio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Desde aquí se accede a las tres opciones principales: Registro, Consultar registros y Exportar Excel. También se muestra cuántos registros hay guardados de los que admite la plantilla.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01_inicio.png" descr="Figura 1. Pantalla de inicio" title="Figura 1. Pantalla de inic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B6B7C"/>
          <w:sz w:val="18"/>
          <w:szCs w:val="18"/>
        </w:rPr>
        <w:t xml:space="preserve">Figura 1. Pantalla de inicio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0B5CAB"/>
          <w:sz w:val="30"/>
          <w:szCs w:val="30"/>
        </w:rPr>
        <w:t xml:space="preserve">4. Registrar una acción de supervisión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Al presionar «Registro» se abre el formulario. Los campos con * son obligatorios.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5191125"/>
            <wp:effectExtent t="0" r="0" b="0" l="0"/>
            <wp:docPr id="1" name="02_formulario.png" descr="Figura 2. Formulario de registro con los datos completos" title="Figura 2. Formulario de registro con los datos comple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B6B7C"/>
          <w:sz w:val="18"/>
          <w:szCs w:val="18"/>
        </w:rPr>
        <w:t xml:space="preserve">Figura 2. Formulario de registro con los datos completos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4.1 Cabecera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Mes que presenta y Oficina Regional. Son los datos que van arriba en la hoja del Excel. La oficina regional decide qué provincias, distritos y empresas supervisoras aparecen en las listas.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4.2 Listas que dependen una de otra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Acción → Acción Específica → Sub Acción Específica: primero se elige la Acción; la Acción Específica solo muestra las que le corresponden, y lo mismo la Sub Acción. Si se cambia la Acción, las dos de abajo se reinician.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Tipo de Agente → Actividad: la Actividad solo muestra las actividades de ese tipo de agente.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Zona (Provincia) → Zona (Distrito): igual, según la oficina regional elegida.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4.3 Datos de supervisión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N° de Supervisores: número entero mayor que cero.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Empresa Supervisora: lista de la oficina regional. El campo CONTRATO se llena solo con los primeros 10 caracteres de la empresa (por ejemplo SUP2400158); no se digita.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N° de Expediente SIGED y Carta Línea: se guardan como texto, así no se pierden los ceros del inicio ni el guion.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4.4 Botones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AF0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Botón</w:t>
            </w:r>
          </w:p>
        </w:tc>
        <w:tc>
          <w:tcPr>
            <w:tcW w:type="dxa" w:w="682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AF0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Qué hace</w:t>
            </w:r>
          </w:p>
        </w:tc>
      </w:tr>
      <w:tr>
        <w:tc>
          <w:tcPr>
            <w:tcW w:type="dxa" w:w="22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Guardar</w:t>
            </w:r>
          </w:p>
        </w:tc>
        <w:tc>
          <w:tcPr>
            <w:tcW w:type="dxa" w:w="682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 los datos y guarda el registro. Si hay errores, los marca en rojo debajo de cada campo.</w:t>
            </w:r>
          </w:p>
        </w:tc>
      </w:tr>
      <w:tr>
        <w:tc>
          <w:tcPr>
            <w:tcW w:type="dxa" w:w="22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Limpiar</w:t>
            </w:r>
          </w:p>
        </w:tc>
        <w:tc>
          <w:tcPr>
            <w:tcW w:type="dxa" w:w="682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Borra el formulario para empezar de nuevo.</w:t>
            </w:r>
          </w:p>
        </w:tc>
      </w:tr>
      <w:tr>
        <w:tc>
          <w:tcPr>
            <w:tcW w:type="dxa" w:w="22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Cancelar edición</w:t>
            </w:r>
          </w:p>
        </w:tc>
        <w:tc>
          <w:tcPr>
            <w:tcW w:type="dxa" w:w="682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Aparece solo cuando se está editando; vuelve a la tabla sin cambiar nada.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4.5 Mensajes de validación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Si se intenta guardar con campos vacíos o con datos incorrectos, el sistema no guarda y muestra el motivo debajo de cada campo.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514975" cy="5334000"/>
            <wp:effectExtent t="0" r="0" b="0" l="0"/>
            <wp:docPr id="1" name="03_validaciones.png" descr="Figura 3. Mensajes de error al guardar con campos vacíos" title="Figura 3. Mensajes de error al guardar con campos vací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B6B7C"/>
          <w:sz w:val="18"/>
          <w:szCs w:val="18"/>
        </w:rPr>
        <w:t xml:space="preserve">Figura 3. Mensajes de error al guardar con campos vacíos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0B5CAB"/>
          <w:sz w:val="30"/>
          <w:szCs w:val="30"/>
        </w:rPr>
        <w:t xml:space="preserve">5. Consultar, buscar, editar y eliminar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En «Consultar registros» se ven todos los registros guardados en una tabla. La tabla se desliza hacia los lados para ver todas las columnas.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04_consulta.png" descr="Figura 4. Tabla de registros" title="Figura 4. Tabla de registr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B6B7C"/>
          <w:sz w:val="18"/>
          <w:szCs w:val="18"/>
        </w:rPr>
        <w:t xml:space="preserve">Figura 4. Tabla de registros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5.1 Búsqueda y filtros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La caja de búsqueda encuentra texto en expediente, carta línea, empresa, observaciones, acción específica, sub acción, tipo de agente, actividad y distrito. También se puede filtrar por acción, empresa, provincia y calidad. «Limpiar filtros» vuelve a mostrar todo.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05_busqueda.png" descr="Figura 5. Búsqueda por número de expediente" title="Figura 5. Búsqueda por número de expedi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B6B7C"/>
          <w:sz w:val="18"/>
          <w:szCs w:val="18"/>
        </w:rPr>
        <w:t xml:space="preserve">Figura 5. Búsqueda por número de expediente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5.2 Editar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El botón «Editar» de cada fila abre el formulario con los datos cargados. Se cambia lo necesario y se presiona «Guardar cambios». Los cambios quedan guardados en la base de datos.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5191125"/>
            <wp:effectExtent t="0" r="0" b="0" l="0"/>
            <wp:docPr id="1" name="06_edicion.png" descr="Figura 6. Edición de un registro existente" title="Figura 6. Edición de un registro exist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B6B7C"/>
          <w:sz w:val="18"/>
          <w:szCs w:val="18"/>
        </w:rPr>
        <w:t xml:space="preserve">Figura 6. Edición de un registro existente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5.3 Eliminar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El botón «Eliminar» pide confirmación antes de borrar. Si se confirma, el registro deja de mostrarse y también deja de salir en el Excel exportado.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07_confirmar_eliminar.png" descr="Figura 7. Confirmación antes de eliminar" title="Figura 7. Confirmación antes de elimin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B6B7C"/>
          <w:sz w:val="18"/>
          <w:szCs w:val="18"/>
        </w:rPr>
        <w:t xml:space="preserve">Figura 7. Confirmación antes de eliminar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0B5CAB"/>
          <w:sz w:val="30"/>
          <w:szCs w:val="30"/>
        </w:rPr>
        <w:t xml:space="preserve">6. Exportar el Excel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El botón «Exportar Excel» descarga un archivo .xlsm armado a partir de la plantilla oficial y de los registros que hay en la base de datos en ese momento (no de datos escritos a mano).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08_exportar.png" descr="Figura 8. Exportación del Excel" title="Figura 8. Exportación del Exc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B6B7C"/>
          <w:sz w:val="18"/>
          <w:szCs w:val="18"/>
        </w:rPr>
        <w:t xml:space="preserve">Figura 8. Exportación del Excel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Lo que hace el sistema con el archivo: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Pone el mes y la oficina regional en la cabecera de la hoja Registro.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Escribe los registros desde la fila 22 (el encabezado está en la fila 21), respetando el orden de las columnas.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Calcula CONTRATO con la fórmula del libro: =IZQUIERDA(Empresa Supervisora;10).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Conserva las hojas auxiliares, tablas, validaciones, imágenes y macros de la plantilla, sin cambios.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Límite: la plantilla trae preparadas 931 filas (de la 22 a la 952), por eso el sistema no permite guardar más de 931 registros.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0B5CAB"/>
          <w:sz w:val="30"/>
          <w:szCs w:val="30"/>
        </w:rPr>
        <w:t xml:space="preserve">7. Los datos no se pierden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Los registros se guardan en un archivo de base de datos (SQLite) o en Supabase. Al cerrar el programa y volver a ejecutarlo con npm start, los registros siguen ahí.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0B5CAB"/>
          <w:sz w:val="30"/>
          <w:szCs w:val="30"/>
        </w:rPr>
        <w:t xml:space="preserve">8. Problemas frecuentes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26"/>
      </w:tblGrid>
      <w:tr>
        <w:trPr>
          <w:tblHeader/>
        </w:trPr>
        <w:tc>
          <w:tcPr>
            <w:tcW w:type="dxa" w:w="33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AF0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Problema</w:t>
            </w:r>
          </w:p>
        </w:tc>
        <w:tc>
          <w:tcPr>
            <w:tcW w:type="dxa" w:w="572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AF0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Qué hacer</w:t>
            </w:r>
          </w:p>
        </w:tc>
      </w:tr>
      <w:tr>
        <w:tc>
          <w:tcPr>
            <w:tcW w:type="dxa" w:w="33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 página no abre</w:t>
            </w:r>
          </w:p>
        </w:tc>
        <w:tc>
          <w:tcPr>
            <w:tcW w:type="dxa" w:w="572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Revisar que la terminal siga con el servidor corriendo (npm start) y entrar a http://localhost:3000.</w:t>
            </w:r>
          </w:p>
        </w:tc>
      </w:tr>
      <w:tr>
        <w:tc>
          <w:tcPr>
            <w:tcW w:type="dxa" w:w="33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Dice «No se pudo conectar con el servidor»</w:t>
            </w:r>
          </w:p>
        </w:tc>
        <w:tc>
          <w:tcPr>
            <w:tcW w:type="dxa" w:w="572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servidor no está iniciado. Ejecutar npm start dentro de la carpeta backend.</w:t>
            </w:r>
          </w:p>
        </w:tc>
      </w:tr>
      <w:tr>
        <w:tc>
          <w:tcPr>
            <w:tcW w:type="dxa" w:w="33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sale la lista de Acción Específica</w:t>
            </w:r>
          </w:p>
        </w:tc>
        <w:tc>
          <w:tcPr>
            <w:tcW w:type="dxa" w:w="572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Primero hay que elegir la Acción.</w:t>
            </w:r>
          </w:p>
        </w:tc>
      </w:tr>
      <w:tr>
        <w:tc>
          <w:tcPr>
            <w:tcW w:type="dxa" w:w="33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«Datos no válidos» al guardar</w:t>
            </w:r>
          </w:p>
        </w:tc>
        <w:tc>
          <w:tcPr>
            <w:tcW w:type="dxa" w:w="572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Revisar los campos marcados en rojo. El expediente solo lleva dígitos; los supervisores deben ser mayores que cero.</w:t>
            </w:r>
          </w:p>
        </w:tc>
      </w:tr>
      <w:tr>
        <w:tc>
          <w:tcPr>
            <w:tcW w:type="dxa" w:w="33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Error al usar Supabase</w:t>
            </w:r>
          </w:p>
        </w:tc>
        <w:tc>
          <w:tcPr>
            <w:tcW w:type="dxa" w:w="572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Revisar el archivo backend/.env (URL y clave service_role) y que se haya ejecutado database/schema.supabase.sql.</w:t>
            </w:r>
          </w:p>
        </w:tc>
      </w:tr>
    </w:tbl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B6B7C"/>
        <w:sz w:val="16"/>
        <w:szCs w:val="16"/>
      </w:rPr>
      <w:t xml:space="preserve">SENATI · Manual de usuario · Página </w:t>
    </w:r>
    <w:r>
      <w:rPr>
        <w:rFonts w:ascii="Arial" w:cs="Arial" w:eastAsia="Arial" w:hAnsi="Arial"/>
        <w:color w:val="5B6B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2ed72d18fdd43170693a6d5ff4a6b26153dffae.png"/><Relationship Id="rId9" Type="http://schemas.openxmlformats.org/officeDocument/2006/relationships/image" Target="media/b1e82c5455fca2d352e67fc0648702946f543511.png"/><Relationship Id="rId10" Type="http://schemas.openxmlformats.org/officeDocument/2006/relationships/image" Target="media/1db448dfc0d76011c6fc02225468ce4c780f206e.png"/><Relationship Id="rId11" Type="http://schemas.openxmlformats.org/officeDocument/2006/relationships/image" Target="media/9dd7ce4388e96292426babf04b9418cccb0b8f0e.png"/><Relationship Id="rId12" Type="http://schemas.openxmlformats.org/officeDocument/2006/relationships/image" Target="media/8f974e9e2dd17aa33f5a2ac1a9a08a7695bc9993.png"/><Relationship Id="rId13" Type="http://schemas.openxmlformats.org/officeDocument/2006/relationships/image" Target="media/6fce686027a69b4b4e34205204f38ad2afbfcfd3.png"/><Relationship Id="rId14" Type="http://schemas.openxmlformats.org/officeDocument/2006/relationships/image" Target="media/98e3a44913a35386c0bfe2ea2cfa68138c5988ed.png"/><Relationship Id="rId15" Type="http://schemas.openxmlformats.org/officeDocument/2006/relationships/image" Target="media/207418c669aca6458e6d3cd354c919b56a2ae1ce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- Supervisión de hidrocarburos</dc:title>
  <dc:creator>Grupo</dc:creator>
  <cp:lastModifiedBy>Un-named</cp:lastModifiedBy>
  <cp:revision>1</cp:revision>
  <dcterms:created xsi:type="dcterms:W3CDTF">2026-10-27T00:16:50.148Z</dcterms:created>
  <dcterms:modified xsi:type="dcterms:W3CDTF">2026-10-27T00:16:50.148Z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