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INVOICE INV-2026-06-BLH</w:t>
      </w:r>
    </w:p>
    <w:p>
      <w:r>
        <w:t>Meridian Voice Systems, Inc.</w:t>
      </w:r>
    </w:p>
    <w:p>
      <w:r>
        <w:t>Bill to: Brightline Health LLC</w:t>
      </w:r>
    </w:p>
    <w:p>
      <w:r>
        <w:t>Billing period: June 2026</w:t>
      </w:r>
    </w:p>
    <w:p>
      <w:r>
        <w:t>Conversation minutes used: 34,000</w:t>
      </w:r>
    </w:p>
    <w:p>
      <w:r>
        <w:t>Rate applied: $0.45 per conversation minute.</w:t>
      </w:r>
    </w:p>
    <w:p>
      <w:r>
        <w:t>Total amount due: $15,300.00</w:t>
      </w:r>
    </w:p>
    <w:p>
      <w:r>
        <w:t>Payment terms: net-30.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