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F61A5" w14:textId="05EAFCC5" w:rsidR="00296C8E" w:rsidRDefault="00296C8E" w:rsidP="00296C8E">
      <w:pPr>
        <w:jc w:val="center"/>
        <w:rPr>
          <w:b/>
          <w:bCs/>
          <w:sz w:val="28"/>
          <w:szCs w:val="28"/>
          <w:lang w:val="en-US"/>
        </w:rPr>
      </w:pPr>
      <w:r w:rsidRPr="00296C8E">
        <w:rPr>
          <w:b/>
          <w:bCs/>
          <w:sz w:val="28"/>
          <w:szCs w:val="28"/>
          <w:lang w:val="en-US"/>
        </w:rPr>
        <w:t xml:space="preserve">Einblick in den </w:t>
      </w:r>
      <w:proofErr w:type="spellStart"/>
      <w:r w:rsidRPr="00296C8E">
        <w:rPr>
          <w:b/>
          <w:bCs/>
          <w:sz w:val="28"/>
          <w:szCs w:val="28"/>
          <w:lang w:val="en-US"/>
        </w:rPr>
        <w:t>Immobilienmarkt</w:t>
      </w:r>
      <w:proofErr w:type="spellEnd"/>
      <w:r w:rsidRPr="00296C8E">
        <w:rPr>
          <w:b/>
          <w:bCs/>
          <w:sz w:val="28"/>
          <w:szCs w:val="28"/>
          <w:lang w:val="en-US"/>
        </w:rPr>
        <w:t xml:space="preserve"> (2001-2020)</w:t>
      </w:r>
    </w:p>
    <w:p w14:paraId="65E4AF3A" w14:textId="35B62949" w:rsidR="00296C8E" w:rsidRDefault="00D02F64" w:rsidP="00296C8E">
      <w:pPr>
        <w:pStyle w:val="ListParagraph"/>
        <w:numPr>
          <w:ilvl w:val="0"/>
          <w:numId w:val="1"/>
        </w:numPr>
        <w:rPr>
          <w:b/>
          <w:bCs/>
          <w:sz w:val="28"/>
          <w:szCs w:val="28"/>
          <w:lang w:val="en-US"/>
        </w:rPr>
      </w:pPr>
      <w:proofErr w:type="spellStart"/>
      <w:r>
        <w:rPr>
          <w:b/>
          <w:bCs/>
          <w:sz w:val="28"/>
          <w:szCs w:val="28"/>
          <w:lang w:val="en-US"/>
        </w:rPr>
        <w:t>Ü</w:t>
      </w:r>
      <w:r w:rsidR="00296C8E" w:rsidRPr="00296C8E">
        <w:rPr>
          <w:b/>
          <w:bCs/>
          <w:sz w:val="28"/>
          <w:szCs w:val="28"/>
          <w:lang w:val="en-US"/>
        </w:rPr>
        <w:t>bersicht</w:t>
      </w:r>
      <w:proofErr w:type="spellEnd"/>
      <w:r w:rsidR="00296C8E" w:rsidRPr="00296C8E">
        <w:rPr>
          <w:b/>
          <w:bCs/>
          <w:sz w:val="28"/>
          <w:szCs w:val="28"/>
          <w:lang w:val="en-US"/>
        </w:rPr>
        <w:t>:</w:t>
      </w:r>
    </w:p>
    <w:p w14:paraId="4723092A" w14:textId="366B957B" w:rsidR="00296C8E" w:rsidRDefault="00296C8E" w:rsidP="00296C8E">
      <w:pPr>
        <w:pStyle w:val="ListParagraph"/>
        <w:numPr>
          <w:ilvl w:val="0"/>
          <w:numId w:val="2"/>
        </w:numPr>
        <w:rPr>
          <w:szCs w:val="22"/>
          <w:lang w:val="de-DE"/>
        </w:rPr>
      </w:pPr>
      <w:r w:rsidRPr="00296C8E">
        <w:rPr>
          <w:szCs w:val="22"/>
          <w:lang w:val="de-DE"/>
        </w:rPr>
        <w:t>Der Gesamtumsatz aus Immobilienverkäufen belief sich im Zeitraum 2001-2020 auf 232 Milliarden.</w:t>
      </w:r>
    </w:p>
    <w:p w14:paraId="30966A72" w14:textId="30F56673" w:rsidR="00296C8E" w:rsidRDefault="00296C8E" w:rsidP="00296C8E">
      <w:pPr>
        <w:pStyle w:val="ListParagraph"/>
        <w:numPr>
          <w:ilvl w:val="0"/>
          <w:numId w:val="2"/>
        </w:numPr>
        <w:rPr>
          <w:szCs w:val="22"/>
          <w:lang w:val="de-DE"/>
        </w:rPr>
      </w:pPr>
      <w:r w:rsidRPr="00296C8E">
        <w:rPr>
          <w:szCs w:val="22"/>
          <w:lang w:val="de-DE"/>
        </w:rPr>
        <w:t>Der durchschnittliche Wert der Immobilientransaktionen beträgt 377,29</w:t>
      </w:r>
      <w:r>
        <w:rPr>
          <w:szCs w:val="22"/>
          <w:lang w:val="de-DE"/>
        </w:rPr>
        <w:t>k</w:t>
      </w:r>
      <w:r w:rsidRPr="00296C8E">
        <w:rPr>
          <w:szCs w:val="22"/>
          <w:lang w:val="de-DE"/>
        </w:rPr>
        <w:t>.</w:t>
      </w:r>
    </w:p>
    <w:p w14:paraId="20FDB8A9" w14:textId="426393B8" w:rsidR="00D02F64" w:rsidRDefault="00D02F64" w:rsidP="00D02F64">
      <w:pPr>
        <w:pStyle w:val="ListParagraph"/>
        <w:numPr>
          <w:ilvl w:val="0"/>
          <w:numId w:val="2"/>
        </w:numPr>
        <w:rPr>
          <w:szCs w:val="22"/>
          <w:lang w:val="de-DE"/>
        </w:rPr>
      </w:pPr>
      <w:r w:rsidRPr="00D02F64">
        <w:rPr>
          <w:szCs w:val="22"/>
          <w:lang w:val="de-DE"/>
        </w:rPr>
        <w:t>Das Jahr mit dem größten Gesamtverkauf ist 2020, während 2010 das Jahr mit dem niedrigsten Gesamtverkauf ist.</w:t>
      </w:r>
    </w:p>
    <w:p w14:paraId="40B80570" w14:textId="7C9C507A" w:rsidR="002B5CF7" w:rsidRPr="00D02F64" w:rsidRDefault="002B5CF7" w:rsidP="00D02F64">
      <w:pPr>
        <w:pStyle w:val="ListParagraph"/>
        <w:numPr>
          <w:ilvl w:val="0"/>
          <w:numId w:val="2"/>
        </w:numPr>
        <w:rPr>
          <w:szCs w:val="22"/>
          <w:lang w:val="de-DE"/>
        </w:rPr>
      </w:pPr>
      <w:r w:rsidRPr="002B5CF7">
        <w:rPr>
          <w:szCs w:val="22"/>
          <w:lang w:val="de-DE"/>
        </w:rPr>
        <w:t>Wenn wir den durchschnittlichen Hauspreis in den fünf Jahren von 2016 bis 2020 vergleichen, sehen wir, dass die Hauspreise von 2016 bis 2019 stabil waren und im Jahr 2020 einen plötzlichen Anstieg von 0,38 Mio. im Jahr 2019 auf 0,60 Mio. im Jahr 2020 verzeichneten.</w:t>
      </w:r>
    </w:p>
    <w:p w14:paraId="1FB8BDC7" w14:textId="77777777" w:rsidR="00296C8E" w:rsidRPr="00296C8E" w:rsidRDefault="00296C8E" w:rsidP="00296C8E">
      <w:pPr>
        <w:pStyle w:val="ListParagraph"/>
        <w:ind w:left="1440"/>
        <w:rPr>
          <w:szCs w:val="22"/>
          <w:lang w:val="de-DE"/>
        </w:rPr>
      </w:pPr>
    </w:p>
    <w:p w14:paraId="16690EC2" w14:textId="1C91A9C9" w:rsidR="00296C8E" w:rsidRDefault="00D02F64" w:rsidP="00296C8E">
      <w:pPr>
        <w:pStyle w:val="ListParagraph"/>
        <w:numPr>
          <w:ilvl w:val="0"/>
          <w:numId w:val="1"/>
        </w:numPr>
        <w:rPr>
          <w:b/>
          <w:bCs/>
          <w:sz w:val="28"/>
          <w:szCs w:val="28"/>
          <w:lang w:val="de-DE"/>
        </w:rPr>
      </w:pPr>
      <w:r w:rsidRPr="00D02F64">
        <w:rPr>
          <w:b/>
          <w:bCs/>
          <w:sz w:val="28"/>
          <w:szCs w:val="28"/>
          <w:lang w:val="de-DE"/>
        </w:rPr>
        <w:t>Verkaufspreisschwankung:</w:t>
      </w:r>
    </w:p>
    <w:p w14:paraId="1968FD34" w14:textId="77777777" w:rsidR="00D02F64" w:rsidRDefault="00D02F64" w:rsidP="00D02F64">
      <w:pPr>
        <w:pStyle w:val="ListParagraph"/>
        <w:numPr>
          <w:ilvl w:val="0"/>
          <w:numId w:val="3"/>
        </w:numPr>
        <w:rPr>
          <w:szCs w:val="22"/>
          <w:lang w:val="de-DE"/>
        </w:rPr>
      </w:pPr>
      <w:r w:rsidRPr="00D02F64">
        <w:rPr>
          <w:szCs w:val="22"/>
          <w:lang w:val="de-DE"/>
        </w:rPr>
        <w:t>Von 2001 bis 2020 schwankten der durchschnittliche Hausverkaufspreis und der durchschnittliche Schätzwert stark.</w:t>
      </w:r>
    </w:p>
    <w:p w14:paraId="0B89259F" w14:textId="28F6184A" w:rsidR="00D02F64" w:rsidRDefault="00D02F64" w:rsidP="00D02F64">
      <w:pPr>
        <w:pStyle w:val="ListParagraph"/>
        <w:numPr>
          <w:ilvl w:val="0"/>
          <w:numId w:val="3"/>
        </w:numPr>
        <w:rPr>
          <w:szCs w:val="22"/>
          <w:lang w:val="de-DE"/>
        </w:rPr>
      </w:pPr>
      <w:r w:rsidRPr="00D02F64">
        <w:rPr>
          <w:szCs w:val="22"/>
          <w:lang w:val="de-DE"/>
        </w:rPr>
        <w:t>Der durchschnittliche Verkaufspreis und der durchschnittliche Schätzwert waren im Jahr 2015 am niedrigsten</w:t>
      </w:r>
      <w:r>
        <w:rPr>
          <w:szCs w:val="22"/>
          <w:lang w:val="de-DE"/>
        </w:rPr>
        <w:t xml:space="preserve"> </w:t>
      </w:r>
      <w:r w:rsidRPr="00D02F64">
        <w:rPr>
          <w:szCs w:val="22"/>
          <w:lang w:val="de-DE"/>
        </w:rPr>
        <w:t>im Jahr 2020 am höchsten</w:t>
      </w:r>
      <w:r>
        <w:rPr>
          <w:szCs w:val="22"/>
          <w:lang w:val="de-DE"/>
        </w:rPr>
        <w:t>.</w:t>
      </w:r>
    </w:p>
    <w:p w14:paraId="639B1934" w14:textId="4AEAB387" w:rsidR="00D02F64" w:rsidRDefault="00D02F64" w:rsidP="00D02F64">
      <w:pPr>
        <w:pStyle w:val="ListParagraph"/>
        <w:numPr>
          <w:ilvl w:val="0"/>
          <w:numId w:val="3"/>
        </w:numPr>
        <w:rPr>
          <w:szCs w:val="22"/>
          <w:lang w:val="de-DE"/>
        </w:rPr>
      </w:pPr>
      <w:r>
        <w:rPr>
          <w:szCs w:val="22"/>
          <w:lang w:val="de-DE"/>
        </w:rPr>
        <w:t>Sie</w:t>
      </w:r>
      <w:r w:rsidRPr="00D02F64">
        <w:rPr>
          <w:szCs w:val="22"/>
          <w:lang w:val="de-DE"/>
        </w:rPr>
        <w:t xml:space="preserve"> verzeichneten im Jahr 2020 ein starkes Wachstum.</w:t>
      </w:r>
    </w:p>
    <w:p w14:paraId="63ED45E4" w14:textId="77777777" w:rsidR="002B5CF7" w:rsidRDefault="002B5CF7" w:rsidP="002B5CF7">
      <w:pPr>
        <w:pStyle w:val="ListParagraph"/>
        <w:numPr>
          <w:ilvl w:val="0"/>
          <w:numId w:val="1"/>
        </w:numPr>
        <w:rPr>
          <w:b/>
          <w:bCs/>
          <w:sz w:val="28"/>
          <w:szCs w:val="28"/>
          <w:lang w:val="de-DE"/>
        </w:rPr>
      </w:pPr>
      <w:r w:rsidRPr="002B5CF7">
        <w:rPr>
          <w:b/>
          <w:bCs/>
          <w:sz w:val="28"/>
          <w:szCs w:val="28"/>
          <w:lang w:val="de-DE"/>
        </w:rPr>
        <w:t>Verkaufszeit:</w:t>
      </w:r>
    </w:p>
    <w:p w14:paraId="74C30A51" w14:textId="77777777" w:rsidR="002B5CF7" w:rsidRPr="002B5CF7" w:rsidRDefault="002B5CF7" w:rsidP="002B5CF7">
      <w:pPr>
        <w:pStyle w:val="ListParagraph"/>
        <w:numPr>
          <w:ilvl w:val="0"/>
          <w:numId w:val="7"/>
        </w:numPr>
        <w:rPr>
          <w:b/>
          <w:bCs/>
          <w:sz w:val="28"/>
          <w:szCs w:val="28"/>
          <w:lang w:val="de-DE"/>
        </w:rPr>
      </w:pPr>
      <w:r w:rsidRPr="002B5CF7">
        <w:rPr>
          <w:szCs w:val="22"/>
          <w:lang w:val="de-DE"/>
        </w:rPr>
        <w:t>Es gibt viele Immobilientypen wie Wohnungen, Familien, Industriegrundstücke, Unternehmen usw.</w:t>
      </w:r>
    </w:p>
    <w:p w14:paraId="0FB81BCA" w14:textId="77777777" w:rsidR="002B5CF7" w:rsidRPr="002B5CF7" w:rsidRDefault="002B5CF7" w:rsidP="002B5CF7">
      <w:pPr>
        <w:pStyle w:val="ListParagraph"/>
        <w:numPr>
          <w:ilvl w:val="0"/>
          <w:numId w:val="7"/>
        </w:numPr>
        <w:rPr>
          <w:b/>
          <w:bCs/>
          <w:sz w:val="28"/>
          <w:szCs w:val="28"/>
          <w:lang w:val="de-DE"/>
        </w:rPr>
      </w:pPr>
      <w:r w:rsidRPr="002B5CF7">
        <w:rPr>
          <w:szCs w:val="22"/>
          <w:lang w:val="de-DE"/>
        </w:rPr>
        <w:t>Immobilien mit Wohnungen haben die längste durchschnittliche Verkaufszeit von 0,82 Jahren, während Wohnimmobilien mit 0,72 Jahren die kürzeste Verkaufszeit haben.</w:t>
      </w:r>
    </w:p>
    <w:p w14:paraId="796781F6" w14:textId="375D41F5" w:rsidR="002B5CF7" w:rsidRPr="002B5CF7" w:rsidRDefault="002B5CF7" w:rsidP="002B5CF7">
      <w:pPr>
        <w:pStyle w:val="ListParagraph"/>
        <w:numPr>
          <w:ilvl w:val="0"/>
          <w:numId w:val="7"/>
        </w:numPr>
        <w:rPr>
          <w:b/>
          <w:bCs/>
          <w:sz w:val="28"/>
          <w:szCs w:val="28"/>
          <w:lang w:val="de-DE"/>
        </w:rPr>
      </w:pPr>
      <w:r w:rsidRPr="002B5CF7">
        <w:rPr>
          <w:szCs w:val="22"/>
          <w:lang w:val="de-DE"/>
        </w:rPr>
        <w:t>Die durchschnittliche Zeit für einen Hausverkauf ist relativ kurz</w:t>
      </w:r>
    </w:p>
    <w:p w14:paraId="18BA200B" w14:textId="7BE051ED" w:rsidR="002B5CF7" w:rsidRPr="002B5CF7" w:rsidRDefault="002B5CF7" w:rsidP="002B5CF7">
      <w:pPr>
        <w:pStyle w:val="ListParagraph"/>
        <w:numPr>
          <w:ilvl w:val="0"/>
          <w:numId w:val="1"/>
        </w:numPr>
        <w:rPr>
          <w:b/>
          <w:bCs/>
          <w:sz w:val="28"/>
          <w:szCs w:val="28"/>
          <w:lang w:val="de-DE"/>
        </w:rPr>
      </w:pPr>
      <w:r w:rsidRPr="002B5CF7">
        <w:rPr>
          <w:b/>
          <w:bCs/>
          <w:sz w:val="28"/>
          <w:szCs w:val="28"/>
          <w:lang w:val="de-DE"/>
        </w:rPr>
        <w:t>Verbrauchsbereich:</w:t>
      </w:r>
    </w:p>
    <w:p w14:paraId="05135D4A" w14:textId="672D0430" w:rsidR="002B5CF7" w:rsidRPr="002B5CF7" w:rsidRDefault="002B5CF7" w:rsidP="002B5CF7">
      <w:pPr>
        <w:pStyle w:val="ListParagraph"/>
        <w:numPr>
          <w:ilvl w:val="0"/>
          <w:numId w:val="5"/>
        </w:numPr>
        <w:rPr>
          <w:szCs w:val="22"/>
          <w:lang w:val="de-DE"/>
        </w:rPr>
      </w:pPr>
      <w:r w:rsidRPr="002B5CF7">
        <w:rPr>
          <w:szCs w:val="22"/>
          <w:lang w:val="de-DE"/>
        </w:rPr>
        <w:t>Die fünf Städte, in denen im Laufe der Zeit die meisten Häuser verkauft wurden, sind Greenwich, Stamford, Westford, Norwalk und Fairfeld.</w:t>
      </w:r>
    </w:p>
    <w:p w14:paraId="7192AE2C" w14:textId="52EE845F" w:rsidR="002B5CF7" w:rsidRPr="002B5CF7" w:rsidRDefault="002B5CF7" w:rsidP="002B5CF7">
      <w:pPr>
        <w:pStyle w:val="ListParagraph"/>
        <w:numPr>
          <w:ilvl w:val="0"/>
          <w:numId w:val="5"/>
        </w:numPr>
        <w:rPr>
          <w:b/>
          <w:bCs/>
          <w:sz w:val="28"/>
          <w:szCs w:val="28"/>
          <w:lang w:val="de-DE"/>
        </w:rPr>
      </w:pPr>
      <w:r w:rsidRPr="002B5CF7">
        <w:rPr>
          <w:szCs w:val="22"/>
          <w:lang w:val="de-DE"/>
        </w:rPr>
        <w:t>Greenwich führt mit dem höchsten Gesamtumsatz von 26 Milliarden, gefolgt von Stamford mit 12 Milliarden. Dies zeigt, dass Greenwich der attraktivste Bereich für Immobilientransaktionen ist.</w:t>
      </w:r>
    </w:p>
    <w:p w14:paraId="4C945521" w14:textId="77777777" w:rsidR="002B5CF7" w:rsidRDefault="002B5CF7" w:rsidP="002B5CF7">
      <w:pPr>
        <w:pStyle w:val="ListParagraph"/>
        <w:rPr>
          <w:b/>
          <w:bCs/>
          <w:sz w:val="28"/>
          <w:szCs w:val="28"/>
          <w:lang w:val="de-DE"/>
        </w:rPr>
      </w:pPr>
    </w:p>
    <w:p w14:paraId="2A6F865C" w14:textId="77777777" w:rsidR="002B5CF7" w:rsidRDefault="002B5CF7" w:rsidP="002B5CF7">
      <w:pPr>
        <w:pStyle w:val="ListParagraph"/>
        <w:rPr>
          <w:b/>
          <w:bCs/>
          <w:sz w:val="28"/>
          <w:szCs w:val="28"/>
          <w:lang w:val="de-DE"/>
        </w:rPr>
      </w:pPr>
    </w:p>
    <w:p w14:paraId="52A72446" w14:textId="77777777" w:rsidR="002B5CF7" w:rsidRPr="002B5CF7" w:rsidRDefault="002B5CF7" w:rsidP="002B5CF7">
      <w:pPr>
        <w:ind w:left="360"/>
        <w:rPr>
          <w:b/>
          <w:bCs/>
          <w:sz w:val="28"/>
          <w:szCs w:val="28"/>
          <w:lang w:val="de-DE"/>
        </w:rPr>
      </w:pPr>
    </w:p>
    <w:p w14:paraId="61C8480A" w14:textId="016A88E0" w:rsidR="002B5CF7" w:rsidRPr="002B5CF7" w:rsidRDefault="002B5CF7" w:rsidP="002B5CF7">
      <w:pPr>
        <w:pStyle w:val="ListParagraph"/>
        <w:rPr>
          <w:szCs w:val="22"/>
          <w:lang w:val="de-DE"/>
        </w:rPr>
      </w:pPr>
    </w:p>
    <w:p w14:paraId="62A67155" w14:textId="77777777" w:rsidR="00296C8E" w:rsidRPr="00296C8E" w:rsidRDefault="00296C8E" w:rsidP="00296C8E">
      <w:pPr>
        <w:jc w:val="center"/>
        <w:rPr>
          <w:b/>
          <w:bCs/>
          <w:sz w:val="28"/>
          <w:szCs w:val="28"/>
          <w:lang w:val="de-DE"/>
        </w:rPr>
      </w:pPr>
    </w:p>
    <w:p w14:paraId="25A55992" w14:textId="77777777" w:rsidR="00296C8E" w:rsidRPr="00296C8E" w:rsidRDefault="00296C8E" w:rsidP="00296C8E">
      <w:pPr>
        <w:jc w:val="both"/>
        <w:rPr>
          <w:b/>
          <w:bCs/>
          <w:szCs w:val="22"/>
          <w:lang w:val="de-DE"/>
        </w:rPr>
      </w:pPr>
    </w:p>
    <w:sectPr w:rsidR="00296C8E" w:rsidRPr="00296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21845"/>
    <w:multiLevelType w:val="hybridMultilevel"/>
    <w:tmpl w:val="67E07A0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178C1930"/>
    <w:multiLevelType w:val="hybridMultilevel"/>
    <w:tmpl w:val="1544300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B7C55F8"/>
    <w:multiLevelType w:val="hybridMultilevel"/>
    <w:tmpl w:val="AF3290A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4D9C1E3B"/>
    <w:multiLevelType w:val="hybridMultilevel"/>
    <w:tmpl w:val="0CF0925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570A6283"/>
    <w:multiLevelType w:val="hybridMultilevel"/>
    <w:tmpl w:val="220ED65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5E7F0998"/>
    <w:multiLevelType w:val="hybridMultilevel"/>
    <w:tmpl w:val="8A50B9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21B7119"/>
    <w:multiLevelType w:val="hybridMultilevel"/>
    <w:tmpl w:val="A878A1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16042233">
    <w:abstractNumId w:val="6"/>
  </w:num>
  <w:num w:numId="2" w16cid:durableId="1068651275">
    <w:abstractNumId w:val="1"/>
  </w:num>
  <w:num w:numId="3" w16cid:durableId="1593777812">
    <w:abstractNumId w:val="4"/>
  </w:num>
  <w:num w:numId="4" w16cid:durableId="808746352">
    <w:abstractNumId w:val="0"/>
  </w:num>
  <w:num w:numId="5" w16cid:durableId="1117062239">
    <w:abstractNumId w:val="3"/>
  </w:num>
  <w:num w:numId="6" w16cid:durableId="1298072938">
    <w:abstractNumId w:val="5"/>
  </w:num>
  <w:num w:numId="7" w16cid:durableId="17321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8E"/>
    <w:rsid w:val="001B768B"/>
    <w:rsid w:val="00296C8E"/>
    <w:rsid w:val="002B5CF7"/>
    <w:rsid w:val="003E2E7D"/>
    <w:rsid w:val="00C60235"/>
    <w:rsid w:val="00CD1032"/>
    <w:rsid w:val="00D02F64"/>
  </w:rsids>
  <m:mathPr>
    <m:mathFont m:val="Cambria Math"/>
    <m:brkBin m:val="before"/>
    <m:brkBinSub m:val="--"/>
    <m:smallFrac m:val="0"/>
    <m:dispDef/>
    <m:lMargin m:val="0"/>
    <m:rMargin m:val="0"/>
    <m:defJc m:val="centerGroup"/>
    <m:wrapIndent m:val="1440"/>
    <m:intLim m:val="subSup"/>
    <m:naryLim m:val="undOvr"/>
  </m:mathPr>
  <w:themeFontLang w:val="en-DE"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CF79"/>
  <w15:chartTrackingRefBased/>
  <w15:docId w15:val="{CD7F7910-CDA7-4254-8946-18601F5D3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DE"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96C8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296C8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296C8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296C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C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C8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296C8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296C8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296C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C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C8E"/>
    <w:rPr>
      <w:rFonts w:eastAsiaTheme="majorEastAsia" w:cstheme="majorBidi"/>
      <w:color w:val="272727" w:themeColor="text1" w:themeTint="D8"/>
    </w:rPr>
  </w:style>
  <w:style w:type="paragraph" w:styleId="Title">
    <w:name w:val="Title"/>
    <w:basedOn w:val="Normal"/>
    <w:next w:val="Normal"/>
    <w:link w:val="TitleChar"/>
    <w:uiPriority w:val="10"/>
    <w:qFormat/>
    <w:rsid w:val="00296C8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96C8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96C8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96C8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96C8E"/>
    <w:pPr>
      <w:spacing w:before="160"/>
      <w:jc w:val="center"/>
    </w:pPr>
    <w:rPr>
      <w:i/>
      <w:iCs/>
      <w:color w:val="404040" w:themeColor="text1" w:themeTint="BF"/>
    </w:rPr>
  </w:style>
  <w:style w:type="character" w:customStyle="1" w:styleId="QuoteChar">
    <w:name w:val="Quote Char"/>
    <w:basedOn w:val="DefaultParagraphFont"/>
    <w:link w:val="Quote"/>
    <w:uiPriority w:val="29"/>
    <w:rsid w:val="00296C8E"/>
    <w:rPr>
      <w:rFonts w:cs="Mangal"/>
      <w:i/>
      <w:iCs/>
      <w:color w:val="404040" w:themeColor="text1" w:themeTint="BF"/>
    </w:rPr>
  </w:style>
  <w:style w:type="paragraph" w:styleId="ListParagraph">
    <w:name w:val="List Paragraph"/>
    <w:basedOn w:val="Normal"/>
    <w:uiPriority w:val="34"/>
    <w:qFormat/>
    <w:rsid w:val="00296C8E"/>
    <w:pPr>
      <w:ind w:left="720"/>
      <w:contextualSpacing/>
    </w:pPr>
  </w:style>
  <w:style w:type="character" w:styleId="IntenseEmphasis">
    <w:name w:val="Intense Emphasis"/>
    <w:basedOn w:val="DefaultParagraphFont"/>
    <w:uiPriority w:val="21"/>
    <w:qFormat/>
    <w:rsid w:val="00296C8E"/>
    <w:rPr>
      <w:i/>
      <w:iCs/>
      <w:color w:val="0F4761" w:themeColor="accent1" w:themeShade="BF"/>
    </w:rPr>
  </w:style>
  <w:style w:type="paragraph" w:styleId="IntenseQuote">
    <w:name w:val="Intense Quote"/>
    <w:basedOn w:val="Normal"/>
    <w:next w:val="Normal"/>
    <w:link w:val="IntenseQuoteChar"/>
    <w:uiPriority w:val="30"/>
    <w:qFormat/>
    <w:rsid w:val="00296C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C8E"/>
    <w:rPr>
      <w:rFonts w:cs="Mangal"/>
      <w:i/>
      <w:iCs/>
      <w:color w:val="0F4761" w:themeColor="accent1" w:themeShade="BF"/>
    </w:rPr>
  </w:style>
  <w:style w:type="character" w:styleId="IntenseReference">
    <w:name w:val="Intense Reference"/>
    <w:basedOn w:val="DefaultParagraphFont"/>
    <w:uiPriority w:val="32"/>
    <w:qFormat/>
    <w:rsid w:val="00296C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anh</dc:creator>
  <cp:keywords/>
  <dc:description/>
  <cp:lastModifiedBy>van anh</cp:lastModifiedBy>
  <cp:revision>1</cp:revision>
  <dcterms:created xsi:type="dcterms:W3CDTF">2024-10-17T14:29:00Z</dcterms:created>
  <dcterms:modified xsi:type="dcterms:W3CDTF">2024-10-17T15:30:00Z</dcterms:modified>
</cp:coreProperties>
</file>